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5EA" w:rsidRPr="008C606A" w:rsidRDefault="007565EA" w:rsidP="007565EA">
      <w:pPr>
        <w:tabs>
          <w:tab w:val="left" w:pos="2430"/>
        </w:tabs>
        <w:rPr>
          <w:rFonts w:asciiTheme="minorHAnsi" w:hAnsiTheme="minorHAnsi" w:cstheme="minorHAnsi"/>
          <w:b/>
          <w:bCs/>
          <w:lang w:val="en-US"/>
        </w:rPr>
      </w:pPr>
      <w:r w:rsidRPr="008C606A">
        <w:rPr>
          <w:rFonts w:asciiTheme="minorHAnsi" w:hAnsiTheme="minorHAnsi" w:cstheme="minorHAnsi"/>
          <w:b/>
          <w:bCs/>
          <w:lang w:val="en-US"/>
        </w:rPr>
        <w:t>Supplemental</w:t>
      </w:r>
    </w:p>
    <w:p w:rsidR="007565EA" w:rsidRDefault="007565EA" w:rsidP="007565EA">
      <w:pPr>
        <w:tabs>
          <w:tab w:val="left" w:pos="2430"/>
        </w:tabs>
        <w:rPr>
          <w:rFonts w:asciiTheme="minorHAnsi" w:hAnsiTheme="minorHAnsi" w:cstheme="minorHAnsi"/>
          <w:sz w:val="28"/>
          <w:szCs w:val="28"/>
          <w:lang w:val="en-US"/>
        </w:rPr>
      </w:pPr>
    </w:p>
    <w:p w:rsidR="007565EA" w:rsidRPr="00527F93" w:rsidRDefault="007565EA" w:rsidP="007565EA">
      <w:pPr>
        <w:pStyle w:val="Caption"/>
        <w:keepNext/>
        <w:rPr>
          <w:i w:val="0"/>
          <w:iCs w:val="0"/>
          <w:color w:val="auto"/>
          <w:sz w:val="22"/>
          <w:szCs w:val="22"/>
        </w:rPr>
      </w:pPr>
      <w:r>
        <w:rPr>
          <w:b/>
          <w:bCs/>
          <w:i w:val="0"/>
          <w:iCs w:val="0"/>
          <w:color w:val="auto"/>
          <w:sz w:val="22"/>
          <w:szCs w:val="22"/>
        </w:rPr>
        <w:t xml:space="preserve">Supplemental </w:t>
      </w:r>
      <w:r w:rsidRPr="00527F93">
        <w:rPr>
          <w:b/>
          <w:bCs/>
          <w:i w:val="0"/>
          <w:iCs w:val="0"/>
          <w:color w:val="auto"/>
          <w:sz w:val="22"/>
          <w:szCs w:val="22"/>
        </w:rPr>
        <w:t xml:space="preserve">Table </w:t>
      </w:r>
      <w:r>
        <w:rPr>
          <w:b/>
          <w:bCs/>
          <w:i w:val="0"/>
          <w:iCs w:val="0"/>
          <w:color w:val="auto"/>
          <w:sz w:val="22"/>
          <w:szCs w:val="22"/>
        </w:rPr>
        <w:t>1</w:t>
      </w:r>
      <w:r w:rsidRPr="00527F93">
        <w:rPr>
          <w:b/>
          <w:bCs/>
          <w:i w:val="0"/>
          <w:iCs w:val="0"/>
          <w:color w:val="auto"/>
          <w:sz w:val="22"/>
          <w:szCs w:val="22"/>
        </w:rPr>
        <w:t xml:space="preserve"> </w:t>
      </w:r>
      <w:r w:rsidRPr="00527F93">
        <w:rPr>
          <w:i w:val="0"/>
          <w:iCs w:val="0"/>
          <w:color w:val="auto"/>
          <w:sz w:val="22"/>
          <w:szCs w:val="22"/>
        </w:rPr>
        <w:t>Medication on admission and discharge in each treatment group.</w:t>
      </w:r>
    </w:p>
    <w:tbl>
      <w:tblPr>
        <w:tblStyle w:val="ListTable1Light"/>
        <w:tblW w:w="6521" w:type="dxa"/>
        <w:tblLook w:val="04A0" w:firstRow="1" w:lastRow="0" w:firstColumn="1" w:lastColumn="0" w:noHBand="0" w:noVBand="1"/>
      </w:tblPr>
      <w:tblGrid>
        <w:gridCol w:w="2305"/>
        <w:gridCol w:w="1080"/>
        <w:gridCol w:w="1028"/>
        <w:gridCol w:w="1080"/>
        <w:gridCol w:w="1028"/>
      </w:tblGrid>
      <w:tr w:rsidR="007565EA" w:rsidTr="0050509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vMerge w:val="restart"/>
            <w:tcBorders>
              <w:top w:val="single" w:sz="12" w:space="0" w:color="ED7D31" w:themeColor="accent2"/>
            </w:tcBorders>
          </w:tcPr>
          <w:p w:rsidR="007565EA" w:rsidRPr="008A31D9" w:rsidRDefault="007565EA" w:rsidP="0050509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8A31D9">
              <w:rPr>
                <w:rFonts w:asciiTheme="minorHAnsi" w:hAnsiTheme="minorHAnsi" w:cstheme="minorHAnsi"/>
                <w:sz w:val="20"/>
                <w:szCs w:val="20"/>
              </w:rPr>
              <w:t>Medication</w:t>
            </w:r>
          </w:p>
        </w:tc>
        <w:tc>
          <w:tcPr>
            <w:tcW w:w="2108" w:type="dxa"/>
            <w:gridSpan w:val="2"/>
            <w:tcBorders>
              <w:top w:val="single" w:sz="12" w:space="0" w:color="ED7D31" w:themeColor="accent2"/>
              <w:bottom w:val="single" w:sz="8" w:space="0" w:color="ED7D31" w:themeColor="accent2"/>
            </w:tcBorders>
          </w:tcPr>
          <w:p w:rsidR="007565EA" w:rsidRPr="008A31D9" w:rsidRDefault="007565EA" w:rsidP="005050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8A31D9">
              <w:rPr>
                <w:rFonts w:asciiTheme="minorHAnsi" w:hAnsiTheme="minorHAnsi" w:cstheme="minorHAnsi"/>
                <w:sz w:val="20"/>
                <w:szCs w:val="20"/>
              </w:rPr>
              <w:t>Empagliflozin at discharge (n=22)</w:t>
            </w:r>
          </w:p>
        </w:tc>
        <w:tc>
          <w:tcPr>
            <w:tcW w:w="2108" w:type="dxa"/>
            <w:gridSpan w:val="2"/>
            <w:tcBorders>
              <w:top w:val="single" w:sz="12" w:space="0" w:color="ED7D31" w:themeColor="accent2"/>
              <w:bottom w:val="single" w:sz="8" w:space="0" w:color="ED7D31" w:themeColor="accent2"/>
            </w:tcBorders>
          </w:tcPr>
          <w:p w:rsidR="007565EA" w:rsidRPr="008A31D9" w:rsidRDefault="007565EA" w:rsidP="0050509F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AU"/>
              </w:rPr>
            </w:pPr>
            <w:r w:rsidRPr="008A31D9">
              <w:rPr>
                <w:rFonts w:asciiTheme="minorHAnsi" w:hAnsiTheme="minorHAnsi" w:cstheme="minorHAnsi"/>
                <w:sz w:val="20"/>
                <w:szCs w:val="20"/>
              </w:rPr>
              <w:t>No SGLT2 inhibitor at discharge (n=22)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vMerge/>
            <w:tcBorders>
              <w:bottom w:val="single" w:sz="8" w:space="0" w:color="ED7D31" w:themeColor="accent2"/>
            </w:tcBorders>
            <w:shd w:val="clear" w:color="auto" w:fill="auto"/>
          </w:tcPr>
          <w:p w:rsidR="007565EA" w:rsidRPr="008A31D9" w:rsidRDefault="007565EA" w:rsidP="0050509F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sz="8" w:space="0" w:color="ED7D31" w:themeColor="accent2"/>
              <w:bottom w:val="single" w:sz="8" w:space="0" w:color="ED7D31" w:themeColor="accent2"/>
            </w:tcBorders>
            <w:shd w:val="clear" w:color="auto" w:fill="auto"/>
          </w:tcPr>
          <w:p w:rsidR="007565EA" w:rsidRPr="008A31D9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A31D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Admission</w:t>
            </w:r>
          </w:p>
        </w:tc>
        <w:tc>
          <w:tcPr>
            <w:tcW w:w="1028" w:type="dxa"/>
            <w:tcBorders>
              <w:top w:val="single" w:sz="8" w:space="0" w:color="ED7D31" w:themeColor="accent2"/>
              <w:bottom w:val="single" w:sz="8" w:space="0" w:color="ED7D31" w:themeColor="accent2"/>
            </w:tcBorders>
            <w:shd w:val="clear" w:color="auto" w:fill="auto"/>
          </w:tcPr>
          <w:p w:rsidR="007565EA" w:rsidRPr="008A31D9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A31D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Discharge</w:t>
            </w:r>
          </w:p>
        </w:tc>
        <w:tc>
          <w:tcPr>
            <w:tcW w:w="1080" w:type="dxa"/>
            <w:tcBorders>
              <w:top w:val="single" w:sz="8" w:space="0" w:color="ED7D31" w:themeColor="accent2"/>
              <w:bottom w:val="single" w:sz="8" w:space="0" w:color="ED7D31" w:themeColor="accent2"/>
            </w:tcBorders>
            <w:shd w:val="clear" w:color="auto" w:fill="auto"/>
          </w:tcPr>
          <w:p w:rsidR="007565EA" w:rsidRPr="008A31D9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A31D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Admission</w:t>
            </w:r>
          </w:p>
        </w:tc>
        <w:tc>
          <w:tcPr>
            <w:tcW w:w="1028" w:type="dxa"/>
            <w:tcBorders>
              <w:top w:val="single" w:sz="8" w:space="0" w:color="ED7D31" w:themeColor="accent2"/>
              <w:bottom w:val="single" w:sz="8" w:space="0" w:color="ED7D31" w:themeColor="accent2"/>
            </w:tcBorders>
            <w:shd w:val="clear" w:color="auto" w:fill="auto"/>
          </w:tcPr>
          <w:p w:rsidR="007565EA" w:rsidRPr="008A31D9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8A31D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Discharge</w:t>
            </w:r>
          </w:p>
        </w:tc>
      </w:tr>
      <w:tr w:rsidR="007565EA" w:rsidTr="0050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tcBorders>
              <w:top w:val="single" w:sz="8" w:space="0" w:color="ED7D31" w:themeColor="accent2"/>
            </w:tcBorders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ACE inhibitor or ARB</w:t>
            </w:r>
          </w:p>
        </w:tc>
        <w:tc>
          <w:tcPr>
            <w:tcW w:w="1080" w:type="dxa"/>
            <w:tcBorders>
              <w:top w:val="single" w:sz="8" w:space="0" w:color="ED7D31" w:themeColor="accent2"/>
            </w:tcBorders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11 (50.0)</w:t>
            </w:r>
          </w:p>
        </w:tc>
        <w:tc>
          <w:tcPr>
            <w:tcW w:w="1028" w:type="dxa"/>
            <w:tcBorders>
              <w:top w:val="single" w:sz="8" w:space="0" w:color="ED7D31" w:themeColor="accent2"/>
            </w:tcBorders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22 (100)</w:t>
            </w:r>
          </w:p>
        </w:tc>
        <w:tc>
          <w:tcPr>
            <w:tcW w:w="1080" w:type="dxa"/>
            <w:tcBorders>
              <w:top w:val="single" w:sz="8" w:space="0" w:color="ED7D31" w:themeColor="accent2"/>
            </w:tcBorders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  <w:lang w:val="en-US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12 (54.5)</w:t>
            </w:r>
          </w:p>
        </w:tc>
        <w:tc>
          <w:tcPr>
            <w:tcW w:w="1028" w:type="dxa"/>
            <w:tcBorders>
              <w:top w:val="single" w:sz="8" w:space="0" w:color="ED7D31" w:themeColor="accent2"/>
            </w:tcBorders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21 (95.5)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Beta-blocker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5 (22.7)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20 (90.9)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8 (36.4)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18 (81.8)</w:t>
            </w:r>
          </w:p>
        </w:tc>
      </w:tr>
      <w:tr w:rsidR="007565EA" w:rsidTr="0050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MRA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 (4.5)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3 (13.6)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Calcium-channel blocker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7 (31.8)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5 (22.7)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6 (27.3)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4 (18.2)</w:t>
            </w:r>
          </w:p>
        </w:tc>
      </w:tr>
      <w:tr w:rsidR="007565EA" w:rsidTr="0050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Loop diuretic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 (4.5)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4 (18.2)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 (9.1)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 (9.1)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Thiazide diuretic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 (9.1)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 (9.1)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4 (18.2)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 (4.5)</w:t>
            </w:r>
          </w:p>
        </w:tc>
      </w:tr>
      <w:tr w:rsidR="007565EA" w:rsidTr="0050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Statin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10 (45.5)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22 (100)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15 (68.2)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22 (100)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Metformin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13 (59.1)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19 (86.4)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13 (59.1)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15 (68.2)</w:t>
            </w:r>
          </w:p>
        </w:tc>
      </w:tr>
      <w:tr w:rsidR="007565EA" w:rsidTr="0050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Sulfonylurea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4 (18.2)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6 (27.3)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 (9.1)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2 (9.1)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DPP4 inhibitor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4 (19.0)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5 (22.7)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5 (22.7)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4 (19.0)</w:t>
            </w:r>
          </w:p>
        </w:tc>
      </w:tr>
      <w:tr w:rsidR="007565EA" w:rsidTr="0050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Thiazolidinediones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α-glucosidase inhibitors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</w:tr>
      <w:tr w:rsidR="007565EA" w:rsidTr="0050509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Insulin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5 (22.7)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9 (40.9)</w:t>
            </w:r>
          </w:p>
        </w:tc>
        <w:tc>
          <w:tcPr>
            <w:tcW w:w="1080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5 (22.7)</w:t>
            </w:r>
          </w:p>
        </w:tc>
        <w:tc>
          <w:tcPr>
            <w:tcW w:w="1028" w:type="dxa"/>
            <w:shd w:val="clear" w:color="auto" w:fill="auto"/>
          </w:tcPr>
          <w:p w:rsidR="007565EA" w:rsidRPr="002B57D0" w:rsidRDefault="007565EA" w:rsidP="0050509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5 (22.7)</w:t>
            </w:r>
          </w:p>
        </w:tc>
      </w:tr>
      <w:tr w:rsidR="007565EA" w:rsidTr="0050509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5" w:type="dxa"/>
            <w:tcBorders>
              <w:bottom w:val="single" w:sz="12" w:space="0" w:color="70AD47" w:themeColor="accent6"/>
            </w:tcBorders>
            <w:shd w:val="clear" w:color="auto" w:fill="auto"/>
          </w:tcPr>
          <w:p w:rsidR="007565EA" w:rsidRPr="002B57D0" w:rsidRDefault="007565EA" w:rsidP="0050509F">
            <w:pPr>
              <w:rPr>
                <w:rFonts w:asciiTheme="minorHAnsi" w:hAnsiTheme="minorHAnsi" w:cstheme="minorHAnsi"/>
                <w:b w:val="0"/>
                <w:bCs w:val="0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GLP-1 receptor agonist</w:t>
            </w:r>
          </w:p>
        </w:tc>
        <w:tc>
          <w:tcPr>
            <w:tcW w:w="1080" w:type="dxa"/>
            <w:tcBorders>
              <w:bottom w:val="single" w:sz="12" w:space="0" w:color="70AD47" w:themeColor="accent6"/>
            </w:tcBorders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bottom w:val="single" w:sz="12" w:space="0" w:color="70AD47" w:themeColor="accent6"/>
            </w:tcBorders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80" w:type="dxa"/>
            <w:tcBorders>
              <w:bottom w:val="single" w:sz="12" w:space="0" w:color="70AD47" w:themeColor="accent6"/>
            </w:tcBorders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  <w:tc>
          <w:tcPr>
            <w:tcW w:w="1028" w:type="dxa"/>
            <w:tcBorders>
              <w:bottom w:val="single" w:sz="12" w:space="0" w:color="70AD47" w:themeColor="accent6"/>
            </w:tcBorders>
            <w:shd w:val="clear" w:color="auto" w:fill="auto"/>
          </w:tcPr>
          <w:p w:rsidR="007565EA" w:rsidRPr="002B57D0" w:rsidRDefault="007565EA" w:rsidP="0050509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2B57D0">
              <w:rPr>
                <w:rFonts w:asciiTheme="minorHAnsi" w:hAnsiTheme="minorHAnsi" w:cstheme="minorHAnsi"/>
                <w:sz w:val="20"/>
                <w:szCs w:val="20"/>
              </w:rPr>
              <w:t>0</w:t>
            </w:r>
          </w:p>
        </w:tc>
      </w:tr>
    </w:tbl>
    <w:p w:rsidR="007565EA" w:rsidRDefault="007565EA" w:rsidP="007565EA">
      <w:pPr>
        <w:spacing w:line="480" w:lineRule="auto"/>
        <w:rPr>
          <w:rFonts w:asciiTheme="minorHAnsi" w:hAnsiTheme="minorHAnsi" w:cstheme="minorHAnsi"/>
          <w:sz w:val="22"/>
          <w:szCs w:val="22"/>
        </w:rPr>
      </w:pPr>
      <w:r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BB1E241" wp14:editId="6241B2CD">
                <wp:simplePos x="0" y="0"/>
                <wp:positionH relativeFrom="margin">
                  <wp:align>left</wp:align>
                </wp:positionH>
                <wp:positionV relativeFrom="paragraph">
                  <wp:posOffset>90805</wp:posOffset>
                </wp:positionV>
                <wp:extent cx="4114800" cy="1687195"/>
                <wp:effectExtent l="0" t="0" r="0" b="0"/>
                <wp:wrapSquare wrapText="bothSides"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14800" cy="1687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565EA" w:rsidRPr="00710203" w:rsidRDefault="007565EA" w:rsidP="007565E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1020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  <w:t>Data presented as count (percentage)</w:t>
                            </w:r>
                          </w:p>
                          <w:p w:rsidR="007565EA" w:rsidRPr="00710203" w:rsidRDefault="007565EA" w:rsidP="007565E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7565EA" w:rsidRPr="00710203" w:rsidRDefault="007565EA" w:rsidP="007565E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1020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  <w:t>No significant differences between groups in medications at admission.</w:t>
                            </w:r>
                          </w:p>
                          <w:p w:rsidR="007565EA" w:rsidRPr="00710203" w:rsidRDefault="007565EA" w:rsidP="007565EA">
                            <w:pPr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</w:p>
                          <w:p w:rsidR="007565EA" w:rsidRPr="00710203" w:rsidRDefault="007565EA" w:rsidP="007565EA">
                            <w:pPr>
                              <w:rPr>
                                <w:rFonts w:asciiTheme="minorHAnsi" w:hAnsiTheme="minorHAnsi" w:cstheme="minorHAnsi"/>
                                <w:sz w:val="16"/>
                                <w:szCs w:val="16"/>
                                <w:lang w:val="en-US"/>
                              </w:rPr>
                            </w:pPr>
                            <w:r w:rsidRPr="00710203"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  <w:t>No significant differences in the proportion of new prescriptions during admission between groups</w:t>
                            </w:r>
                          </w:p>
                          <w:p w:rsidR="007565EA" w:rsidRPr="00710203" w:rsidRDefault="007565EA" w:rsidP="007565EA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eastAsia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</w:pPr>
                          </w:p>
                          <w:p w:rsidR="007565EA" w:rsidRPr="00710203" w:rsidRDefault="007565EA" w:rsidP="007565EA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Theme="minorHAnsi" w:hAnsiTheme="minorHAnsi" w:cstheme="minorHAnsi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710203">
                              <w:rPr>
                                <w:rFonts w:asciiTheme="minorHAnsi" w:eastAsia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SGLT2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en-AU"/>
                              </w:rPr>
                              <w:t xml:space="preserve">sodium-glucose cotransporter 2,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ACE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en-AU"/>
                              </w:rPr>
                              <w:t xml:space="preserve">angiotensin converting enzyme,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ARB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en-AU"/>
                              </w:rPr>
                              <w:t xml:space="preserve">angiotensin receptor blocker,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MRA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en-AU"/>
                              </w:rPr>
                              <w:t xml:space="preserve">mineralocorticoid receptor antagonist,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DPP4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en-AU"/>
                              </w:rPr>
                              <w:t xml:space="preserve">dipeptidyl peptidase 4,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i/>
                                <w:iCs/>
                                <w:sz w:val="20"/>
                                <w:szCs w:val="20"/>
                                <w:lang w:val="en-AU"/>
                              </w:rPr>
                              <w:t xml:space="preserve">GLP-1 </w:t>
                            </w:r>
                            <w:r w:rsidRPr="00710203">
                              <w:rPr>
                                <w:rFonts w:asciiTheme="minorHAnsi" w:eastAsiaTheme="minorHAnsi" w:hAnsiTheme="minorHAnsi" w:cstheme="minorHAnsi"/>
                                <w:sz w:val="20"/>
                                <w:szCs w:val="20"/>
                                <w:lang w:val="en-AU"/>
                              </w:rPr>
                              <w:t>glucagon like peptide-1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B1E24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0;margin-top:7.15pt;width:324pt;height:132.85pt;z-index:251659264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" stroked="f">
                <v:textbox>
                  <w:txbxContent>
                    <w:p w:rsidR="007565EA" w:rsidRPr="00710203" w:rsidRDefault="007565EA" w:rsidP="007565E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</w:pPr>
                      <w:r w:rsidRPr="00710203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  <w:t>Data presented as count (percentage)</w:t>
                      </w:r>
                    </w:p>
                    <w:p w:rsidR="007565EA" w:rsidRPr="00710203" w:rsidRDefault="007565EA" w:rsidP="007565E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</w:pPr>
                    </w:p>
                    <w:p w:rsidR="007565EA" w:rsidRPr="00710203" w:rsidRDefault="007565EA" w:rsidP="007565E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</w:pPr>
                      <w:r w:rsidRPr="00710203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  <w:t>No significant differences between groups in medications at admission.</w:t>
                      </w:r>
                    </w:p>
                    <w:p w:rsidR="007565EA" w:rsidRPr="00710203" w:rsidRDefault="007565EA" w:rsidP="007565EA">
                      <w:pPr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</w:pPr>
                    </w:p>
                    <w:p w:rsidR="007565EA" w:rsidRPr="00710203" w:rsidRDefault="007565EA" w:rsidP="007565EA">
                      <w:pPr>
                        <w:rPr>
                          <w:rFonts w:asciiTheme="minorHAnsi" w:hAnsiTheme="minorHAnsi" w:cstheme="minorHAnsi"/>
                          <w:sz w:val="16"/>
                          <w:szCs w:val="16"/>
                          <w:lang w:val="en-US"/>
                        </w:rPr>
                      </w:pPr>
                      <w:r w:rsidRPr="00710203"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  <w:t>No significant differences in the proportion of new prescriptions during admission between groups</w:t>
                      </w:r>
                    </w:p>
                    <w:p w:rsidR="007565EA" w:rsidRPr="00710203" w:rsidRDefault="007565EA" w:rsidP="007565EA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eastAsiaTheme="minorHAnsi" w:hAnsiTheme="minorHAnsi" w:cstheme="minorHAnsi"/>
                          <w:i/>
                          <w:iCs/>
                          <w:sz w:val="20"/>
                          <w:szCs w:val="20"/>
                          <w:lang w:val="en-AU"/>
                        </w:rPr>
                      </w:pPr>
                    </w:p>
                    <w:p w:rsidR="007565EA" w:rsidRPr="00710203" w:rsidRDefault="007565EA" w:rsidP="007565EA">
                      <w:pPr>
                        <w:autoSpaceDE w:val="0"/>
                        <w:autoSpaceDN w:val="0"/>
                        <w:adjustRightInd w:val="0"/>
                        <w:rPr>
                          <w:rFonts w:asciiTheme="minorHAnsi" w:hAnsiTheme="minorHAnsi" w:cstheme="minorHAnsi"/>
                          <w:sz w:val="20"/>
                          <w:szCs w:val="20"/>
                          <w:lang w:val="en-US"/>
                        </w:rPr>
                      </w:pPr>
                      <w:r w:rsidRPr="00710203">
                        <w:rPr>
                          <w:rFonts w:asciiTheme="minorHAnsi" w:eastAsiaTheme="minorHAnsi" w:hAnsiTheme="minorHAnsi" w:cstheme="minorHAnsi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SGLT2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en-AU"/>
                        </w:rPr>
                        <w:t xml:space="preserve">sodium-glucose cotransporter 2,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ACE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en-AU"/>
                        </w:rPr>
                        <w:t xml:space="preserve">angiotensin converting enzyme,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ARB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en-AU"/>
                        </w:rPr>
                        <w:t xml:space="preserve">angiotensin receptor blocker,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MRA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en-AU"/>
                        </w:rPr>
                        <w:t xml:space="preserve">mineralocorticoid receptor antagonist,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DPP4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en-AU"/>
                        </w:rPr>
                        <w:t xml:space="preserve">dipeptidyl peptidase 4,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i/>
                          <w:iCs/>
                          <w:sz w:val="20"/>
                          <w:szCs w:val="20"/>
                          <w:lang w:val="en-AU"/>
                        </w:rPr>
                        <w:t xml:space="preserve">GLP-1 </w:t>
                      </w:r>
                      <w:r w:rsidRPr="00710203">
                        <w:rPr>
                          <w:rFonts w:asciiTheme="minorHAnsi" w:eastAsiaTheme="minorHAnsi" w:hAnsiTheme="minorHAnsi" w:cstheme="minorHAnsi"/>
                          <w:sz w:val="20"/>
                          <w:szCs w:val="20"/>
                          <w:lang w:val="en-AU"/>
                        </w:rPr>
                        <w:t>glucagon like peptide-1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7565EA" w:rsidRDefault="007565EA" w:rsidP="007565EA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:rsidR="007565EA" w:rsidRDefault="007565EA" w:rsidP="007565EA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:rsidR="007565EA" w:rsidRDefault="007565EA" w:rsidP="007565EA">
      <w:pPr>
        <w:spacing w:line="480" w:lineRule="auto"/>
        <w:rPr>
          <w:rFonts w:asciiTheme="minorHAnsi" w:hAnsiTheme="minorHAnsi" w:cstheme="minorHAnsi"/>
          <w:sz w:val="22"/>
          <w:szCs w:val="22"/>
        </w:rPr>
      </w:pPr>
    </w:p>
    <w:p w:rsidR="007565EA" w:rsidRDefault="007565EA" w:rsidP="007565EA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</w:p>
    <w:p w:rsidR="007565EA" w:rsidRDefault="007565EA" w:rsidP="007565EA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</w:p>
    <w:p w:rsidR="007565EA" w:rsidRDefault="007565EA" w:rsidP="007565EA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sz w:val="22"/>
          <w:szCs w:val="22"/>
          <w:u w:val="single"/>
          <w:lang w:val="en-US"/>
        </w:rPr>
      </w:pPr>
    </w:p>
    <w:p w:rsidR="007565EA" w:rsidRDefault="007565EA" w:rsidP="007565EA">
      <w:pPr>
        <w:tabs>
          <w:tab w:val="left" w:pos="2430"/>
        </w:tabs>
        <w:rPr>
          <w:rFonts w:asciiTheme="minorHAnsi" w:hAnsiTheme="minorHAnsi" w:cstheme="minorHAnsi"/>
          <w:sz w:val="28"/>
          <w:szCs w:val="28"/>
          <w:lang w:val="en-US"/>
        </w:rPr>
      </w:pPr>
    </w:p>
    <w:p w:rsidR="00000F57" w:rsidRDefault="007565EA">
      <w:bookmarkStart w:id="0" w:name="_GoBack"/>
      <w:bookmarkEnd w:id="0"/>
    </w:p>
    <w:sectPr w:rsidR="00000F5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65EA"/>
    <w:rsid w:val="0007695B"/>
    <w:rsid w:val="005615C6"/>
    <w:rsid w:val="005E078B"/>
    <w:rsid w:val="007565EA"/>
    <w:rsid w:val="007D4061"/>
    <w:rsid w:val="008B4EED"/>
    <w:rsid w:val="00B03778"/>
    <w:rsid w:val="00CD1A17"/>
    <w:rsid w:val="00EE3FE5"/>
    <w:rsid w:val="00EF52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BABD0EB-091E-46E1-9863-39D65E8DC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5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7565EA"/>
    <w:pPr>
      <w:spacing w:after="200"/>
    </w:pPr>
    <w:rPr>
      <w:rFonts w:asciiTheme="minorHAnsi" w:eastAsiaTheme="minorHAnsi" w:hAnsiTheme="minorHAnsi" w:cstheme="minorBidi"/>
      <w:i/>
      <w:iCs/>
      <w:color w:val="44546A" w:themeColor="text2"/>
      <w:sz w:val="18"/>
      <w:szCs w:val="18"/>
      <w:lang w:val="en-AU"/>
    </w:rPr>
  </w:style>
  <w:style w:type="table" w:styleId="ListTable1Light">
    <w:name w:val="List Table 1 Light"/>
    <w:basedOn w:val="TableNormal"/>
    <w:uiPriority w:val="46"/>
    <w:rsid w:val="007565EA"/>
    <w:pPr>
      <w:spacing w:after="0" w:line="240" w:lineRule="auto"/>
    </w:pPr>
    <w:rPr>
      <w:lang w:val="en-AU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741</Characters>
  <Application>Microsoft Office Word</Application>
  <DocSecurity>0</DocSecurity>
  <Lines>6</Lines>
  <Paragraphs>1</Paragraphs>
  <ScaleCrop>false</ScaleCrop>
  <Company>Springer Nature IT</Company>
  <LinksUpToDate>false</LinksUpToDate>
  <CharactersWithSpaces>870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2022-05-30T09:53:00Z</dcterms:created>
  <dcterms:modified xsi:type="dcterms:W3CDTF">2022-05-30T09:53:00Z</dcterms:modified>
</cp:coreProperties>
</file>