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word/footer1.xml" ContentType="application/vnd.openxmlformats-officedocument.wordprocessingml.footer+xml"/>
  <Override PartName="/word/_rels/document.xml.rels" ContentType="application/vnd.openxmlformats-package.relationships+xml"/>
  <Override PartName="/word/media/image1.png" ContentType="image/png"/>
  <Override PartName="/word/media/image2.png" ContentType="image/png"/>
  <Override PartName="/word/media/image3.png" ContentType="image/png"/>
  <Override PartName="/word/media/image4.png" ContentType="image/png"/>
  <Override PartName="/word/settings.xml" ContentType="application/vnd.openxmlformats-officedocument.wordprocessingml.settings+xml"/>
  <Override PartName="/word/header1.xml" ContentType="application/vnd.openxmlformats-officedocument.wordprocessingml.head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
        <w:bidi w:val="0"/>
        <w:spacing w:before="300" w:after="120"/>
        <w:ind w:left="0" w:right="0" w:hanging="0"/>
        <w:jc w:val="left"/>
        <w:rPr>
          <w:rFonts w:ascii="Times New Roman" w:hAnsi="Times New Roman" w:eastAsia="Times New Roman" w:cs="Times New Roman"/>
          <w:b/>
          <w:b/>
          <w:bCs/>
          <w:sz w:val="32"/>
          <w:szCs w:val="32"/>
        </w:rPr>
      </w:pPr>
      <w:r>
        <w:rPr>
          <w:rFonts w:ascii="Times New Roman" w:hAnsi="Times New Roman"/>
          <w:b/>
          <w:bCs/>
          <w:sz w:val="32"/>
          <w:szCs w:val="32"/>
          <w:lang w:val="en-US"/>
        </w:rPr>
        <w:t>Supplementary material</w:t>
      </w:r>
    </w:p>
    <w:p>
      <w:pPr>
        <w:pStyle w:val="Body"/>
        <w:bidi w:val="0"/>
        <w:spacing w:before="180" w:after="120"/>
        <w:ind w:left="0" w:right="0" w:hanging="0"/>
        <w:jc w:val="left"/>
        <w:rPr>
          <w:rFonts w:ascii="Times New Roman" w:hAnsi="Times New Roman" w:eastAsia="Times New Roman" w:cs="Times New Roman"/>
          <w:b/>
          <w:b/>
          <w:bCs/>
          <w:sz w:val="32"/>
          <w:szCs w:val="32"/>
        </w:rPr>
      </w:pPr>
      <w:r>
        <w:rPr>
          <w:rFonts w:ascii="Times New Roman" w:hAnsi="Times New Roman"/>
          <w:b/>
          <w:bCs/>
          <w:sz w:val="32"/>
          <w:szCs w:val="32"/>
          <w:lang w:val="en-US"/>
        </w:rPr>
        <w:t>Stimuli examples</w:t>
      </w:r>
    </w:p>
    <w:p>
      <w:pPr>
        <w:pStyle w:val="Body"/>
        <w:bidi w:val="0"/>
        <w:spacing w:before="180" w:after="120"/>
        <w:ind w:left="0" w:right="0" w:hanging="0"/>
        <w:jc w:val="left"/>
        <w:rPr>
          <w:rFonts w:ascii="Times New Roman" w:hAnsi="Times New Roman" w:eastAsia="Times New Roman" w:cs="Times New Roman"/>
          <w:b/>
          <w:b/>
          <w:bCs/>
          <w:sz w:val="32"/>
          <w:szCs w:val="32"/>
        </w:rPr>
      </w:pPr>
      <w:r>
        <w:rPr>
          <w:rFonts w:ascii="Times New Roman" w:hAnsi="Times New Roman"/>
          <w:b/>
          <w:bCs/>
          <w:sz w:val="32"/>
          <w:szCs w:val="32"/>
          <w:lang w:val="en-US"/>
        </w:rPr>
        <w:t>Full ANOVA tables</w:t>
      </w:r>
    </w:p>
    <w:tbl>
      <w:tblPr>
        <w:tblW w:w="12000" w:type="dxa"/>
        <w:jc w:val="center"/>
        <w:tblInd w:w="0" w:type="dxa"/>
        <w:tblLayout w:type="fixed"/>
        <w:tblCellMar>
          <w:top w:w="0" w:type="dxa"/>
          <w:left w:w="100" w:type="dxa"/>
          <w:bottom w:w="0" w:type="dxa"/>
          <w:right w:w="100" w:type="dxa"/>
        </w:tblCellMar>
      </w:tblPr>
      <w:tblGrid>
        <w:gridCol w:w="2000"/>
        <w:gridCol w:w="1999"/>
        <w:gridCol w:w="2001"/>
        <w:gridCol w:w="2000"/>
        <w:gridCol w:w="1999"/>
        <w:gridCol w:w="2000"/>
      </w:tblGrid>
      <w:tr>
        <w:trPr>
          <w:trHeight w:val="610" w:hRule="atLeast"/>
        </w:trPr>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left"/>
              <w:rPr/>
            </w:pPr>
            <w:r>
              <w:rPr>
                <w:rFonts w:ascii="Times New Roman" w:hAnsi="Times New Roman"/>
                <w:sz w:val="24"/>
                <w:szCs w:val="24"/>
              </w:rPr>
              <w:t>Cases</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Sum of Squares</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df</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Mean Square</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F</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p</w:t>
            </w:r>
          </w:p>
        </w:tc>
      </w:tr>
      <w:tr>
        <w:trPr>
          <w:trHeight w:val="400" w:hRule="atLeast"/>
        </w:trPr>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left"/>
              <w:rPr/>
            </w:pPr>
            <w:r>
              <w:rPr>
                <w:rFonts w:ascii="Times New Roman" w:hAnsi="Times New Roman"/>
                <w:sz w:val="24"/>
                <w:szCs w:val="24"/>
              </w:rPr>
              <w:t>Group</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0.129</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1</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0.129</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6.148</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0.015</w:t>
            </w:r>
          </w:p>
        </w:tc>
      </w:tr>
      <w:tr>
        <w:trPr>
          <w:trHeight w:val="400" w:hRule="atLeast"/>
        </w:trPr>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left"/>
              <w:rPr/>
            </w:pPr>
            <w:r>
              <w:rPr>
                <w:rFonts w:ascii="Times New Roman" w:hAnsi="Times New Roman"/>
                <w:sz w:val="24"/>
                <w:szCs w:val="24"/>
              </w:rPr>
              <w:t>Condition</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0.981</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2</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0.490</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23.426</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&lt; .001</w:t>
            </w:r>
          </w:p>
        </w:tc>
      </w:tr>
      <w:tr>
        <w:trPr>
          <w:trHeight w:val="610" w:hRule="atLeast"/>
        </w:trPr>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left"/>
              <w:rPr/>
            </w:pPr>
            <w:r>
              <w:rPr>
                <w:rFonts w:ascii="Times New Roman" w:hAnsi="Times New Roman"/>
                <w:sz w:val="24"/>
                <w:szCs w:val="24"/>
              </w:rPr>
              <w:t>Group * Condition</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0.017</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2</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0.009</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0.413</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0.663</w:t>
            </w:r>
          </w:p>
        </w:tc>
      </w:tr>
      <w:tr>
        <w:trPr>
          <w:trHeight w:val="400" w:hRule="atLeast"/>
        </w:trPr>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left"/>
              <w:rPr/>
            </w:pPr>
            <w:r>
              <w:rPr>
                <w:rFonts w:ascii="Times New Roman" w:hAnsi="Times New Roman"/>
                <w:sz w:val="24"/>
                <w:szCs w:val="24"/>
              </w:rPr>
              <w:t>Residual</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2.469</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118</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0.021</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widowControl w:val="false"/>
              <w:rPr/>
            </w:pPr>
            <w:r>
              <w:rPr/>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widowControl w:val="false"/>
              <w:rPr/>
            </w:pPr>
            <w:r>
              <w:rPr/>
            </w:r>
          </w:p>
        </w:tc>
      </w:tr>
    </w:tbl>
    <w:p>
      <w:pPr>
        <w:pStyle w:val="Body"/>
        <w:bidi w:val="0"/>
        <w:spacing w:before="300" w:after="0"/>
        <w:ind w:left="0" w:right="0" w:hanging="0"/>
        <w:jc w:val="center"/>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spacing w:before="300" w:after="0"/>
        <w:ind w:left="0" w:right="0" w:hanging="0"/>
        <w:jc w:val="center"/>
        <w:rPr>
          <w:rFonts w:ascii="Times New Roman" w:hAnsi="Times New Roman" w:eastAsia="Times New Roman" w:cs="Times New Roman"/>
          <w:sz w:val="24"/>
          <w:szCs w:val="24"/>
        </w:rPr>
      </w:pPr>
      <w:r>
        <w:rPr>
          <w:rFonts w:ascii="Times New Roman" w:hAnsi="Times New Roman"/>
          <w:sz w:val="24"/>
          <w:szCs w:val="24"/>
        </w:rPr>
        <w:t xml:space="preserve"> </w:t>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en-US"/>
        </w:rPr>
        <w:t xml:space="preserve">Supplementary </w:t>
      </w:r>
      <w:r>
        <w:rPr>
          <w:rFonts w:ascii="Times New Roman" w:hAnsi="Times New Roman"/>
          <w:sz w:val="24"/>
          <w:szCs w:val="24"/>
          <w:lang w:val="en-US"/>
        </w:rPr>
        <w:t xml:space="preserve">Table 1: Analysis from the categorical statistical learning task. Full results from the 2-way ANOVA with the proportion of correct responses as the dependent variable and both </w:t>
      </w:r>
      <w:r>
        <w:rPr>
          <w:rFonts w:ascii="Times New Roman" w:hAnsi="Times New Roman"/>
          <w:sz w:val="24"/>
          <w:szCs w:val="24"/>
        </w:rPr>
        <w:t>‘</w:t>
      </w:r>
      <w:r>
        <w:rPr>
          <w:rFonts w:ascii="Times New Roman" w:hAnsi="Times New Roman"/>
          <w:sz w:val="24"/>
          <w:szCs w:val="24"/>
          <w:lang w:val="fr-FR"/>
        </w:rPr>
        <w:t>Group</w:t>
      </w:r>
      <w:r>
        <w:rPr>
          <w:rFonts w:ascii="Times New Roman" w:hAnsi="Times New Roman"/>
          <w:sz w:val="24"/>
          <w:szCs w:val="24"/>
        </w:rPr>
        <w:t xml:space="preserve">’ </w:t>
      </w:r>
      <w:r>
        <w:rPr>
          <w:rFonts w:ascii="Times New Roman" w:hAnsi="Times New Roman"/>
          <w:sz w:val="24"/>
          <w:szCs w:val="24"/>
          <w:lang w:val="en-US"/>
        </w:rPr>
        <w:t xml:space="preserve">(autism or control) and </w:t>
      </w:r>
      <w:r>
        <w:rPr>
          <w:rFonts w:ascii="Times New Roman" w:hAnsi="Times New Roman"/>
          <w:sz w:val="24"/>
          <w:szCs w:val="24"/>
        </w:rPr>
        <w:t>‘</w:t>
      </w:r>
      <w:r>
        <w:rPr>
          <w:rFonts w:ascii="Times New Roman" w:hAnsi="Times New Roman"/>
          <w:sz w:val="24"/>
          <w:szCs w:val="24"/>
          <w:lang w:val="fr-FR"/>
        </w:rPr>
        <w:t>Condition</w:t>
      </w:r>
      <w:r>
        <w:rPr>
          <w:rFonts w:ascii="Times New Roman" w:hAnsi="Times New Roman"/>
          <w:sz w:val="24"/>
          <w:szCs w:val="24"/>
        </w:rPr>
        <w:t xml:space="preserve">’ </w:t>
      </w:r>
      <w:r>
        <w:rPr>
          <w:rFonts w:ascii="Times New Roman" w:hAnsi="Times New Roman"/>
          <w:sz w:val="24"/>
          <w:szCs w:val="24"/>
          <w:lang w:val="en-US"/>
        </w:rPr>
        <w:t>(standard, category or generalisation) as between-subject measures.</w:t>
      </w:r>
    </w:p>
    <w:tbl>
      <w:tblPr>
        <w:tblW w:w="14000" w:type="dxa"/>
        <w:jc w:val="center"/>
        <w:tblInd w:w="0" w:type="dxa"/>
        <w:tblLayout w:type="fixed"/>
        <w:tblCellMar>
          <w:top w:w="0" w:type="dxa"/>
          <w:left w:w="100" w:type="dxa"/>
          <w:bottom w:w="0" w:type="dxa"/>
          <w:right w:w="100" w:type="dxa"/>
        </w:tblCellMar>
      </w:tblPr>
      <w:tblGrid>
        <w:gridCol w:w="2000"/>
        <w:gridCol w:w="1999"/>
        <w:gridCol w:w="2001"/>
        <w:gridCol w:w="1999"/>
        <w:gridCol w:w="2001"/>
        <w:gridCol w:w="1999"/>
        <w:gridCol w:w="2000"/>
      </w:tblGrid>
      <w:tr>
        <w:trPr>
          <w:trHeight w:val="610" w:hRule="atLeast"/>
        </w:trPr>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widowControl w:val="false"/>
              <w:rPr/>
            </w:pPr>
            <w:r>
              <w:rPr/>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widowControl w:val="false"/>
              <w:rPr/>
            </w:pPr>
            <w:r>
              <w:rPr/>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Mean Difference</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SE</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t</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Cohen’s d</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p</w:t>
            </w:r>
          </w:p>
        </w:tc>
      </w:tr>
      <w:tr>
        <w:trPr>
          <w:trHeight w:val="400" w:hRule="atLeast"/>
        </w:trPr>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left"/>
              <w:rPr/>
            </w:pPr>
            <w:r>
              <w:rPr>
                <w:rFonts w:ascii="Times New Roman" w:hAnsi="Times New Roman"/>
                <w:sz w:val="24"/>
                <w:szCs w:val="24"/>
              </w:rPr>
              <w:t>Standard</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right"/>
              <w:rPr/>
            </w:pPr>
            <w:r>
              <w:rPr>
                <w:rFonts w:ascii="Times New Roman" w:hAnsi="Times New Roman"/>
                <w:sz w:val="24"/>
                <w:szCs w:val="24"/>
              </w:rPr>
              <w:t>Category</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0.188</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0.032</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5.892</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1.303</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right"/>
              <w:rPr/>
            </w:pPr>
            <w:r>
              <w:rPr>
                <w:rFonts w:ascii="Times New Roman" w:hAnsi="Times New Roman"/>
                <w:sz w:val="24"/>
                <w:szCs w:val="24"/>
              </w:rPr>
              <w:t>&lt; .001</w:t>
            </w:r>
          </w:p>
        </w:tc>
      </w:tr>
      <w:tr>
        <w:trPr>
          <w:trHeight w:val="610" w:hRule="atLeast"/>
        </w:trPr>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widowControl w:val="false"/>
              <w:rPr/>
            </w:pPr>
            <w:r>
              <w:rPr/>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Generalisation</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0.192</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0.032</w:t>
            </w:r>
          </w:p>
        </w:tc>
        <w:tc>
          <w:tcPr>
            <w:tcW w:w="2001"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6.009</w:t>
            </w:r>
          </w:p>
        </w:tc>
        <w:tc>
          <w:tcPr>
            <w:tcW w:w="1999"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1.170</w:t>
            </w:r>
          </w:p>
        </w:tc>
        <w:tc>
          <w:tcPr>
            <w:tcW w:w="2000" w:type="dxa"/>
            <w:tcBorders>
              <w:top w:val="single" w:sz="8" w:space="0" w:color="CACACA"/>
              <w:left w:val="single" w:sz="8" w:space="0" w:color="CACACA"/>
              <w:bottom w:val="single" w:sz="8" w:space="0" w:color="CACACA"/>
              <w:right w:val="single" w:sz="8" w:space="0" w:color="CACACA"/>
            </w:tcBorders>
            <w:shd w:color="auto" w:fill="auto" w:val="clear"/>
            <w:vAlign w:val="center"/>
          </w:tcPr>
          <w:p>
            <w:pPr>
              <w:pStyle w:val="TableStyle2"/>
              <w:widowControl w:val="false"/>
              <w:bidi w:val="0"/>
              <w:ind w:left="0" w:right="0" w:hanging="0"/>
              <w:jc w:val="right"/>
              <w:rPr/>
            </w:pPr>
            <w:r>
              <w:rPr>
                <w:rFonts w:ascii="Times New Roman" w:hAnsi="Times New Roman"/>
                <w:sz w:val="24"/>
                <w:szCs w:val="24"/>
              </w:rPr>
              <w:t>&lt; .001</w:t>
            </w:r>
          </w:p>
        </w:tc>
      </w:tr>
      <w:tr>
        <w:trPr>
          <w:trHeight w:val="610" w:hRule="atLeast"/>
        </w:trPr>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left"/>
              <w:rPr/>
            </w:pPr>
            <w:r>
              <w:rPr>
                <w:rFonts w:ascii="Times New Roman" w:hAnsi="Times New Roman"/>
                <w:sz w:val="24"/>
                <w:szCs w:val="24"/>
              </w:rPr>
              <w:t>Category</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TableStyle2"/>
              <w:widowControl w:val="false"/>
              <w:bidi w:val="0"/>
              <w:ind w:left="0" w:right="0" w:hanging="0"/>
              <w:jc w:val="right"/>
              <w:rPr/>
            </w:pPr>
            <w:r>
              <w:rPr>
                <w:rFonts w:ascii="Times New Roman" w:hAnsi="Times New Roman"/>
                <w:sz w:val="24"/>
                <w:szCs w:val="24"/>
              </w:rPr>
              <w:t>Generalisation</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0.004</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0.032</w:t>
            </w:r>
          </w:p>
        </w:tc>
        <w:tc>
          <w:tcPr>
            <w:tcW w:w="2001"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0.114</w:t>
            </w:r>
          </w:p>
        </w:tc>
        <w:tc>
          <w:tcPr>
            <w:tcW w:w="1999"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0.028</w:t>
            </w:r>
          </w:p>
        </w:tc>
        <w:tc>
          <w:tcPr>
            <w:tcW w:w="2000" w:type="dxa"/>
            <w:tcBorders>
              <w:top w:val="single" w:sz="8" w:space="0" w:color="CACACA"/>
              <w:left w:val="single" w:sz="8" w:space="0" w:color="CACACA"/>
              <w:bottom w:val="single" w:sz="8" w:space="0" w:color="CACACA"/>
              <w:right w:val="single" w:sz="8" w:space="0" w:color="CACACA"/>
            </w:tcBorders>
            <w:shd w:color="auto" w:fill="EEEEEE" w:val="clear"/>
            <w:vAlign w:val="center"/>
          </w:tcPr>
          <w:p>
            <w:pPr>
              <w:pStyle w:val="Normal"/>
              <w:keepNext w:val="false"/>
              <w:keepLines w:val="false"/>
              <w:widowControl w:val="false"/>
              <w:shd w:val="clear" w:color="auto" w:fill="auto"/>
              <w:suppressAutoHyphens w:val="false"/>
              <w:bidi w:val="0"/>
              <w:spacing w:lineRule="auto" w:line="240" w:before="0" w:after="0"/>
              <w:ind w:left="0" w:right="0" w:hanging="0"/>
              <w:jc w:val="right"/>
              <w:rPr/>
            </w:pPr>
            <w:r>
              <w:rPr>
                <w:rFonts w:eastAsia="Arial Unicode MS" w:cs="Arial Unicode MS"/>
                <w:b w:val="false"/>
                <w:bCs w:val="false"/>
                <w:i w:val="false"/>
                <w:iCs w:val="false"/>
                <w:caps w:val="false"/>
                <w:smallCaps w:val="false"/>
                <w:strike w:val="false"/>
                <w:dstrike w:val="false"/>
                <w:outline w:val="false"/>
                <w:color w:val="000000"/>
                <w:spacing w:val="0"/>
                <w:kern w:val="0"/>
                <w:position w:val="0"/>
                <w:sz w:val="24"/>
                <w:sz w:val="24"/>
                <w:szCs w:val="24"/>
                <w:u w:val="none" w:color="FFFFFF"/>
                <w:vertAlign w:val="baseline"/>
              </w:rPr>
              <w:t>1.000</w:t>
            </w:r>
          </w:p>
        </w:tc>
      </w:tr>
    </w:tbl>
    <w:p>
      <w:pPr>
        <w:pStyle w:val="Body"/>
        <w:bidi w:val="0"/>
        <w:spacing w:before="480" w:after="0"/>
        <w:ind w:left="0" w:right="0" w:hanging="0"/>
        <w:jc w:val="center"/>
        <w:rPr>
          <w:rFonts w:ascii="Times New Roman" w:hAnsi="Times New Roman" w:eastAsia="Times New Roman" w:cs="Times New Roman"/>
          <w:sz w:val="24"/>
          <w:szCs w:val="24"/>
        </w:rPr>
      </w:pPr>
      <w:r>
        <w:rPr>
          <w:rFonts w:ascii="Times New Roman" w:hAnsi="Times New Roman"/>
          <w:sz w:val="24"/>
          <w:szCs w:val="24"/>
        </w:rPr>
        <w:t xml:space="preserve"> </w:t>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en-US"/>
        </w:rPr>
        <w:t>Supplementary T</w:t>
      </w:r>
      <w:r>
        <w:rPr>
          <w:rFonts w:ascii="Times New Roman" w:hAnsi="Times New Roman"/>
          <w:sz w:val="24"/>
          <w:szCs w:val="24"/>
          <w:lang w:val="en-US"/>
        </w:rPr>
        <w:t>able 2: Analysis from the categorical statistical learning task. Post Hoc comparisons of performance across condition types in the recall phase.</w:t>
      </w:r>
    </w:p>
    <w:p>
      <w:pPr>
        <w:pStyle w:val="Body"/>
        <w:bidi w:val="0"/>
        <w:spacing w:before="360" w:after="120"/>
        <w:ind w:left="0" w:right="0" w:hanging="0"/>
        <w:jc w:val="left"/>
        <w:rPr>
          <w:rFonts w:ascii="Times New Roman" w:hAnsi="Times New Roman" w:eastAsia="Times New Roman" w:cs="Times New Roman"/>
          <w:b/>
          <w:b/>
          <w:bCs/>
          <w:sz w:val="32"/>
          <w:szCs w:val="32"/>
        </w:rPr>
      </w:pPr>
      <w:r>
        <w:rPr>
          <w:rFonts w:ascii="Times New Roman" w:hAnsi="Times New Roman"/>
          <w:b/>
          <w:bCs/>
          <w:sz w:val="32"/>
          <w:szCs w:val="32"/>
          <w:lang w:val="en-US"/>
        </w:rPr>
        <w:t>Recall effect at the participant level</w:t>
      </w:r>
    </w:p>
    <w:p>
      <w:pPr>
        <w:pStyle w:val="Body"/>
        <w:bidi w:val="0"/>
        <w:spacing w:before="180" w:after="120"/>
        <w:ind w:left="0" w:right="0" w:hanging="0"/>
        <w:jc w:val="left"/>
        <w:rPr>
          <w:rFonts w:ascii="Times New Roman" w:hAnsi="Times New Roman" w:eastAsia="Times New Roman" w:cs="Times New Roman"/>
          <w:b/>
          <w:b/>
          <w:bCs/>
          <w:sz w:val="24"/>
          <w:szCs w:val="24"/>
        </w:rPr>
      </w:pPr>
      <w:r>
        <w:rPr>
          <w:rFonts w:ascii="Times New Roman" w:hAnsi="Times New Roman"/>
          <w:b/>
          <w:bCs/>
          <w:sz w:val="24"/>
          <w:szCs w:val="24"/>
          <w:lang w:val="en-US"/>
        </w:rPr>
        <w:t>Methods</w:t>
      </w:r>
    </w:p>
    <w:p>
      <w:pPr>
        <w:pStyle w:val="Body"/>
        <w:bidi w:val="0"/>
        <w:spacing w:before="60" w:after="0"/>
        <w:ind w:left="0" w:right="0" w:hanging="0"/>
        <w:jc w:val="both"/>
        <w:rPr>
          <w:rFonts w:ascii="Times New Roman" w:hAnsi="Times New Roman" w:eastAsia="Times New Roman" w:cs="Times New Roman"/>
          <w:sz w:val="24"/>
          <w:szCs w:val="24"/>
        </w:rPr>
      </w:pPr>
      <w:r>
        <w:rPr>
          <w:rFonts w:ascii="Times New Roman" w:hAnsi="Times New Roman"/>
          <w:sz w:val="24"/>
          <w:szCs w:val="24"/>
          <w:lang w:val="en-US"/>
        </w:rPr>
        <w:t>We also carried out an additional analysis to assess evidence for a recall effect at an individual level for each participant, using a Sequential Bayesian analysis (</w:t>
      </w:r>
      <w:r>
        <w:rPr>
          <w:rFonts w:ascii="Times New Roman" w:hAnsi="Times New Roman"/>
          <w:sz w:val="24"/>
          <w:szCs w:val="24"/>
          <w:lang w:val="de-DE"/>
        </w:rPr>
        <w:t>Sch</w:t>
      </w:r>
      <w:r>
        <w:rPr>
          <w:rFonts w:ascii="Times New Roman" w:hAnsi="Times New Roman"/>
          <w:sz w:val="24"/>
          <w:szCs w:val="24"/>
          <w:lang w:val="sv-SE"/>
        </w:rPr>
        <w:t>ö</w:t>
      </w:r>
      <w:r>
        <w:rPr>
          <w:rFonts w:ascii="Times New Roman" w:hAnsi="Times New Roman"/>
          <w:sz w:val="24"/>
          <w:szCs w:val="24"/>
          <w:lang w:val="de-DE"/>
        </w:rPr>
        <w:t>nbrodt and Wagenmakers</w:t>
      </w:r>
      <w:r>
        <w:rPr>
          <w:rFonts w:ascii="Times New Roman" w:hAnsi="Times New Roman"/>
          <w:sz w:val="24"/>
          <w:szCs w:val="24"/>
          <w:lang w:val="en-US"/>
        </w:rPr>
        <w:t>,</w:t>
      </w:r>
      <w:r>
        <w:rPr>
          <w:rFonts w:ascii="Times New Roman" w:hAnsi="Times New Roman"/>
          <w:sz w:val="24"/>
          <w:szCs w:val="24"/>
        </w:rPr>
        <w:t xml:space="preserve"> 2018).</w:t>
      </w:r>
    </w:p>
    <w:p>
      <w:pPr>
        <w:pStyle w:val="Body"/>
        <w:bidi w:val="0"/>
        <w:spacing w:before="60" w:after="0"/>
        <w:ind w:left="0" w:right="0" w:hanging="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ind w:left="0" w:right="0" w:firstLine="360"/>
        <w:jc w:val="both"/>
        <w:rPr>
          <w:rFonts w:ascii="Times New Roman" w:hAnsi="Times New Roman" w:eastAsia="Times New Roman" w:cs="Times New Roman"/>
          <w:sz w:val="24"/>
          <w:szCs w:val="24"/>
        </w:rPr>
      </w:pPr>
      <w:r>
        <w:rPr>
          <w:rFonts w:ascii="Times New Roman" w:hAnsi="Times New Roman"/>
          <w:sz w:val="24"/>
          <w:szCs w:val="24"/>
          <w:lang w:val="en-US"/>
        </w:rPr>
        <w:t xml:space="preserve">The Sequential Bayesian analysis consisted of calculating the evidence in support of the presence of a true learning effect on a trial by trial basis for each participant. To do this, we evaluated the evidence for two alternative models: </w:t>
      </w:r>
      <w:r>
        <w:rPr/>
      </w:r>
      <m:oMath xmlns:m="http://schemas.openxmlformats.org/officeDocument/2006/math">
        <m:sSub>
          <m:e>
            <m:r>
              <w:rPr>
                <w:rFonts w:ascii="Cambria Math" w:hAnsi="Cambria Math"/>
              </w:rPr>
              <m:t xml:space="preserve">M</m:t>
            </m:r>
          </m:e>
          <m:sub>
            <m:r>
              <w:rPr>
                <w:rFonts w:ascii="Cambria Math" w:hAnsi="Cambria Math"/>
              </w:rPr>
              <m:t xml:space="preserve">0</m:t>
            </m:r>
          </m:sub>
        </m:sSub>
      </m:oMath>
      <w:r>
        <w:rPr>
          <w:rFonts w:ascii="Times New Roman" w:hAnsi="Times New Roman"/>
          <w:sz w:val="24"/>
          <w:szCs w:val="24"/>
          <w:lang w:val="en-US"/>
        </w:rPr>
        <w:t xml:space="preserve">, which assumes the participant is guessing and has a 50% chance of identifying the correct triplet, and </w:t>
      </w:r>
      <w:r>
        <w:rPr/>
      </w:r>
      <m:oMath xmlns:m="http://schemas.openxmlformats.org/officeDocument/2006/math">
        <m:sSub>
          <m:e>
            <m:r>
              <w:rPr>
                <w:rFonts w:ascii="Cambria Math" w:hAnsi="Cambria Math"/>
              </w:rPr>
              <m:t xml:space="preserve">M</m:t>
            </m:r>
          </m:e>
          <m:sub>
            <m:r>
              <w:rPr>
                <w:rFonts w:ascii="Cambria Math" w:hAnsi="Cambria Math"/>
              </w:rPr>
              <m:t xml:space="preserve">1</m:t>
            </m:r>
          </m:sub>
        </m:sSub>
      </m:oMath>
      <w:r>
        <w:rPr>
          <w:rFonts w:ascii="Times New Roman" w:hAnsi="Times New Roman"/>
          <w:sz w:val="24"/>
          <w:szCs w:val="24"/>
          <w:lang w:val="en-US"/>
        </w:rPr>
        <w:t>, which assumes the participant</w:t>
      </w:r>
      <w:r>
        <w:rPr>
          <w:rFonts w:ascii="Times New Roman" w:hAnsi="Times New Roman"/>
          <w:sz w:val="24"/>
          <w:szCs w:val="24"/>
        </w:rPr>
        <w:t>’</w:t>
      </w:r>
      <w:r>
        <w:rPr>
          <w:rFonts w:ascii="Times New Roman" w:hAnsi="Times New Roman"/>
          <w:sz w:val="24"/>
          <w:szCs w:val="24"/>
          <w:lang w:val="en-US"/>
        </w:rPr>
        <w:t xml:space="preserve">s responses tend towards an unknown value within the range of possible performance scores </w:t>
      </w:r>
      <w:r>
        <w:rPr>
          <w:rFonts w:ascii="Times New Roman" w:hAnsi="Times New Roman"/>
          <w:i/>
          <w:iCs/>
          <w:sz w:val="24"/>
          <w:szCs w:val="24"/>
        </w:rPr>
        <w:t>p</w:t>
      </w:r>
      <w:r>
        <w:rPr>
          <w:rFonts w:ascii="STIXGeneral" w:hAnsi="STIXGeneral"/>
          <w:sz w:val="24"/>
          <w:szCs w:val="24"/>
        </w:rPr>
        <w:t>∈</w:t>
      </w:r>
      <w:r>
        <w:rPr>
          <w:rFonts w:ascii="Times New Roman" w:hAnsi="Times New Roman"/>
          <w:sz w:val="24"/>
          <w:szCs w:val="24"/>
          <w:lang w:val="en-US"/>
        </w:rPr>
        <w:t>[0,1]. It is worth noting that the latter model was equally sensitive to participants who showed a bias towards incorrect identification as it is possible that implicit awareness of transitional contingencies could bias attention towards unfamiliar stimuli instead of familiar stimuli (Itti and Baldi,</w:t>
      </w:r>
      <w:r>
        <w:rPr>
          <w:rFonts w:ascii="Times New Roman" w:hAnsi="Times New Roman"/>
          <w:sz w:val="24"/>
          <w:szCs w:val="24"/>
        </w:rPr>
        <w:t xml:space="preserve"> 2006).</w:t>
      </w:r>
    </w:p>
    <w:p>
      <w:pPr>
        <w:pStyle w:val="Body"/>
        <w:bidi w:val="0"/>
        <w:ind w:left="0" w:right="0" w:firstLine="360"/>
        <w:jc w:val="both"/>
        <w:rPr>
          <w:rFonts w:ascii="Times New Roman" w:hAnsi="Times New Roman" w:eastAsia="Times New Roman" w:cs="Times New Roman"/>
          <w:sz w:val="24"/>
          <w:szCs w:val="24"/>
        </w:rPr>
      </w:pPr>
      <w:r>
        <w:rPr>
          <w:rFonts w:ascii="Times New Roman" w:hAnsi="Times New Roman"/>
          <w:sz w:val="24"/>
          <w:szCs w:val="24"/>
          <w:lang w:val="en-US"/>
        </w:rPr>
        <w:t>Rather than using Bayes factors as a measure of evidence in support of the two models, as is traditionally done in such an approach (</w:t>
      </w:r>
      <w:r>
        <w:rPr>
          <w:rFonts w:ascii="Times New Roman" w:hAnsi="Times New Roman"/>
          <w:sz w:val="24"/>
          <w:szCs w:val="24"/>
          <w:lang w:val="de-DE"/>
        </w:rPr>
        <w:t>Sch</w:t>
      </w:r>
      <w:r>
        <w:rPr>
          <w:rFonts w:ascii="Times New Roman" w:hAnsi="Times New Roman"/>
          <w:sz w:val="24"/>
          <w:szCs w:val="24"/>
          <w:lang w:val="sv-SE"/>
        </w:rPr>
        <w:t>ö</w:t>
      </w:r>
      <w:r>
        <w:rPr>
          <w:rFonts w:ascii="Times New Roman" w:hAnsi="Times New Roman"/>
          <w:sz w:val="24"/>
          <w:szCs w:val="24"/>
          <w:lang w:val="de-DE"/>
        </w:rPr>
        <w:t>nbrodt and Wagenmakers</w:t>
      </w:r>
      <w:r>
        <w:rPr>
          <w:rFonts w:ascii="Times New Roman" w:hAnsi="Times New Roman"/>
          <w:sz w:val="24"/>
          <w:szCs w:val="24"/>
          <w:lang w:val="en-US"/>
        </w:rPr>
        <w:t xml:space="preserve">, 2018), the ratio of the natural logs of the likelihood estimates for the two models were used. This was done to allow for comparable scaling for likelihood ratios in support of the null hypothesis model </w:t>
      </w:r>
      <w:r>
        <w:rPr/>
      </w:r>
      <m:oMath xmlns:m="http://schemas.openxmlformats.org/officeDocument/2006/math">
        <m:sSub>
          <m:e>
            <m:r>
              <w:rPr>
                <w:rFonts w:ascii="Cambria Math" w:hAnsi="Cambria Math"/>
              </w:rPr>
              <m:t xml:space="preserve">M</m:t>
            </m:r>
          </m:e>
          <m:sub>
            <m:r>
              <w:rPr>
                <w:rFonts w:ascii="Cambria Math" w:hAnsi="Cambria Math"/>
              </w:rPr>
              <m:t xml:space="preserve">0</m:t>
            </m:r>
          </m:sub>
        </m:sSub>
      </m:oMath>
      <w:r>
        <w:rPr>
          <w:rFonts w:ascii="Times New Roman" w:hAnsi="Times New Roman"/>
          <w:sz w:val="24"/>
          <w:szCs w:val="24"/>
          <w:lang w:val="en-US"/>
        </w:rPr>
        <w:t xml:space="preserve">(where the equivalent Bayes factors would be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01</m:t>
            </m:r>
          </m:sub>
        </m:sSub>
        <m:r>
          <w:rPr>
            <w:rFonts w:ascii="Cambria Math" w:hAnsi="Cambria Math"/>
          </w:rPr>
          <m:t xml:space="preserve">&gt;</m:t>
        </m:r>
        <m:r>
          <w:rPr>
            <w:rFonts w:ascii="Cambria Math" w:hAnsi="Cambria Math"/>
          </w:rPr>
          <m:t xml:space="preserve">1</m:t>
        </m:r>
      </m:oMath>
      <w:r>
        <w:rPr>
          <w:rFonts w:ascii="Times New Roman" w:hAnsi="Times New Roman"/>
          <w:sz w:val="24"/>
          <w:szCs w:val="24"/>
          <w:lang w:val="en-US"/>
        </w:rPr>
        <w:t xml:space="preserve"> or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10</m:t>
            </m:r>
          </m:sub>
        </m:sSub>
        <m:r>
          <w:rPr>
            <w:rFonts w:ascii="Cambria Math" w:hAnsi="Cambria Math"/>
          </w:rPr>
          <m:t xml:space="preserve">&lt;</m:t>
        </m:r>
        <m:r>
          <w:rPr>
            <w:rFonts w:ascii="Cambria Math" w:hAnsi="Cambria Math"/>
          </w:rPr>
          <m:t xml:space="preserve">1</m:t>
        </m:r>
      </m:oMath>
      <w:r>
        <w:rPr>
          <w:rFonts w:ascii="Times New Roman" w:hAnsi="Times New Roman"/>
          <w:sz w:val="24"/>
          <w:szCs w:val="24"/>
          <w:lang w:val="en-US"/>
        </w:rPr>
        <w:t xml:space="preserve">) and likelihood ratios in support of the alternative hypothesis model </w:t>
      </w:r>
      <w:r>
        <w:rPr/>
      </w:r>
      <m:oMath xmlns:m="http://schemas.openxmlformats.org/officeDocument/2006/math">
        <m:sSub>
          <m:e>
            <m:r>
              <w:rPr>
                <w:rFonts w:ascii="Cambria Math" w:hAnsi="Cambria Math"/>
              </w:rPr>
              <m:t xml:space="preserve">M</m:t>
            </m:r>
          </m:e>
          <m:sub>
            <m:r>
              <w:rPr>
                <w:rFonts w:ascii="Cambria Math" w:hAnsi="Cambria Math"/>
              </w:rPr>
              <m:t xml:space="preserve">1</m:t>
            </m:r>
          </m:sub>
        </m:sSub>
      </m:oMath>
      <w:r>
        <w:rPr>
          <w:rFonts w:ascii="Times New Roman" w:hAnsi="Times New Roman"/>
          <w:sz w:val="24"/>
          <w:szCs w:val="24"/>
          <w:lang w:val="en-US"/>
        </w:rPr>
        <w:t xml:space="preserve">(where the equivalent Bayes factors would be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10</m:t>
            </m:r>
          </m:sub>
        </m:sSub>
        <m:r>
          <w:rPr>
            <w:rFonts w:ascii="Cambria Math" w:hAnsi="Cambria Math"/>
          </w:rPr>
          <m:t xml:space="preserve">&gt;</m:t>
        </m:r>
        <m:r>
          <w:rPr>
            <w:rFonts w:ascii="Cambria Math" w:hAnsi="Cambria Math"/>
          </w:rPr>
          <m:t xml:space="preserve">1</m:t>
        </m:r>
      </m:oMath>
      <w:r>
        <w:rPr>
          <w:rFonts w:ascii="Times New Roman" w:hAnsi="Times New Roman"/>
          <w:sz w:val="24"/>
          <w:szCs w:val="24"/>
          <w:lang w:val="en-US"/>
        </w:rPr>
        <w:t xml:space="preserve"> or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01</m:t>
            </m:r>
          </m:sub>
        </m:sSub>
        <m:r>
          <w:rPr>
            <w:rFonts w:ascii="Cambria Math" w:hAnsi="Cambria Math"/>
          </w:rPr>
          <m:t xml:space="preserve">&lt;</m:t>
        </m:r>
        <m:r>
          <w:rPr>
            <w:rFonts w:ascii="Cambria Math" w:hAnsi="Cambria Math"/>
          </w:rPr>
          <m:t xml:space="preserve">1</m:t>
        </m:r>
      </m:oMath>
      <w:r>
        <w:rPr>
          <w:rFonts w:ascii="Times New Roman" w:hAnsi="Times New Roman"/>
          <w:sz w:val="24"/>
          <w:szCs w:val="24"/>
        </w:rPr>
        <w:t>).</w:t>
      </w:r>
    </w:p>
    <w:p>
      <w:pPr>
        <w:pStyle w:val="Body"/>
        <w:bidi w:val="0"/>
        <w:ind w:left="0" w:right="0" w:firstLine="36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ind w:left="0" w:right="0" w:firstLine="360"/>
        <w:jc w:val="both"/>
        <w:rPr>
          <w:rFonts w:ascii="Times New Roman" w:hAnsi="Times New Roman" w:eastAsia="Times New Roman" w:cs="Times New Roman"/>
          <w:sz w:val="24"/>
          <w:szCs w:val="24"/>
        </w:rPr>
      </w:pPr>
      <w:r>
        <w:rPr>
          <w:rFonts w:ascii="Times New Roman" w:hAnsi="Times New Roman"/>
          <w:sz w:val="24"/>
          <w:szCs w:val="24"/>
          <w:lang w:val="en-US"/>
        </w:rPr>
        <w:t xml:space="preserve">Log likelihood ratios were calculated in relation to </w:t>
      </w:r>
      <w:r>
        <w:rPr/>
      </w:r>
      <m:oMath xmlns:m="http://schemas.openxmlformats.org/officeDocument/2006/math">
        <m:sSub>
          <m:e>
            <m:r>
              <w:rPr>
                <w:rFonts w:ascii="Cambria Math" w:hAnsi="Cambria Math"/>
              </w:rPr>
              <m:t xml:space="preserve">M</m:t>
            </m:r>
          </m:e>
          <m:sub>
            <m:r>
              <w:rPr>
                <w:rFonts w:ascii="Cambria Math" w:hAnsi="Cambria Math"/>
              </w:rPr>
              <m:t xml:space="preserve">1</m:t>
            </m:r>
          </m:sub>
        </m:sSub>
      </m:oMath>
      <w:r>
        <w:rPr>
          <w:rFonts w:ascii="Times New Roman" w:hAnsi="Times New Roman"/>
          <w:sz w:val="24"/>
          <w:szCs w:val="24"/>
          <w:lang w:val="en-US"/>
        </w:rPr>
        <w:t xml:space="preserve">, so positive values represented evidence to support a recall effect and negative values represented evidence to support random guessing. Values with a magnitude above 2 are considered as </w:t>
      </w:r>
      <w:r>
        <w:rPr>
          <w:rFonts w:ascii="Times New Roman" w:hAnsi="Times New Roman"/>
          <w:i/>
          <w:iCs/>
          <w:sz w:val="24"/>
          <w:szCs w:val="24"/>
          <w:lang w:val="en-US"/>
        </w:rPr>
        <w:t>substantial evidence</w:t>
      </w:r>
      <w:r>
        <w:rPr>
          <w:rFonts w:ascii="Times New Roman" w:hAnsi="Times New Roman"/>
          <w:sz w:val="24"/>
          <w:szCs w:val="24"/>
          <w:lang w:val="en-US"/>
        </w:rPr>
        <w:t xml:space="preserve"> in support of one of the two models and values above 6 are considered to be </w:t>
      </w:r>
      <w:r>
        <w:rPr>
          <w:rFonts w:ascii="Times New Roman" w:hAnsi="Times New Roman"/>
          <w:i/>
          <w:iCs/>
          <w:sz w:val="24"/>
          <w:szCs w:val="24"/>
          <w:lang w:val="en-US"/>
        </w:rPr>
        <w:t>strong evidence</w:t>
      </w:r>
      <w:r>
        <w:rPr>
          <w:rFonts w:ascii="Times New Roman" w:hAnsi="Times New Roman"/>
          <w:sz w:val="24"/>
          <w:szCs w:val="24"/>
        </w:rPr>
        <w:t xml:space="preserve"> </w:t>
      </w:r>
      <w:r>
        <w:rPr>
          <w:rFonts w:ascii="Times New Roman" w:hAnsi="Times New Roman"/>
          <w:sz w:val="24"/>
          <w:szCs w:val="24"/>
          <w:lang w:val="en-US"/>
        </w:rPr>
        <w:t xml:space="preserve">(Kass and Raftery, 1995). Positive values show evidence in favour of model </w:t>
      </w:r>
      <w:r>
        <w:rPr/>
      </w:r>
      <m:oMath xmlns:m="http://schemas.openxmlformats.org/officeDocument/2006/math">
        <m:sSub>
          <m:e>
            <m:r>
              <w:rPr>
                <w:rFonts w:ascii="Cambria Math" w:hAnsi="Cambria Math"/>
              </w:rPr>
              <m:t xml:space="preserve">M</m:t>
            </m:r>
          </m:e>
          <m:sub>
            <m:r>
              <w:rPr>
                <w:rFonts w:ascii="Cambria Math" w:hAnsi="Cambria Math"/>
              </w:rPr>
              <m:t xml:space="preserve">1</m:t>
            </m:r>
          </m:sub>
        </m:sSub>
      </m:oMath>
      <w:r>
        <w:rPr>
          <w:rFonts w:ascii="Times New Roman" w:hAnsi="Times New Roman"/>
          <w:sz w:val="24"/>
          <w:szCs w:val="24"/>
          <w:lang w:val="en-US"/>
        </w:rPr>
        <w:t xml:space="preserve">, suggesting evidence to support a recall effect, and negative values show evidence in favour of model </w:t>
      </w:r>
      <w:r>
        <w:rPr/>
      </w:r>
      <m:oMath xmlns:m="http://schemas.openxmlformats.org/officeDocument/2006/math">
        <m:sSub>
          <m:e>
            <m:r>
              <w:rPr>
                <w:rFonts w:ascii="Cambria Math" w:hAnsi="Cambria Math"/>
              </w:rPr>
              <m:t xml:space="preserve">M</m:t>
            </m:r>
          </m:e>
          <m:sub>
            <m:r>
              <w:rPr>
                <w:rFonts w:ascii="Cambria Math" w:hAnsi="Cambria Math"/>
              </w:rPr>
              <m:t xml:space="preserve">0</m:t>
            </m:r>
          </m:sub>
        </m:sSub>
      </m:oMath>
      <w:r>
        <w:rPr>
          <w:rFonts w:ascii="Times New Roman" w:hAnsi="Times New Roman"/>
          <w:sz w:val="24"/>
          <w:szCs w:val="24"/>
          <w:lang w:val="en-US"/>
        </w:rPr>
        <w:t>, suggesting evidence to support the absence of a recall effect.</w:t>
      </w:r>
    </w:p>
    <w:p>
      <w:pPr>
        <w:pStyle w:val="Body"/>
        <w:bidi w:val="0"/>
        <w:ind w:left="0" w:right="0" w:firstLine="360"/>
        <w:jc w:val="both"/>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ind w:left="0" w:right="0" w:firstLine="360"/>
        <w:jc w:val="both"/>
        <w:rPr>
          <w:rFonts w:ascii="Times New Roman" w:hAnsi="Times New Roman" w:eastAsia="Times New Roman" w:cs="Times New Roman"/>
          <w:sz w:val="24"/>
          <w:szCs w:val="24"/>
        </w:rPr>
      </w:pPr>
      <w:r>
        <w:rPr>
          <w:rFonts w:ascii="Times New Roman" w:hAnsi="Times New Roman"/>
          <w:sz w:val="24"/>
          <w:szCs w:val="24"/>
          <w:lang w:val="en-US"/>
        </w:rPr>
        <w:t>It is also worth noting that, based on the relatively small number of trials, the model would not be able to confidently support the null hypothesis. A participant who was correct on exactly 50% of trials would yield a log likelihood ratio of -1.53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01</m:t>
            </m:r>
          </m:sub>
        </m:sSub>
        <m:r>
          <w:rPr>
            <w:rFonts w:ascii="Cambria Math" w:hAnsi="Cambria Math"/>
          </w:rPr>
          <m:t xml:space="preserve">=</m:t>
        </m:r>
        <m:r>
          <w:rPr>
            <w:rFonts w:ascii="Cambria Math" w:hAnsi="Cambria Math"/>
          </w:rPr>
          <m:t xml:space="preserve">4.62</m:t>
        </m:r>
      </m:oMath>
      <w:r>
        <w:rPr>
          <w:rFonts w:ascii="Times New Roman" w:hAnsi="Times New Roman"/>
          <w:sz w:val="24"/>
          <w:szCs w:val="24"/>
          <w:lang w:val="en-US"/>
        </w:rPr>
        <w:t xml:space="preserve">), which is considered to be </w:t>
      </w:r>
      <w:r>
        <w:rPr>
          <w:rFonts w:ascii="Times New Roman" w:hAnsi="Times New Roman"/>
          <w:i/>
          <w:iCs/>
          <w:sz w:val="24"/>
          <w:szCs w:val="24"/>
          <w:lang w:val="en-US"/>
        </w:rPr>
        <w:t>insignificant evidence</w:t>
      </w:r>
      <w:r>
        <w:rPr>
          <w:rFonts w:ascii="Times New Roman" w:hAnsi="Times New Roman"/>
          <w:sz w:val="24"/>
          <w:szCs w:val="24"/>
          <w:lang w:val="en-US"/>
        </w:rPr>
        <w:t xml:space="preserve"> in support of the null. Whereas, if a participant were to correctly identify the triplet on every trial it would produce a log probability ratio greater than 10 (</w:t>
      </w:r>
      <w:r>
        <w:rPr/>
      </w:r>
      <m:oMath xmlns:m="http://schemas.openxmlformats.org/officeDocument/2006/math">
        <m:r>
          <w:rPr>
            <w:rFonts w:ascii="Cambria Math" w:hAnsi="Cambria Math"/>
          </w:rPr>
          <m:t xml:space="preserve">B</m:t>
        </m:r>
        <m:sSub>
          <m:e>
            <m:r>
              <w:rPr>
                <w:rFonts w:ascii="Cambria Math" w:hAnsi="Cambria Math"/>
              </w:rPr>
              <m:t xml:space="preserve">F</m:t>
            </m:r>
          </m:e>
          <m:sub>
            <m:r>
              <w:rPr>
                <w:rFonts w:ascii="Cambria Math" w:hAnsi="Cambria Math"/>
              </w:rPr>
              <m:t xml:space="preserve">10</m:t>
            </m:r>
          </m:sub>
        </m:sSub>
        <m:r>
          <w:rPr>
            <w:rFonts w:ascii="Cambria Math" w:hAnsi="Cambria Math"/>
          </w:rPr>
          <m:t xml:space="preserve">&gt;</m:t>
        </m:r>
        <m:r>
          <w:rPr>
            <w:rFonts w:ascii="Cambria Math" w:hAnsi="Cambria Math"/>
          </w:rPr>
          <m:t xml:space="preserve">150</m:t>
        </m:r>
      </m:oMath>
      <w:r>
        <w:rPr>
          <w:rFonts w:ascii="Times New Roman" w:hAnsi="Times New Roman"/>
          <w:sz w:val="24"/>
          <w:szCs w:val="24"/>
          <w:lang w:val="en-US"/>
        </w:rPr>
        <w:t>), which would be considered very strong evidence in support of a recall effect. Therefore, the nature of the task means that it is not possible to have strong confidence for the true absence of a recall effect. Nonetheless, it allows for testing of whether there was evidence in favour of a recall effect to be assessed as the individual participant level.</w:t>
      </w:r>
    </w:p>
    <w:p>
      <w:pPr>
        <w:pStyle w:val="Body"/>
        <w:bidi w:val="0"/>
        <w:ind w:left="0" w:right="0" w:firstLine="360"/>
        <w:jc w:val="both"/>
        <w:rPr>
          <w:rFonts w:ascii="Times New Roman" w:hAnsi="Times New Roman" w:eastAsia="Times New Roman" w:cs="Times New Roman"/>
          <w:sz w:val="24"/>
          <w:szCs w:val="24"/>
        </w:rPr>
      </w:pPr>
      <w:r>
        <w:rPr/>
      </w:r>
    </w:p>
    <w:p>
      <w:pPr>
        <w:pStyle w:val="Body"/>
        <w:bidi w:val="0"/>
        <w:ind w:left="0" w:right="0" w:hanging="0"/>
        <w:jc w:val="both"/>
        <w:rPr/>
      </w:pPr>
      <w:r>
        <w:rPr/>
        <w:drawing>
          <wp:inline distT="0" distB="0" distL="0" distR="0">
            <wp:extent cx="6120130" cy="3496945"/>
            <wp:effectExtent l="0" t="0" r="0" b="0"/>
            <wp:docPr id="1" name="officeArt object"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fficeArt object" descr=""/>
                    <pic:cNvPicPr>
                      <a:picLocks noChangeAspect="1" noChangeArrowheads="1"/>
                    </pic:cNvPicPr>
                  </pic:nvPicPr>
                  <pic:blipFill>
                    <a:blip r:embed="rId2"/>
                    <a:stretch>
                      <a:fillRect/>
                    </a:stretch>
                  </pic:blipFill>
                  <pic:spPr bwMode="auto">
                    <a:xfrm>
                      <a:off x="0" y="0"/>
                      <a:ext cx="6120130" cy="3496945"/>
                    </a:xfrm>
                    <a:prstGeom prst="rect">
                      <a:avLst/>
                    </a:prstGeom>
                  </pic:spPr>
                </pic:pic>
              </a:graphicData>
            </a:graphic>
          </wp:inline>
        </w:drawing>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en-US"/>
        </w:rPr>
        <w:t xml:space="preserve">Supplementary </w:t>
      </w:r>
      <w:r>
        <w:rPr>
          <w:rFonts w:ascii="Times New Roman" w:hAnsi="Times New Roman"/>
          <w:sz w:val="24"/>
          <w:szCs w:val="24"/>
          <w:lang w:val="en-US"/>
        </w:rPr>
        <w:t xml:space="preserve">Figure </w:t>
      </w:r>
      <w:r>
        <w:rPr>
          <w:rFonts w:ascii="Times New Roman" w:hAnsi="Times New Roman"/>
          <w:sz w:val="24"/>
          <w:szCs w:val="24"/>
          <w:lang w:val="en-US"/>
        </w:rPr>
        <w:t>1</w:t>
      </w:r>
      <w:r>
        <w:rPr>
          <w:rFonts w:ascii="Times New Roman" w:hAnsi="Times New Roman"/>
          <w:sz w:val="24"/>
          <w:szCs w:val="24"/>
          <w:lang w:val="en-US"/>
        </w:rPr>
        <w:t xml:space="preserve">: Log likelihood ratios after all trials in the recall phase for each participant. Ratios are stratified by group and condition type. Suggested boundaries for different evidence levels are indicated by the dashed lines. The different regions represent </w:t>
      </w:r>
      <w:r>
        <w:rPr>
          <w:rFonts w:ascii="Times New Roman" w:hAnsi="Times New Roman"/>
          <w:sz w:val="24"/>
          <w:szCs w:val="24"/>
        </w:rPr>
        <w:t>‘</w:t>
      </w:r>
      <w:r>
        <w:rPr>
          <w:rFonts w:ascii="Times New Roman" w:hAnsi="Times New Roman"/>
          <w:sz w:val="24"/>
          <w:szCs w:val="24"/>
          <w:lang w:val="en-US"/>
        </w:rPr>
        <w:t>insignificant evidence</w:t>
      </w:r>
      <w:r>
        <w:rPr>
          <w:rFonts w:ascii="Times New Roman" w:hAnsi="Times New Roman"/>
          <w:sz w:val="24"/>
          <w:szCs w:val="24"/>
        </w:rPr>
        <w:t>’, ‘</w:t>
      </w:r>
      <w:r>
        <w:rPr>
          <w:rFonts w:ascii="Times New Roman" w:hAnsi="Times New Roman"/>
          <w:sz w:val="24"/>
          <w:szCs w:val="24"/>
          <w:lang w:val="en-US"/>
        </w:rPr>
        <w:t>positive evidence</w:t>
      </w:r>
      <w:r>
        <w:rPr>
          <w:rFonts w:ascii="Times New Roman" w:hAnsi="Times New Roman"/>
          <w:sz w:val="24"/>
          <w:szCs w:val="24"/>
        </w:rPr>
        <w:t>’, ‘</w:t>
      </w:r>
      <w:r>
        <w:rPr>
          <w:rFonts w:ascii="Times New Roman" w:hAnsi="Times New Roman"/>
          <w:sz w:val="24"/>
          <w:szCs w:val="24"/>
          <w:lang w:val="en-US"/>
        </w:rPr>
        <w:t>strong evidence</w:t>
      </w:r>
      <w:r>
        <w:rPr>
          <w:rFonts w:ascii="Times New Roman" w:hAnsi="Times New Roman"/>
          <w:sz w:val="24"/>
          <w:szCs w:val="24"/>
        </w:rPr>
        <w:t xml:space="preserve">’ </w:t>
      </w:r>
      <w:r>
        <w:rPr>
          <w:rFonts w:ascii="Times New Roman" w:hAnsi="Times New Roman"/>
          <w:sz w:val="24"/>
          <w:szCs w:val="24"/>
          <w:lang w:val="en-US"/>
        </w:rPr>
        <w:t xml:space="preserve">and </w:t>
      </w:r>
      <w:r>
        <w:rPr>
          <w:rFonts w:ascii="Times New Roman" w:hAnsi="Times New Roman"/>
          <w:sz w:val="24"/>
          <w:szCs w:val="24"/>
        </w:rPr>
        <w:t>‘</w:t>
      </w:r>
      <w:r>
        <w:rPr>
          <w:rFonts w:ascii="Times New Roman" w:hAnsi="Times New Roman"/>
          <w:sz w:val="24"/>
          <w:szCs w:val="24"/>
          <w:lang w:val="en-US"/>
        </w:rPr>
        <w:t>very strong evidence</w:t>
      </w:r>
      <w:r>
        <w:rPr>
          <w:rFonts w:ascii="Times New Roman" w:hAnsi="Times New Roman"/>
          <w:sz w:val="24"/>
          <w:szCs w:val="24"/>
        </w:rPr>
        <w:t>’</w:t>
      </w:r>
      <w:r>
        <w:rPr>
          <w:rFonts w:ascii="Times New Roman" w:hAnsi="Times New Roman"/>
          <w:sz w:val="24"/>
          <w:szCs w:val="24"/>
          <w:lang w:val="en-US"/>
        </w:rPr>
        <w:t xml:space="preserve">, with increasingly dark shading representing increasing levels of evidence (Kass and Raftery, </w:t>
      </w:r>
      <w:r>
        <w:rPr>
          <w:rFonts w:ascii="Times New Roman" w:hAnsi="Times New Roman"/>
          <w:sz w:val="24"/>
          <w:szCs w:val="24"/>
        </w:rPr>
        <w:t>1995).</w:t>
      </w:r>
    </w:p>
    <w:p>
      <w:pPr>
        <w:pStyle w:val="Body"/>
        <w:bidi w:val="0"/>
        <w:spacing w:before="120" w:after="120"/>
        <w:ind w:left="0" w:right="0" w:hanging="0"/>
        <w:jc w:val="left"/>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Body"/>
        <w:bidi w:val="0"/>
        <w:spacing w:before="120" w:after="120"/>
        <w:ind w:left="0" w:right="0" w:hanging="0"/>
        <w:jc w:val="left"/>
        <w:rPr>
          <w:rFonts w:ascii="Times New Roman" w:hAnsi="Times New Roman" w:eastAsia="Times New Roman" w:cs="Times New Roman"/>
          <w:b/>
          <w:b/>
          <w:bCs/>
          <w:sz w:val="24"/>
          <w:szCs w:val="24"/>
        </w:rPr>
      </w:pPr>
      <w:r>
        <w:rPr>
          <w:rFonts w:ascii="Times New Roman" w:hAnsi="Times New Roman"/>
          <w:b/>
          <w:bCs/>
          <w:sz w:val="24"/>
          <w:szCs w:val="24"/>
          <w:lang w:val="en-US"/>
        </w:rPr>
        <w:t>Results</w:t>
      </w:r>
    </w:p>
    <w:p>
      <w:pPr>
        <w:pStyle w:val="Body"/>
        <w:bidi w:val="0"/>
        <w:spacing w:before="120" w:after="120"/>
        <w:ind w:left="0" w:right="0" w:hanging="0"/>
        <w:jc w:val="left"/>
        <w:rPr>
          <w:rFonts w:ascii="Times New Roman" w:hAnsi="Times New Roman" w:eastAsia="Times New Roman" w:cs="Times New Roman"/>
          <w:b/>
          <w:b/>
          <w:bCs/>
          <w:sz w:val="24"/>
          <w:szCs w:val="24"/>
        </w:rPr>
      </w:pPr>
      <w:r>
        <w:rPr>
          <w:rFonts w:eastAsia="Times New Roman" w:cs="Times New Roman" w:ascii="Times New Roman" w:hAnsi="Times New Roman"/>
          <w:b/>
          <w:bCs/>
          <w:sz w:val="24"/>
          <w:szCs w:val="24"/>
        </w:rPr>
      </w:r>
    </w:p>
    <w:p>
      <w:pPr>
        <w:pStyle w:val="Body"/>
        <w:bidi w:val="0"/>
        <w:spacing w:before="60" w:after="0"/>
        <w:ind w:left="0" w:right="0" w:hanging="0"/>
        <w:jc w:val="both"/>
        <w:rPr>
          <w:rFonts w:ascii="Times New Roman" w:hAnsi="Times New Roman" w:eastAsia="Times New Roman" w:cs="Times New Roman"/>
          <w:sz w:val="24"/>
          <w:szCs w:val="24"/>
        </w:rPr>
      </w:pPr>
      <w:r>
        <w:rPr>
          <w:rFonts w:ascii="Times New Roman" w:hAnsi="Times New Roman"/>
          <w:sz w:val="24"/>
          <w:szCs w:val="24"/>
          <w:lang w:val="en-US"/>
        </w:rPr>
        <w:t>A Sequential Bayesian analysis (</w:t>
      </w:r>
      <w:r>
        <w:rPr>
          <w:rFonts w:ascii="Times New Roman" w:hAnsi="Times New Roman"/>
          <w:sz w:val="24"/>
          <w:szCs w:val="24"/>
          <w:lang w:val="de-DE"/>
        </w:rPr>
        <w:t>Sch</w:t>
      </w:r>
      <w:r>
        <w:rPr>
          <w:rFonts w:ascii="Times New Roman" w:hAnsi="Times New Roman"/>
          <w:sz w:val="24"/>
          <w:szCs w:val="24"/>
          <w:lang w:val="sv-SE"/>
        </w:rPr>
        <w:t>ö</w:t>
      </w:r>
      <w:r>
        <w:rPr>
          <w:rFonts w:ascii="Times New Roman" w:hAnsi="Times New Roman"/>
          <w:sz w:val="24"/>
          <w:szCs w:val="24"/>
          <w:lang w:val="de-DE"/>
        </w:rPr>
        <w:t>nbrodt and Wagenmakers</w:t>
      </w:r>
      <w:r>
        <w:rPr>
          <w:rFonts w:ascii="Times New Roman" w:hAnsi="Times New Roman"/>
          <w:sz w:val="24"/>
          <w:szCs w:val="24"/>
          <w:lang w:val="en-US"/>
        </w:rPr>
        <w:t>, 2018) was carried out across each participants</w:t>
      </w:r>
      <w:r>
        <w:rPr>
          <w:rFonts w:ascii="Times New Roman" w:hAnsi="Times New Roman"/>
          <w:sz w:val="24"/>
          <w:szCs w:val="24"/>
        </w:rPr>
        <w:t xml:space="preserve">’ </w:t>
      </w:r>
      <w:r>
        <w:rPr>
          <w:rFonts w:ascii="Times New Roman" w:hAnsi="Times New Roman"/>
          <w:sz w:val="24"/>
          <w:szCs w:val="24"/>
          <w:lang w:val="en-US"/>
        </w:rPr>
        <w:t xml:space="preserve">set of responses in the recall phase, as detailed in the methods section. The final log likelihood ratios obtained at the end of the recall phase are shown for all participants in </w:t>
      </w:r>
      <w:r>
        <w:rPr>
          <w:rFonts w:ascii="Times New Roman" w:hAnsi="Times New Roman"/>
          <w:sz w:val="24"/>
          <w:szCs w:val="24"/>
          <w:lang w:val="en-US"/>
        </w:rPr>
        <w:t xml:space="preserve">supplementary </w:t>
      </w:r>
      <w:r>
        <w:rPr>
          <w:rFonts w:ascii="Times New Roman" w:hAnsi="Times New Roman"/>
          <w:sz w:val="24"/>
          <w:szCs w:val="24"/>
          <w:lang w:val="en-US"/>
        </w:rPr>
        <w:t xml:space="preserve">figure </w:t>
      </w:r>
      <w:r>
        <w:rPr>
          <w:rFonts w:ascii="Times New Roman" w:hAnsi="Times New Roman"/>
          <w:sz w:val="24"/>
          <w:szCs w:val="24"/>
          <w:lang w:val="en-US"/>
        </w:rPr>
        <w:t>1</w:t>
      </w:r>
      <w:r>
        <w:rPr>
          <w:rFonts w:ascii="Times New Roman" w:hAnsi="Times New Roman"/>
          <w:sz w:val="24"/>
          <w:szCs w:val="24"/>
          <w:lang w:val="en-US"/>
        </w:rPr>
        <w:t>. The different levels of evidence strength (as suggested by Kass and Raftery (1995)) are also indicated on the figure. The results show that moderate or higher evidence was found to support a learning effect in 20 of the 63 control participants (14 of which were in the standard condition, 2 in the category condition and 4 in the generalisation condition). For the autism group, 10 of the 61 participants gave responses that provided a moderate or higher evidence to support a learning effect (9 of which were in the standard condition and 1 in the category condition). These relative proportions of participants for which there was at least moderate evidence of a learning effect were then compared between the two groups using a Chi-squared test, however this failed to reach significance (</w:t>
      </w:r>
      <w:r>
        <w:rPr/>
      </w:r>
      <m:oMath xmlns:m="http://schemas.openxmlformats.org/officeDocument/2006/math">
        <m:sSup>
          <m:e>
            <m:limUpp>
              <m:e>
                <m:r>
                  <w:rPr>
                    <w:rFonts w:ascii="Cambria Math" w:hAnsi="Cambria Math"/>
                  </w:rPr>
                  <m:t xml:space="preserve">χ</m:t>
                </m:r>
              </m:e>
              <m:lim>
                <m:r>
                  <w:rPr>
                    <w:rFonts w:ascii="Cambria Math" w:hAnsi="Cambria Math"/>
                  </w:rPr>
                  <m:t xml:space="preserve">˜</m:t>
                </m:r>
              </m:lim>
            </m:limUpp>
          </m:e>
          <m:sup>
            <m:r>
              <w:rPr>
                <w:rFonts w:ascii="Cambria Math" w:hAnsi="Cambria Math"/>
              </w:rPr>
              <m:t xml:space="preserve">2</m:t>
            </m:r>
          </m:sup>
        </m:sSup>
        <m:d>
          <m:dPr>
            <m:begChr m:val="("/>
            <m:endChr m:val=")"/>
          </m:dPr>
          <m:e>
            <m:r>
              <w:rPr>
                <w:rFonts w:ascii="Cambria Math" w:hAnsi="Cambria Math"/>
              </w:rPr>
              <m:t xml:space="preserve">1</m:t>
            </m:r>
          </m:e>
        </m:d>
        <m:r>
          <w:rPr>
            <w:rFonts w:ascii="Cambria Math" w:hAnsi="Cambria Math"/>
          </w:rPr>
          <m:t xml:space="preserve">=</m:t>
        </m:r>
        <m:r>
          <w:rPr>
            <w:rFonts w:ascii="Cambria Math" w:hAnsi="Cambria Math"/>
          </w:rPr>
          <m:t xml:space="preserve">3.19</m:t>
        </m:r>
        <m:r>
          <w:rPr>
            <w:rFonts w:ascii="Cambria Math" w:hAnsi="Cambria Math"/>
          </w:rPr>
          <m:t xml:space="preserve">,</m:t>
        </m:r>
        <m:r>
          <w:rPr>
            <w:rFonts w:ascii="Cambria Math" w:hAnsi="Cambria Math"/>
          </w:rPr>
          <m:t xml:space="preserve">p</m:t>
        </m:r>
        <m:r>
          <w:rPr>
            <w:rFonts w:ascii="Cambria Math" w:hAnsi="Cambria Math"/>
          </w:rPr>
          <m:t xml:space="preserve">=</m:t>
        </m:r>
        <m:r>
          <w:rPr>
            <w:rFonts w:ascii="Cambria Math" w:hAnsi="Cambria Math"/>
          </w:rPr>
          <m:t xml:space="preserve">0.074</m:t>
        </m:r>
      </m:oMath>
      <w:r>
        <w:rPr>
          <w:rFonts w:ascii="Times New Roman" w:hAnsi="Times New Roman"/>
          <w:sz w:val="24"/>
          <w:szCs w:val="24"/>
          <w:lang w:val="en-US"/>
        </w:rPr>
        <w:t xml:space="preserve">). The average paths for the sequential accumulation of evidence from participant responses are shown in </w:t>
      </w:r>
      <w:r>
        <w:rPr>
          <w:rFonts w:ascii="Times New Roman" w:hAnsi="Times New Roman"/>
          <w:sz w:val="24"/>
          <w:szCs w:val="24"/>
          <w:lang w:val="en-US"/>
        </w:rPr>
        <w:t xml:space="preserve">supplementary </w:t>
      </w:r>
      <w:r>
        <w:rPr>
          <w:rFonts w:ascii="Times New Roman" w:hAnsi="Times New Roman"/>
          <w:sz w:val="24"/>
          <w:szCs w:val="24"/>
          <w:lang w:val="en-US"/>
        </w:rPr>
        <w:t xml:space="preserve">figure </w:t>
      </w:r>
      <w:r>
        <w:rPr>
          <w:rFonts w:ascii="Times New Roman" w:hAnsi="Times New Roman"/>
          <w:sz w:val="24"/>
          <w:szCs w:val="24"/>
          <w:lang w:val="en-US"/>
        </w:rPr>
        <w:t>2</w:t>
      </w:r>
      <w:r>
        <w:rPr>
          <w:rFonts w:ascii="Times New Roman" w:hAnsi="Times New Roman"/>
          <w:sz w:val="24"/>
          <w:szCs w:val="24"/>
          <w:lang w:val="en-US"/>
        </w:rPr>
        <w:t>.</w:t>
      </w:r>
    </w:p>
    <w:p>
      <w:pPr>
        <w:pStyle w:val="Body"/>
        <w:bidi w:val="0"/>
        <w:spacing w:before="60" w:after="0"/>
        <w:ind w:left="0" w:right="0" w:hanging="0"/>
        <w:jc w:val="both"/>
        <w:rPr>
          <w:rFonts w:ascii="Times New Roman" w:hAnsi="Times New Roman" w:eastAsia="Times New Roman" w:cs="Times New Roman"/>
          <w:sz w:val="24"/>
          <w:szCs w:val="24"/>
        </w:rPr>
      </w:pPr>
      <w:r>
        <w:rPr>
          <w:rFonts w:ascii="Times New Roman" w:hAnsi="Times New Roman"/>
          <w:sz w:val="24"/>
          <w:szCs w:val="24"/>
          <w:lang w:val="en-US"/>
        </w:rPr>
        <w:drawing>
          <wp:inline distT="0" distB="0" distL="0" distR="0">
            <wp:extent cx="6120130" cy="3060065"/>
            <wp:effectExtent l="0" t="0" r="0" b="0"/>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3"/>
                    <a:stretch>
                      <a:fillRect/>
                    </a:stretch>
                  </pic:blipFill>
                  <pic:spPr bwMode="auto">
                    <a:xfrm>
                      <a:off x="0" y="0"/>
                      <a:ext cx="6120130" cy="3060065"/>
                    </a:xfrm>
                    <a:prstGeom prst="rect">
                      <a:avLst/>
                    </a:prstGeom>
                  </pic:spPr>
                </pic:pic>
              </a:graphicData>
            </a:graphic>
          </wp:inline>
        </w:drawing>
      </w:r>
    </w:p>
    <w:p>
      <w:pPr>
        <w:pStyle w:val="Body"/>
        <w:bidi w:val="0"/>
        <w:spacing w:before="60" w:after="0"/>
        <w:ind w:left="0" w:right="0" w:hanging="0"/>
        <w:jc w:val="both"/>
        <w:rPr>
          <w:rFonts w:ascii="Times New Roman" w:hAnsi="Times New Roman" w:eastAsia="Times New Roman" w:cs="Times New Roman"/>
          <w:sz w:val="24"/>
          <w:szCs w:val="24"/>
        </w:rPr>
      </w:pPr>
      <w:r>
        <w:rPr>
          <w:rFonts w:ascii="Times New Roman" w:hAnsi="Times New Roman"/>
          <w:sz w:val="24"/>
          <w:szCs w:val="24"/>
          <w:lang w:val="en-US"/>
        </w:rPr>
        <w:drawing>
          <wp:inline distT="0" distB="0" distL="0" distR="0">
            <wp:extent cx="6120130" cy="3060065"/>
            <wp:effectExtent l="0" t="0" r="0" b="0"/>
            <wp:docPr id="3"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
                    <pic:cNvPicPr>
                      <a:picLocks noChangeAspect="1" noChangeArrowheads="1"/>
                    </pic:cNvPicPr>
                  </pic:nvPicPr>
                  <pic:blipFill>
                    <a:blip r:embed="rId4"/>
                    <a:stretch>
                      <a:fillRect/>
                    </a:stretch>
                  </pic:blipFill>
                  <pic:spPr bwMode="auto">
                    <a:xfrm>
                      <a:off x="0" y="0"/>
                      <a:ext cx="6120130" cy="3060065"/>
                    </a:xfrm>
                    <a:prstGeom prst="rect">
                      <a:avLst/>
                    </a:prstGeom>
                  </pic:spPr>
                </pic:pic>
              </a:graphicData>
            </a:graphic>
          </wp:inline>
        </w:drawing>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en-US"/>
        </w:rPr>
        <w:drawing>
          <wp:inline distT="0" distB="0" distL="0" distR="0">
            <wp:extent cx="6440805" cy="3220720"/>
            <wp:effectExtent l="0" t="0" r="0" b="0"/>
            <wp:docPr id="4" name="Imag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 descr=""/>
                    <pic:cNvPicPr>
                      <a:picLocks noChangeAspect="1" noChangeArrowheads="1"/>
                    </pic:cNvPicPr>
                  </pic:nvPicPr>
                  <pic:blipFill>
                    <a:blip r:embed="rId5"/>
                    <a:stretch>
                      <a:fillRect/>
                    </a:stretch>
                  </pic:blipFill>
                  <pic:spPr bwMode="auto">
                    <a:xfrm>
                      <a:off x="0" y="0"/>
                      <a:ext cx="6440805" cy="3220720"/>
                    </a:xfrm>
                    <a:prstGeom prst="rect">
                      <a:avLst/>
                    </a:prstGeom>
                  </pic:spPr>
                </pic:pic>
              </a:graphicData>
            </a:graphic>
          </wp:inline>
        </w:drawing>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en-US"/>
        </w:rPr>
        <w:t xml:space="preserve">Supplementary </w:t>
      </w:r>
      <w:r>
        <w:rPr>
          <w:rFonts w:ascii="Times New Roman" w:hAnsi="Times New Roman"/>
          <w:sz w:val="24"/>
          <w:szCs w:val="24"/>
          <w:lang w:val="en-US"/>
        </w:rPr>
        <w:t xml:space="preserve">Figure </w:t>
      </w:r>
      <w:r>
        <w:rPr>
          <w:rFonts w:ascii="Times New Roman" w:hAnsi="Times New Roman"/>
          <w:sz w:val="24"/>
          <w:szCs w:val="24"/>
          <w:lang w:val="en-US"/>
        </w:rPr>
        <w:t>2</w:t>
      </w:r>
      <w:r>
        <w:rPr>
          <w:rFonts w:ascii="Times New Roman" w:hAnsi="Times New Roman"/>
          <w:sz w:val="24"/>
          <w:szCs w:val="24"/>
          <w:lang w:val="en-US"/>
        </w:rPr>
        <w:t>: A plot of the average outcome on the log likelihood ratio as data is collected across all trials of the recall phase. Data are shown for each of the three conditions, with separate averages for the two groups. Standard errors are shown by the shaded regions. Positive values indicate that, on average, participants were considered to have shown responses that were more likely to occur based on the alternative hypothesis model (</w:t>
      </w:r>
      <w:r>
        <w:rPr/>
      </w:r>
      <m:oMath xmlns:m="http://schemas.openxmlformats.org/officeDocument/2006/math">
        <m:sSub>
          <m:e>
            <m:r>
              <w:rPr>
                <w:rFonts w:ascii="Cambria Math" w:hAnsi="Cambria Math"/>
              </w:rPr>
              <m:t xml:space="preserve">M</m:t>
            </m:r>
          </m:e>
          <m:sub>
            <m:r>
              <w:rPr>
                <w:rFonts w:ascii="Cambria Math" w:hAnsi="Cambria Math"/>
              </w:rPr>
              <m:t xml:space="preserve">1</m:t>
            </m:r>
          </m:sub>
        </m:sSub>
      </m:oMath>
      <w:r>
        <w:rPr>
          <w:rFonts w:ascii="Times New Roman" w:hAnsi="Times New Roman"/>
          <w:sz w:val="24"/>
          <w:szCs w:val="24"/>
          <w:lang w:val="en-US"/>
        </w:rPr>
        <w:t>, the existence of a recall effect). Negative values indicate that participants showed responses that were more likely to occur based on the null hypothesis model (</w:t>
      </w:r>
      <w:r>
        <w:rPr/>
      </w:r>
      <m:oMath xmlns:m="http://schemas.openxmlformats.org/officeDocument/2006/math">
        <m:sSub>
          <m:e>
            <m:r>
              <w:rPr>
                <w:rFonts w:ascii="Cambria Math" w:hAnsi="Cambria Math"/>
              </w:rPr>
              <m:t xml:space="preserve">M</m:t>
            </m:r>
          </m:e>
          <m:sub>
            <m:r>
              <w:rPr>
                <w:rFonts w:ascii="Cambria Math" w:hAnsi="Cambria Math"/>
              </w:rPr>
              <m:t xml:space="preserve">0</m:t>
            </m:r>
          </m:sub>
        </m:sSub>
      </m:oMath>
      <w:r>
        <w:rPr>
          <w:rFonts w:ascii="Times New Roman" w:hAnsi="Times New Roman"/>
          <w:sz w:val="24"/>
          <w:szCs w:val="24"/>
          <w:lang w:val="en-US"/>
        </w:rPr>
        <w:t>, the absence of a recall effect).</w:t>
      </w:r>
    </w:p>
    <w:p>
      <w:pPr>
        <w:pStyle w:val="Body"/>
        <w:bidi w:val="0"/>
        <w:spacing w:before="120" w:after="120"/>
        <w:ind w:left="0" w:right="0" w:hanging="0"/>
        <w:jc w:val="left"/>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spacing w:before="120" w:after="120"/>
        <w:ind w:left="0" w:right="0" w:hanging="0"/>
        <w:jc w:val="left"/>
        <w:rPr>
          <w:rFonts w:ascii="Times New Roman" w:hAnsi="Times New Roman" w:eastAsia="Times New Roman" w:cs="Times New Roman"/>
          <w:sz w:val="24"/>
          <w:szCs w:val="24"/>
        </w:rPr>
      </w:pPr>
      <w:r>
        <w:rPr>
          <w:rFonts w:eastAsia="Times New Roman" w:cs="Times New Roman" w:ascii="Times New Roman" w:hAnsi="Times New Roman"/>
          <w:sz w:val="24"/>
          <w:szCs w:val="24"/>
        </w:rPr>
      </w:r>
    </w:p>
    <w:p>
      <w:pPr>
        <w:pStyle w:val="Body"/>
        <w:bidi w:val="0"/>
        <w:spacing w:before="360" w:after="120"/>
        <w:ind w:left="0" w:right="0" w:hanging="0"/>
        <w:jc w:val="left"/>
        <w:rPr>
          <w:rFonts w:ascii="Times New Roman" w:hAnsi="Times New Roman" w:eastAsia="Times New Roman" w:cs="Times New Roman"/>
          <w:b/>
          <w:b/>
          <w:bCs/>
          <w:sz w:val="32"/>
          <w:szCs w:val="32"/>
        </w:rPr>
      </w:pPr>
      <w:r>
        <w:rPr>
          <w:rFonts w:ascii="Times New Roman" w:hAnsi="Times New Roman"/>
          <w:b/>
          <w:bCs/>
          <w:sz w:val="32"/>
          <w:szCs w:val="32"/>
          <w:lang w:val="en-US"/>
        </w:rPr>
        <w:t>Additional references</w:t>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lang w:val="fr-FR"/>
        </w:rPr>
        <w:t>Laurent Itti and Pierre</w:t>
      </w:r>
      <w:r>
        <w:rPr>
          <w:rFonts w:ascii="Times New Roman" w:hAnsi="Times New Roman"/>
          <w:sz w:val="24"/>
          <w:szCs w:val="24"/>
        </w:rPr>
        <w:t> </w:t>
      </w:r>
      <w:r>
        <w:rPr>
          <w:rFonts w:ascii="Times New Roman" w:hAnsi="Times New Roman"/>
          <w:sz w:val="24"/>
          <w:szCs w:val="24"/>
          <w:lang w:val="en-US"/>
        </w:rPr>
        <w:t xml:space="preserve">F Baldi. Bayesian surprise attracts human attention. In </w:t>
      </w:r>
      <w:r>
        <w:rPr>
          <w:rFonts w:ascii="Times New Roman" w:hAnsi="Times New Roman"/>
          <w:i/>
          <w:iCs/>
          <w:sz w:val="24"/>
          <w:szCs w:val="24"/>
          <w:lang w:val="en-US"/>
        </w:rPr>
        <w:t>Advances in Neural Information Processing Systems</w:t>
      </w:r>
      <w:r>
        <w:rPr>
          <w:rFonts w:ascii="Times New Roman" w:hAnsi="Times New Roman"/>
          <w:sz w:val="24"/>
          <w:szCs w:val="24"/>
          <w:lang w:val="fr-FR"/>
        </w:rPr>
        <w:t>, pages 547</w:t>
      </w:r>
      <w:r>
        <w:rPr>
          <w:rFonts w:ascii="Times New Roman" w:hAnsi="Times New Roman"/>
          <w:sz w:val="24"/>
          <w:szCs w:val="24"/>
        </w:rPr>
        <w:t>–554, 2006.</w:t>
      </w:r>
    </w:p>
    <w:p>
      <w:pPr>
        <w:pStyle w:val="Body"/>
        <w:bidi w:val="0"/>
        <w:spacing w:before="120" w:after="120"/>
        <w:ind w:left="0" w:right="0" w:hanging="0"/>
        <w:jc w:val="left"/>
        <w:rPr>
          <w:rFonts w:ascii="Times New Roman" w:hAnsi="Times New Roman" w:eastAsia="Times New Roman" w:cs="Times New Roman"/>
          <w:sz w:val="24"/>
          <w:szCs w:val="24"/>
        </w:rPr>
      </w:pPr>
      <w:r>
        <w:rPr>
          <w:rFonts w:ascii="Times New Roman" w:hAnsi="Times New Roman"/>
          <w:sz w:val="24"/>
          <w:szCs w:val="24"/>
        </w:rPr>
        <w:t>Robert </w:t>
      </w:r>
      <w:r>
        <w:rPr>
          <w:rFonts w:ascii="Times New Roman" w:hAnsi="Times New Roman"/>
          <w:sz w:val="24"/>
          <w:szCs w:val="24"/>
          <w:lang w:val="en-US"/>
        </w:rPr>
        <w:t>E. Kass and Adrian</w:t>
      </w:r>
      <w:r>
        <w:rPr>
          <w:rFonts w:ascii="Times New Roman" w:hAnsi="Times New Roman"/>
          <w:sz w:val="24"/>
          <w:szCs w:val="24"/>
        </w:rPr>
        <w:t> </w:t>
      </w:r>
      <w:r>
        <w:rPr>
          <w:rFonts w:ascii="Times New Roman" w:hAnsi="Times New Roman"/>
          <w:sz w:val="24"/>
          <w:szCs w:val="24"/>
          <w:lang w:val="en-US"/>
        </w:rPr>
        <w:t xml:space="preserve">E. Raftery. Bayes Factors. </w:t>
      </w:r>
      <w:r>
        <w:rPr>
          <w:rFonts w:ascii="Times New Roman" w:hAnsi="Times New Roman"/>
          <w:i/>
          <w:iCs/>
          <w:sz w:val="24"/>
          <w:szCs w:val="24"/>
          <w:lang w:val="en-US"/>
        </w:rPr>
        <w:t>Journal of the American Statistical Association</w:t>
      </w:r>
      <w:r>
        <w:rPr>
          <w:rFonts w:ascii="Times New Roman" w:hAnsi="Times New Roman"/>
          <w:sz w:val="24"/>
          <w:szCs w:val="24"/>
        </w:rPr>
        <w:t>, 90 (430): 773–795, June 1995. ISSN 0162-1459. 10.1080/01621459.1995.10476572.</w:t>
      </w:r>
    </w:p>
    <w:p>
      <w:pPr>
        <w:pStyle w:val="Body"/>
        <w:bidi w:val="0"/>
        <w:spacing w:before="120" w:after="120"/>
        <w:ind w:left="0" w:right="0" w:hanging="0"/>
        <w:jc w:val="left"/>
        <w:rPr/>
      </w:pPr>
      <w:r>
        <w:rPr>
          <w:rFonts w:ascii="Times New Roman" w:hAnsi="Times New Roman"/>
          <w:sz w:val="24"/>
          <w:szCs w:val="24"/>
          <w:lang w:val="da-DK"/>
        </w:rPr>
        <w:t>Felix</w:t>
      </w:r>
      <w:r>
        <w:rPr>
          <w:rFonts w:ascii="Times New Roman" w:hAnsi="Times New Roman"/>
          <w:sz w:val="24"/>
          <w:szCs w:val="24"/>
        </w:rPr>
        <w:t> </w:t>
      </w:r>
      <w:r>
        <w:rPr>
          <w:rFonts w:ascii="Times New Roman" w:hAnsi="Times New Roman"/>
          <w:sz w:val="24"/>
          <w:szCs w:val="24"/>
          <w:lang w:val="de-DE"/>
        </w:rPr>
        <w:t>D. Sch</w:t>
      </w:r>
      <w:r>
        <w:rPr>
          <w:rFonts w:ascii="Times New Roman" w:hAnsi="Times New Roman"/>
          <w:sz w:val="24"/>
          <w:szCs w:val="24"/>
          <w:lang w:val="sv-SE"/>
        </w:rPr>
        <w:t>ö</w:t>
      </w:r>
      <w:r>
        <w:rPr>
          <w:rFonts w:ascii="Times New Roman" w:hAnsi="Times New Roman"/>
          <w:sz w:val="24"/>
          <w:szCs w:val="24"/>
          <w:lang w:val="en-US"/>
        </w:rPr>
        <w:t xml:space="preserve">nbrodt and Eric-Jan Wagenmakers. Bayes factor design analysis: Planning for compelling evidence. </w:t>
      </w:r>
      <w:r>
        <w:rPr>
          <w:rFonts w:ascii="Times New Roman" w:hAnsi="Times New Roman"/>
          <w:i/>
          <w:iCs/>
          <w:sz w:val="24"/>
          <w:szCs w:val="24"/>
          <w:lang w:val="en-US"/>
        </w:rPr>
        <w:t>Psychonomic Bulletin &amp; Review</w:t>
      </w:r>
      <w:r>
        <w:rPr>
          <w:rFonts w:ascii="Times New Roman" w:hAnsi="Times New Roman"/>
          <w:sz w:val="24"/>
          <w:szCs w:val="24"/>
        </w:rPr>
        <w:t>, 25 (1): 128–142, February 2018. ISSN 1531-5320. 10.3758/s13423-017-1230-y.</w:t>
      </w:r>
    </w:p>
    <w:sectPr>
      <w:headerReference w:type="default" r:id="rId6"/>
      <w:footerReference w:type="default" r:id="rId7"/>
      <w:type w:val="nextPage"/>
      <w:pgSz w:w="11906" w:h="16838"/>
      <w:pgMar w:left="1134" w:right="1134" w:gutter="0" w:header="709" w:top="1134" w:footer="85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 w:name="Helvetica Neue">
    <w:charset w:val="01"/>
    <w:family w:val="roman"/>
    <w:pitch w:val="variable"/>
  </w:font>
  <w:font w:name="STIXGener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rPr/>
    </w:pPr>
    <w:r>
      <w:rPr/>
    </w:r>
  </w:p>
</w:hdr>
</file>

<file path=word/settings.xml><?xml version="1.0" encoding="utf-8"?>
<w:settings xmlns:w="http://schemas.openxmlformats.org/wordprocessingml/2006/main">
  <w:zoom w:percent="54"/>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Arial Unicode MS" w:cs="Times New Roman"/>
        <w:lang w:val="en-GB" w:eastAsia="zh-CN" w:bidi="hi-IN"/>
      </w:rPr>
    </w:rPrDefault>
    <w:pPrDefault>
      <w:pPr>
        <w:suppressAutoHyphens w:val="true"/>
      </w:pPr>
    </w:pPrDefault>
  </w:docDefaults>
  <w:style w:type="paragraph" w:styleId="Normal" w:default="1">
    <w:name w:val="Normal"/>
    <w:qFormat/>
    <w:pPr>
      <w:keepNext w:val="false"/>
      <w:keepLines w:val="false"/>
      <w:pageBreakBefore w:val="false"/>
      <w:widowControl/>
      <w:pBdr/>
      <w:shd w:val="clear" w:color="auto" w:fill="auto"/>
      <w:suppressAutoHyphens w:val="false"/>
      <w:bidi w:val="0"/>
      <w:spacing w:lineRule="auto" w:line="240" w:beforeAutospacing="0" w:before="0" w:afterAutospacing="0" w:after="0"/>
      <w:ind w:left="0" w:right="0" w:hanging="0"/>
      <w:jc w:val="left"/>
    </w:pPr>
    <w:rPr>
      <w:rFonts w:ascii="Times New Roman" w:hAnsi="Times New Roman" w:eastAsia="Arial Unicode MS" w:cs="Times New Roman"/>
      <w:b w:val="false"/>
      <w:bCs w:val="false"/>
      <w:i w:val="false"/>
      <w:iCs w:val="false"/>
      <w:caps w:val="false"/>
      <w:smallCaps w:val="false"/>
      <w:strike w:val="false"/>
      <w:dstrike w:val="false"/>
      <w:outline w:val="false"/>
      <w:emboss w:val="false"/>
      <w:imprint w:val="false"/>
      <w:vanish w:val="false"/>
      <w:color w:val="auto"/>
      <w:spacing w:val="0"/>
      <w:w w:val="100"/>
      <w:kern w:val="0"/>
      <w:position w:val="0"/>
      <w:sz w:val="24"/>
      <w:sz w:val="24"/>
      <w:szCs w:val="24"/>
      <w:u w:val="none" w:color="FFFFFF"/>
      <w:vertAlign w:val="baseline"/>
      <w:lang w:val="en-US" w:eastAsia="en-US" w:bidi="ar-SA"/>
    </w:rPr>
  </w:style>
  <w:style w:type="character" w:styleId="DefaultParagraphFont" w:default="1">
    <w:name w:val="Default Paragraph Font"/>
    <w:qFormat/>
    <w:rPr/>
  </w:style>
  <w:style w:type="character" w:styleId="InternetLink">
    <w:name w:val="Hyperlink"/>
    <w:rPr>
      <w:u w:val="single" w:color="FFFFFF"/>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lang w:val="zxx" w:eastAsia="zxx" w:bidi="zxx"/>
    </w:rPr>
  </w:style>
  <w:style w:type="paragraph" w:styleId="Body">
    <w:name w:val="Body"/>
    <w:qFormat/>
    <w:pPr>
      <w:keepNext w:val="false"/>
      <w:keepLines w:val="false"/>
      <w:pageBreakBefore w:val="false"/>
      <w:widowControl/>
      <w:pBdr/>
      <w:shd w:val="clear" w:color="auto" w:fill="auto"/>
      <w:suppressAutoHyphens w:val="false"/>
      <w:bidi w:val="0"/>
      <w:spacing w:lineRule="auto" w:line="240" w:beforeAutospacing="0" w:before="0" w:afterAutospacing="0" w:after="0"/>
      <w:ind w:left="0" w:right="0" w:hanging="0"/>
      <w:jc w:val="left"/>
    </w:pPr>
    <w:rPr>
      <w:rFonts w:ascii="Helvetica Neue" w:hAnsi="Helvetica Neue" w:eastAsia="Arial Unicode MS" w:cs="Arial Unicode MS"/>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2"/>
      <w:sz w:val="22"/>
      <w:szCs w:val="22"/>
      <w:u w:val="none" w:color="FFFFFF"/>
      <w:vertAlign w:val="baseline"/>
      <w:lang w:val="en-US" w:eastAsia="zh-CN" w:bidi="hi-IN"/>
    </w:rPr>
  </w:style>
  <w:style w:type="paragraph" w:styleId="TableStyle2">
    <w:name w:val="Table Style 2"/>
    <w:qFormat/>
    <w:pPr>
      <w:keepNext w:val="false"/>
      <w:keepLines w:val="false"/>
      <w:pageBreakBefore w:val="false"/>
      <w:widowControl/>
      <w:pBdr/>
      <w:shd w:val="clear" w:color="auto" w:fill="auto"/>
      <w:suppressAutoHyphens w:val="false"/>
      <w:bidi w:val="0"/>
      <w:spacing w:lineRule="auto" w:line="240" w:beforeAutospacing="0" w:before="0" w:afterAutospacing="0" w:after="0"/>
      <w:ind w:left="0" w:right="0" w:hanging="0"/>
      <w:jc w:val="left"/>
    </w:pPr>
    <w:rPr>
      <w:rFonts w:ascii="Helvetica Neue" w:hAnsi="Helvetica Neue" w:eastAsia="Helvetica Neue" w:cs="Helvetica Neue"/>
      <w:b w:val="false"/>
      <w:bCs w:val="false"/>
      <w:i w:val="false"/>
      <w:iCs w:val="false"/>
      <w:caps w:val="false"/>
      <w:smallCaps w:val="false"/>
      <w:strike w:val="false"/>
      <w:dstrike w:val="false"/>
      <w:outline w:val="false"/>
      <w:emboss w:val="false"/>
      <w:imprint w:val="false"/>
      <w:vanish w:val="false"/>
      <w:color w:val="000000"/>
      <w:spacing w:val="0"/>
      <w:w w:val="100"/>
      <w:kern w:val="0"/>
      <w:position w:val="0"/>
      <w:sz w:val="20"/>
      <w:sz w:val="20"/>
      <w:szCs w:val="20"/>
      <w:u w:val="none" w:color="FFFFFF"/>
      <w:vertAlign w:val="baseline"/>
      <w:lang w:val="en-GB" w:eastAsia="zh-CN" w:bidi="hi-IN"/>
    </w:rPr>
  </w:style>
  <w:style w:type="paragraph" w:styleId="HeaderandFooter">
    <w:name w:val="Header and Footer"/>
    <w:basedOn w:val="Normal"/>
    <w:qFormat/>
    <w:pPr/>
    <w:rPr/>
  </w:style>
  <w:style w:type="paragraph" w:styleId="Header">
    <w:name w:val="Header"/>
    <w:basedOn w:val="HeaderandFooter"/>
    <w:pPr/>
    <w:rPr/>
  </w:style>
  <w:style w:type="paragraph" w:styleId="Footer">
    <w:name w:val="Footer"/>
    <w:basedOn w:val="HeaderandFooter"/>
    <w:pPr/>
    <w:rPr/>
  </w:style>
  <w:style w:type="numbering" w:styleId="NoList" w:default="1">
    <w:name w:val="No List"/>
    <w:qFormat/>
  </w:style>
  <w:style w:type="table" w:default="1" w:styleId="Table Normal">
    <w:name w:val="Table Normal"/>
    <w:tblStylePr w:type="firstRow">
      <w:tblPr/>
    </w:tblStylePr>
    <w:tblStylePr w:type="lastRow">
      <w:tblPr/>
    </w:tblStylePr>
    <w:tblStylePr w:type="firstCol">
      <w:tblPr/>
    </w:tblStylePr>
    <w:tblStylePr w:type="lastCol">
      <w:tblPr/>
    </w:tblStylePr>
    <w:tblStylePr w:type="band1Vert">
      <w:tblPr/>
    </w:tblStylePr>
    <w:tblStylePr w:type="band2Vert">
      <w:tblPr/>
    </w:tblStylePr>
    <w:tblStylePr w:type="band1Horz">
      <w:tblPr/>
    </w:tblStylePr>
    <w:tblStylePr w:type="band2Horz">
      <w:tblPr/>
    </w:tblStylePr>
    <w:tblStylePr w:type="neCell">
      <w:tblPr/>
    </w:tblStylePr>
    <w:tblStylePr w:type="nwCell">
      <w:tblPr/>
    </w:tblStylePr>
    <w:tblStylePr w:type="seCell">
      <w:tblPr/>
    </w:tblStylePr>
    <w:tblStylePr w:type="swCell">
      <w:tblPr/>
    </w:tblStyle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Template/>
  <TotalTime>6</TotalTime>
  <Application>LibreOffice/7.3.3.2$MacOSX_X86_64 LibreOffice_project/d1d0ea68f081ee2800a922cac8f79445e4603348</Application>
  <AppVersion>15.0000</AppVersion>
  <Pages>5</Pages>
  <Words>1405</Words>
  <Characters>7440</Characters>
  <CharactersWithSpaces>8771</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dcterms:modified xsi:type="dcterms:W3CDTF">2022-06-20T12:51:38Z</dcterms:modified>
  <cp:revision>1</cp:revision>
  <dc:subject/>
  <dc:title/>
</cp:coreProperties>
</file>