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Additional File 1</w:t>
      </w:r>
      <w:r w:rsidDel="00000000" w:rsidR="00000000" w:rsidRPr="00000000">
        <w:rPr>
          <w:rFonts w:ascii="Palatino Linotype" w:cs="Palatino Linotype" w:eastAsia="Palatino Linotype" w:hAnsi="Palatino Linotype"/>
          <w:rtl w:val="0"/>
        </w:rPr>
        <w:t xml:space="preserve">. List of search strings to identify advanced respiratory support for the Gold Standard definition.</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90"/>
        <w:gridCol w:w="6570"/>
        <w:tblGridChange w:id="0">
          <w:tblGrid>
            <w:gridCol w:w="2790"/>
            <w:gridCol w:w="6570"/>
          </w:tblGrid>
        </w:tblGridChange>
      </w:tblGrid>
      <w:tr>
        <w:trPr>
          <w:cantSplit w:val="0"/>
          <w:tblHeader w:val="0"/>
        </w:trPr>
        <w:tc>
          <w:tcPr>
            <w:tcBorders>
              <w:bottom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02">
            <w:pPr>
              <w:widowControl w:val="0"/>
              <w:spacing w:line="240" w:lineRule="auto"/>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Search strings to identify advanced respiratory support</w:t>
            </w:r>
          </w:p>
        </w:tc>
        <w:tc>
          <w:tcPr>
            <w:tcBorders>
              <w:left w:color="000000" w:space="0" w:sz="18" w:val="single"/>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"ventilator", "mechanica", "vent", "ett", 'ET TUBE', "intubate", "non invasive ventilator", "high flow", "high-flow", "high flo", "hi flow", "hiflow", "highflow", "hfnc", "hhf", "bi-pap", "bipap", "c-pap", "cpap", "avap", "a-vaps", "non-rebreather", "nonrebreather", "non-rebre", "rebreather", "partial rebreather", "non rebreather", "nrbm", "trilogy machine", "trilagy", "trilogy", "triiogy", "triology"</w:t>
            </w:r>
          </w:p>
        </w:tc>
      </w:tr>
      <w:tr>
        <w:trPr>
          <w:cantSplit w:val="0"/>
          <w:tblHeader w:val="0"/>
        </w:trPr>
        <w:tc>
          <w:tcPr>
            <w:tcBorders>
              <w:top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04">
            <w:pPr>
              <w:widowControl w:val="0"/>
              <w:spacing w:line="240" w:lineRule="auto"/>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Additional search strings</w:t>
            </w:r>
          </w:p>
        </w:tc>
        <w:tc>
          <w:tcPr>
            <w:tcBorders>
              <w:top w:color="000000" w:space="0" w:sz="18" w:val="single"/>
              <w:left w:color="000000" w:space="0" w:sz="18" w:val="single"/>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line="240" w:lineRule="auto"/>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"FS Bipap CPAP", "Intubation", "FS Ventilator", "FS Trach/ETT H H", "Bronchoscopy", "Endotracheal Intubation Assis", "Nasotracheal/Oropharyngeal Ai", "Ventilator Weaning Assessment", "FS High Flow NC", "FS Optiflow"</w:t>
            </w:r>
          </w:p>
        </w:tc>
      </w:tr>
      <w:tr>
        <w:trPr>
          <w:cantSplit w:val="0"/>
          <w:tblHeader w:val="0"/>
        </w:trPr>
        <w:tc>
          <w:tcPr>
            <w:tcBorders>
              <w:top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06">
            <w:pPr>
              <w:widowControl w:val="0"/>
              <w:spacing w:line="240" w:lineRule="auto"/>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Search strings that are likely to indicate advanced respiratory support</w:t>
            </w:r>
          </w:p>
        </w:tc>
        <w:tc>
          <w:tcPr>
            <w:tcBorders>
              <w:top w:color="000000" w:space="0" w:sz="18" w:val="single"/>
              <w:lef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"high ...", "high...", "non-...", "non-r...", "partial re...", "trach", "heated trac","trach mask", "tcollar", "oxyplusmk", "oxymask", "oxym..", "oximizer", "optiflow", "opti-flow", "opti flow", "optiflo", "opti-flo", "opti flo", "opti- flow", "op flow", "opiflow", "optiglow", "otiflo", "opitiflow", "ambu-bag", "bagging", "bag valve mask", "vapotherm", "home unit", "homevent", "home vent"</w:t>
            </w:r>
          </w:p>
        </w:tc>
      </w:tr>
    </w:tbl>
    <w:p w:rsidR="00000000" w:rsidDel="00000000" w:rsidP="00000000" w:rsidRDefault="00000000" w:rsidRPr="00000000" w14:paraId="00000008">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09">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Additional File </w:t>
      </w:r>
      <w:r w:rsidDel="00000000" w:rsidR="00000000" w:rsidRPr="00000000">
        <w:rPr>
          <w:rFonts w:ascii="Palatino Linotype" w:cs="Palatino Linotype" w:eastAsia="Palatino Linotype" w:hAnsi="Palatino Linotype"/>
          <w:b w:val="1"/>
          <w:rtl w:val="0"/>
        </w:rPr>
        <w:t xml:space="preserve">2.</w:t>
      </w:r>
      <w:r w:rsidDel="00000000" w:rsidR="00000000" w:rsidRPr="00000000">
        <w:rPr>
          <w:rFonts w:ascii="Palatino Linotype" w:cs="Palatino Linotype" w:eastAsia="Palatino Linotype" w:hAnsi="Palatino Linotype"/>
          <w:b w:val="1"/>
          <w:rtl w:val="0"/>
        </w:rPr>
        <w:t xml:space="preserve"> </w:t>
      </w:r>
      <w:r w:rsidDel="00000000" w:rsidR="00000000" w:rsidRPr="00000000">
        <w:rPr>
          <w:rFonts w:ascii="Palatino Linotype" w:cs="Palatino Linotype" w:eastAsia="Palatino Linotype" w:hAnsi="Palatino Linotype"/>
          <w:rtl w:val="0"/>
        </w:rPr>
        <w:t xml:space="preserve">Summary of discussions with health care providers regarding algorithm design and utility. Discussions took place between August to September, 2021 through virtual conferences.</w:t>
      </w:r>
    </w:p>
    <w:tbl>
      <w:tblPr>
        <w:tblStyle w:val="Table2"/>
        <w:tblW w:w="921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30"/>
        <w:gridCol w:w="7080"/>
        <w:tblGridChange w:id="0">
          <w:tblGrid>
            <w:gridCol w:w="2130"/>
            <w:gridCol w:w="7080"/>
          </w:tblGrid>
        </w:tblGridChange>
      </w:tblGrid>
      <w:tr>
        <w:trPr>
          <w:cantSplit w:val="0"/>
          <w:tblHeader w:val="0"/>
        </w:trPr>
        <w:tc>
          <w:tcPr>
            <w:tcBorders>
              <w:bottom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0A">
            <w:pPr>
              <w:widowControl w:val="0"/>
              <w:spacing w:line="240" w:lineRule="auto"/>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Discussions with 15 health care providers (HCPs)</w:t>
            </w:r>
          </w:p>
        </w:tc>
        <w:tc>
          <w:tcPr>
            <w:tcBorders>
              <w:left w:color="000000" w:space="0" w:sz="18" w:val="single"/>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B">
            <w:pPr>
              <w:keepLines w:val="1"/>
              <w:widowControl w:val="0"/>
              <w:spacing w:after="40" w:before="40"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Types of care settings the HCPs typically worked in:</w:t>
            </w:r>
          </w:p>
          <w:p w:rsidR="00000000" w:rsidDel="00000000" w:rsidP="00000000" w:rsidRDefault="00000000" w:rsidRPr="00000000" w14:paraId="0000000C">
            <w:pPr>
              <w:keepLines w:val="1"/>
              <w:widowControl w:val="0"/>
              <w:spacing w:after="40" w:before="4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tl w:val="0"/>
              </w:rPr>
              <w:t xml:space="preserve">Large academic hospital </w:t>
            </w:r>
            <w:r w:rsidDel="00000000" w:rsidR="00000000" w:rsidRPr="00000000">
              <w:rPr>
                <w:rtl w:val="0"/>
              </w:rPr>
            </w:r>
          </w:p>
          <w:p w:rsidR="00000000" w:rsidDel="00000000" w:rsidP="00000000" w:rsidRDefault="00000000" w:rsidRPr="00000000" w14:paraId="0000000D">
            <w:pPr>
              <w:keepLines w:val="1"/>
              <w:widowControl w:val="0"/>
              <w:numPr>
                <w:ilvl w:val="0"/>
                <w:numId w:val="1"/>
              </w:numPr>
              <w:spacing w:after="0" w:afterAutospacing="0" w:before="40"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Pulmonologist / critical care clinician (2)</w:t>
            </w:r>
          </w:p>
          <w:p w:rsidR="00000000" w:rsidDel="00000000" w:rsidP="00000000" w:rsidRDefault="00000000" w:rsidRPr="00000000" w14:paraId="0000000E">
            <w:pPr>
              <w:keepLines w:val="1"/>
              <w:widowControl w:val="0"/>
              <w:numPr>
                <w:ilvl w:val="0"/>
                <w:numId w:val="1"/>
              </w:numPr>
              <w:spacing w:after="0" w:afterAutospacing="0" w:before="0" w:beforeAutospacing="0"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Hospitalist / internal medicine (3)</w:t>
            </w:r>
          </w:p>
          <w:p w:rsidR="00000000" w:rsidDel="00000000" w:rsidP="00000000" w:rsidRDefault="00000000" w:rsidRPr="00000000" w14:paraId="0000000F">
            <w:pPr>
              <w:keepLines w:val="1"/>
              <w:widowControl w:val="0"/>
              <w:numPr>
                <w:ilvl w:val="0"/>
                <w:numId w:val="1"/>
              </w:numPr>
              <w:spacing w:after="0" w:afterAutospacing="0" w:before="0" w:beforeAutospacing="0"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Emergency Department clinician (3)</w:t>
            </w:r>
          </w:p>
          <w:p w:rsidR="00000000" w:rsidDel="00000000" w:rsidP="00000000" w:rsidRDefault="00000000" w:rsidRPr="00000000" w14:paraId="00000010">
            <w:pPr>
              <w:keepLines w:val="1"/>
              <w:widowControl w:val="0"/>
              <w:numPr>
                <w:ilvl w:val="0"/>
                <w:numId w:val="1"/>
              </w:numPr>
              <w:spacing w:after="0" w:afterAutospacing="0" w:before="0" w:beforeAutospacing="0"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Acute cardiac nurse (2) </w:t>
            </w:r>
          </w:p>
          <w:p w:rsidR="00000000" w:rsidDel="00000000" w:rsidP="00000000" w:rsidRDefault="00000000" w:rsidRPr="00000000" w14:paraId="00000011">
            <w:pPr>
              <w:widowControl w:val="0"/>
              <w:numPr>
                <w:ilvl w:val="0"/>
                <w:numId w:val="1"/>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Surgical trauma ICU nurse (1)</w:t>
            </w:r>
          </w:p>
          <w:p w:rsidR="00000000" w:rsidDel="00000000" w:rsidP="00000000" w:rsidRDefault="00000000" w:rsidRPr="00000000" w14:paraId="00000012">
            <w:pPr>
              <w:widowControl w:val="0"/>
              <w:spacing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Community hospital</w:t>
            </w:r>
          </w:p>
          <w:p w:rsidR="00000000" w:rsidDel="00000000" w:rsidP="00000000" w:rsidRDefault="00000000" w:rsidRPr="00000000" w14:paraId="00000013">
            <w:pPr>
              <w:keepLines w:val="1"/>
              <w:widowControl w:val="0"/>
              <w:numPr>
                <w:ilvl w:val="0"/>
                <w:numId w:val="2"/>
              </w:numPr>
              <w:spacing w:after="0" w:afterAutospacing="0" w:before="40"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Chief Medical Officer (2) </w:t>
            </w:r>
          </w:p>
          <w:p w:rsidR="00000000" w:rsidDel="00000000" w:rsidP="00000000" w:rsidRDefault="00000000" w:rsidRPr="00000000" w14:paraId="00000014">
            <w:pPr>
              <w:keepLines w:val="1"/>
              <w:widowControl w:val="0"/>
              <w:numPr>
                <w:ilvl w:val="0"/>
                <w:numId w:val="2"/>
              </w:numPr>
              <w:spacing w:after="0" w:afterAutospacing="0" w:before="0" w:beforeAutospacing="0"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Hospitalist (1) </w:t>
            </w:r>
          </w:p>
          <w:p w:rsidR="00000000" w:rsidDel="00000000" w:rsidP="00000000" w:rsidRDefault="00000000" w:rsidRPr="00000000" w14:paraId="00000015">
            <w:pPr>
              <w:widowControl w:val="0"/>
              <w:numPr>
                <w:ilvl w:val="0"/>
                <w:numId w:val="2"/>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Intensive Care Unit (ICU)  intensivist (1) </w:t>
            </w:r>
            <w:r w:rsidDel="00000000" w:rsidR="00000000" w:rsidRPr="00000000">
              <w:rPr>
                <w:rtl w:val="0"/>
              </w:rPr>
            </w:r>
          </w:p>
        </w:tc>
      </w:tr>
      <w:tr>
        <w:trPr>
          <w:cantSplit w:val="0"/>
          <w:tblHeader w:val="0"/>
        </w:trPr>
        <w:tc>
          <w:tcPr>
            <w:tcBorders>
              <w:top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16">
            <w:pPr>
              <w:widowControl w:val="0"/>
              <w:spacing w:line="240" w:lineRule="auto"/>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Topics for the clinician discussion: algorithm design and utility</w:t>
            </w:r>
          </w:p>
        </w:tc>
        <w:tc>
          <w:tcPr>
            <w:tcBorders>
              <w:top w:color="000000" w:space="0" w:sz="18" w:val="single"/>
              <w:left w:color="000000" w:space="0" w:sz="18" w:val="single"/>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numPr>
                <w:ilvl w:val="0"/>
                <w:numId w:val="3"/>
              </w:numPr>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What standard of care do you use to assess risk for respiratory decompensation (RD)? How does this differ for COVID vs. non-COVID patients?</w:t>
            </w:r>
          </w:p>
          <w:p w:rsidR="00000000" w:rsidDel="00000000" w:rsidP="00000000" w:rsidRDefault="00000000" w:rsidRPr="00000000" w14:paraId="00000018">
            <w:pPr>
              <w:widowControl w:val="0"/>
              <w:numPr>
                <w:ilvl w:val="0"/>
                <w:numId w:val="3"/>
              </w:numPr>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What inputs are most important for predicting this disease?</w:t>
            </w:r>
          </w:p>
          <w:p w:rsidR="00000000" w:rsidDel="00000000" w:rsidP="00000000" w:rsidRDefault="00000000" w:rsidRPr="00000000" w14:paraId="00000019">
            <w:pPr>
              <w:widowControl w:val="0"/>
              <w:numPr>
                <w:ilvl w:val="0"/>
                <w:numId w:val="3"/>
              </w:numPr>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What prediction window would be most beneficial for patient care?</w:t>
            </w:r>
          </w:p>
          <w:p w:rsidR="00000000" w:rsidDel="00000000" w:rsidP="00000000" w:rsidRDefault="00000000" w:rsidRPr="00000000" w14:paraId="0000001A">
            <w:pPr>
              <w:widowControl w:val="0"/>
              <w:numPr>
                <w:ilvl w:val="0"/>
                <w:numId w:val="3"/>
              </w:numPr>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What notification alert modalities would be most useful?</w:t>
            </w:r>
          </w:p>
          <w:p w:rsidR="00000000" w:rsidDel="00000000" w:rsidP="00000000" w:rsidRDefault="00000000" w:rsidRPr="00000000" w14:paraId="0000001B">
            <w:pPr>
              <w:widowControl w:val="0"/>
              <w:numPr>
                <w:ilvl w:val="0"/>
                <w:numId w:val="3"/>
              </w:numPr>
              <w:spacing w:after="20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What performance metrics are most important to optimize in the RD algorithm so the notification alerts are most relevant for patient care?</w:t>
            </w:r>
            <w:r w:rsidDel="00000000" w:rsidR="00000000" w:rsidRPr="00000000">
              <w:rPr>
                <w:rtl w:val="0"/>
              </w:rPr>
            </w:r>
          </w:p>
        </w:tc>
      </w:tr>
      <w:tr>
        <w:trPr>
          <w:cantSplit w:val="0"/>
          <w:tblHeader w:val="0"/>
        </w:trPr>
        <w:tc>
          <w:tcPr>
            <w:tcBorders>
              <w:top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1C">
            <w:pPr>
              <w:widowControl w:val="0"/>
              <w:spacing w:line="240" w:lineRule="auto"/>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Key relevant feedback</w:t>
            </w:r>
            <w:r w:rsidDel="00000000" w:rsidR="00000000" w:rsidRPr="00000000">
              <w:rPr>
                <w:rtl w:val="0"/>
              </w:rPr>
            </w:r>
          </w:p>
        </w:tc>
        <w:tc>
          <w:tcPr>
            <w:tcBorders>
              <w:top w:color="000000" w:space="0" w:sz="18" w:val="single"/>
              <w:left w:color="000000" w:space="0" w:sz="18" w:val="single"/>
            </w:tcBorders>
            <w:shd w:fill="auto" w:val="clear"/>
            <w:tcMar>
              <w:top w:w="99.36" w:type="dxa"/>
              <w:left w:w="99.36" w:type="dxa"/>
              <w:bottom w:w="99.36" w:type="dxa"/>
              <w:right w:w="99.36" w:type="dxa"/>
            </w:tcMar>
            <w:vAlign w:val="top"/>
          </w:tcPr>
          <w:p w:rsidR="00000000" w:rsidDel="00000000" w:rsidP="00000000" w:rsidRDefault="00000000" w:rsidRPr="00000000" w14:paraId="0000001D">
            <w:pPr>
              <w:widowControl w:val="0"/>
              <w:spacing w:line="240" w:lineRule="auto"/>
              <w:ind w:left="270" w:hanging="270"/>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Gold standard (GS)</w:t>
            </w:r>
          </w:p>
          <w:p w:rsidR="00000000" w:rsidDel="00000000" w:rsidP="00000000" w:rsidRDefault="00000000" w:rsidRPr="00000000" w14:paraId="0000001E">
            <w:pPr>
              <w:widowControl w:val="0"/>
              <w:numPr>
                <w:ilvl w:val="0"/>
                <w:numId w:val="8"/>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GS of risk of ARF: Clinicians agreed that patient’s decline will typically occur if they are receiving more than 15 L O2/min, as signified by the non rebreather mask, humidified high flow nasal cannula (HHHF), non-invasive ventilation (CPAP or BiPAP), invasive mechanical ventilation (IMV), or extracorporeal membrane oxygenation (ECMO)</w:t>
            </w:r>
          </w:p>
          <w:p w:rsidR="00000000" w:rsidDel="00000000" w:rsidP="00000000" w:rsidRDefault="00000000" w:rsidRPr="00000000" w14:paraId="0000001F">
            <w:pPr>
              <w:widowControl w:val="0"/>
              <w:numPr>
                <w:ilvl w:val="0"/>
                <w:numId w:val="8"/>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End goal of early suggestion of decompensation risk; HCP’s wanted to be aware if patient would need to receive any method of high flow oxygen delivery to implement monitoring for signs of rapid decline</w:t>
            </w:r>
          </w:p>
          <w:p w:rsidR="00000000" w:rsidDel="00000000" w:rsidP="00000000" w:rsidRDefault="00000000" w:rsidRPr="00000000" w14:paraId="00000020">
            <w:pPr>
              <w:widowControl w:val="0"/>
              <w:spacing w:line="240" w:lineRule="auto"/>
              <w:ind w:left="-90" w:firstLine="90"/>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Important features</w:t>
            </w:r>
          </w:p>
          <w:p w:rsidR="00000000" w:rsidDel="00000000" w:rsidP="00000000" w:rsidRDefault="00000000" w:rsidRPr="00000000" w14:paraId="00000021">
            <w:pPr>
              <w:widowControl w:val="0"/>
              <w:numPr>
                <w:ilvl w:val="0"/>
                <w:numId w:val="8"/>
              </w:numPr>
              <w:spacing w:line="240" w:lineRule="auto"/>
              <w:ind w:left="270" w:hanging="270"/>
              <w:rPr>
                <w:rFonts w:ascii="Palatino Linotype" w:cs="Palatino Linotype" w:eastAsia="Palatino Linotype" w:hAnsi="Palatino Linotype"/>
                <w:sz w:val="20"/>
                <w:szCs w:val="20"/>
                <w:u w:val="none"/>
              </w:rPr>
            </w:pPr>
            <w:r w:rsidDel="00000000" w:rsidR="00000000" w:rsidRPr="00000000">
              <w:rPr>
                <w:rFonts w:ascii="Palatino Linotype" w:cs="Palatino Linotype" w:eastAsia="Palatino Linotype" w:hAnsi="Palatino Linotype"/>
                <w:sz w:val="20"/>
                <w:szCs w:val="20"/>
                <w:rtl w:val="0"/>
              </w:rPr>
              <w:t xml:space="preserve">SpO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level was one of the major determinants in assessing patient status</w:t>
            </w:r>
            <w:r w:rsidDel="00000000" w:rsidR="00000000" w:rsidRPr="00000000">
              <w:rPr>
                <w:rtl w:val="0"/>
              </w:rPr>
            </w:r>
          </w:p>
          <w:p w:rsidR="00000000" w:rsidDel="00000000" w:rsidP="00000000" w:rsidRDefault="00000000" w:rsidRPr="00000000" w14:paraId="00000022">
            <w:pPr>
              <w:widowControl w:val="0"/>
              <w:spacing w:line="240" w:lineRule="auto"/>
              <w:ind w:left="270" w:hanging="270"/>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Prediction window</w:t>
            </w:r>
          </w:p>
          <w:p w:rsidR="00000000" w:rsidDel="00000000" w:rsidP="00000000" w:rsidRDefault="00000000" w:rsidRPr="00000000" w14:paraId="00000023">
            <w:pPr>
              <w:widowControl w:val="0"/>
              <w:numPr>
                <w:ilvl w:val="0"/>
                <w:numId w:val="4"/>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HCPs suggested a continually monitoring system that would alert when a patient would be at risk within a short time window following the alert, specifically between 24-48 hours - enough lead time to transfer the patient to the ICU as necessary, while being close enough to the event where a patient would exhibit early stages of deterioration, rendering the alert believable</w:t>
            </w:r>
          </w:p>
          <w:p w:rsidR="00000000" w:rsidDel="00000000" w:rsidP="00000000" w:rsidRDefault="00000000" w:rsidRPr="00000000" w14:paraId="00000024">
            <w:pPr>
              <w:widowControl w:val="0"/>
              <w:spacing w:line="240" w:lineRule="auto"/>
              <w:ind w:left="-90" w:firstLine="90"/>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Potential clinical benefit</w:t>
            </w:r>
          </w:p>
          <w:p w:rsidR="00000000" w:rsidDel="00000000" w:rsidP="00000000" w:rsidRDefault="00000000" w:rsidRPr="00000000" w14:paraId="00000025">
            <w:pPr>
              <w:widowControl w:val="0"/>
              <w:numPr>
                <w:ilvl w:val="0"/>
                <w:numId w:val="5"/>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Potential use of predictive algorithms, particularly during the height of the COVID pandemic</w:t>
            </w:r>
          </w:p>
          <w:p w:rsidR="00000000" w:rsidDel="00000000" w:rsidP="00000000" w:rsidRDefault="00000000" w:rsidRPr="00000000" w14:paraId="00000026">
            <w:pPr>
              <w:widowControl w:val="0"/>
              <w:numPr>
                <w:ilvl w:val="0"/>
                <w:numId w:val="5"/>
              </w:numPr>
              <w:spacing w:line="240" w:lineRule="auto"/>
              <w:ind w:left="270" w:hanging="27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Having a “second set of eyes” could also help monitor and identify deteriorating patients would be especially useful given staffing challenges, particularly with the dwindling number of experienced nursing staff, even at well-resourced academic institutions</w:t>
            </w:r>
          </w:p>
        </w:tc>
      </w:tr>
    </w:tbl>
    <w:p w:rsidR="00000000" w:rsidDel="00000000" w:rsidP="00000000" w:rsidRDefault="00000000" w:rsidRPr="00000000" w14:paraId="00000027">
      <w:pPr>
        <w:spacing w:line="360" w:lineRule="auto"/>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28">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Additional File 3.</w:t>
      </w:r>
      <w:r w:rsidDel="00000000" w:rsidR="00000000" w:rsidRPr="00000000">
        <w:rPr>
          <w:rFonts w:ascii="Palatino Linotype" w:cs="Palatino Linotype" w:eastAsia="Palatino Linotype" w:hAnsi="Palatino Linotype"/>
          <w:rtl w:val="0"/>
        </w:rPr>
        <w:t xml:space="preserve"> Percentage of missing data for optional model inputs in training, temporal testing, and external validation test sets. A feature was considered missing if it was not measured before onset of acute respiratory failure or before the end of stay for an encounter.</w:t>
      </w:r>
    </w:p>
    <w:tbl>
      <w:tblPr>
        <w:tblStyle w:val="Table3"/>
        <w:tblW w:w="8185.0" w:type="dxa"/>
        <w:jc w:val="left"/>
        <w:tblInd w:w="14.399999999999999"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990"/>
        <w:gridCol w:w="1548.75"/>
        <w:gridCol w:w="1548.75"/>
        <w:gridCol w:w="1548.75"/>
        <w:gridCol w:w="1548.75"/>
        <w:tblGridChange w:id="0">
          <w:tblGrid>
            <w:gridCol w:w="1990"/>
            <w:gridCol w:w="1548.75"/>
            <w:gridCol w:w="1548.75"/>
            <w:gridCol w:w="1548.75"/>
            <w:gridCol w:w="1548.75"/>
          </w:tblGrid>
        </w:tblGridChange>
      </w:tblGrid>
      <w:tr>
        <w:trPr>
          <w:cantSplit w:val="0"/>
          <w:trHeight w:val="300" w:hRule="atLeast"/>
          <w:tblHeader w:val="0"/>
        </w:trPr>
        <w:tc>
          <w:tcPr>
            <w:tcBorders>
              <w:top w:color="cccccc" w:space="0" w:sz="4" w:val="single"/>
              <w:left w:color="000000"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9">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Optional Features</w:t>
            </w:r>
          </w:p>
        </w:tc>
        <w:tc>
          <w:tcPr>
            <w:tcBorders>
              <w:top w:color="cccccc" w:space="0" w:sz="4" w:val="single"/>
              <w:left w:color="cccccc" w:space="0" w:sz="4" w:val="single"/>
              <w:bottom w:color="000000" w:space="0" w:sz="18" w:val="single"/>
              <w:right w:color="000000" w:space="0" w:sz="4"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A">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Training Set</w:t>
            </w:r>
          </w:p>
        </w:tc>
        <w:tc>
          <w:tcPr>
            <w:tcBorders>
              <w:top w:color="cccccc" w:space="0" w:sz="4" w:val="single"/>
              <w:left w:color="cccccc" w:space="0" w:sz="4" w:val="single"/>
              <w:bottom w:color="000000" w:space="0" w:sz="18" w:val="single"/>
              <w:right w:color="000000" w:space="0" w:sz="4"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B">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Temporal Testing Set</w:t>
            </w:r>
          </w:p>
        </w:tc>
        <w:tc>
          <w:tcPr>
            <w:tcBorders>
              <w:top w:color="cccccc" w:space="0" w:sz="4" w:val="single"/>
              <w:left w:color="cccccc" w:space="0" w:sz="4" w:val="single"/>
              <w:bottom w:color="000000" w:space="0" w:sz="18" w:val="single"/>
              <w:right w:color="000000" w:space="0" w:sz="4"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External Validation Set</w:t>
            </w:r>
          </w:p>
        </w:tc>
        <w:tc>
          <w:tcPr>
            <w:tcBorders>
              <w:top w:color="cccccc" w:space="0" w:sz="4" w:val="single"/>
              <w:left w:color="cccccc" w:space="0" w:sz="4" w:val="single"/>
              <w:bottom w:color="000000" w:space="0" w:sz="18" w:val="single"/>
              <w:right w:color="000000" w:space="0" w:sz="4" w:val="single"/>
            </w:tcBorders>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2D">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All Data</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2E">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Platelets</w:t>
            </w:r>
          </w:p>
        </w:tc>
        <w:tc>
          <w:tcPr>
            <w:tcBorders>
              <w:top w:color="000000" w:space="0" w:sz="18"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2F">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35.4%</w:t>
            </w:r>
          </w:p>
        </w:tc>
        <w:tc>
          <w:tcPr>
            <w:tcBorders>
              <w:top w:color="000000" w:space="0" w:sz="18"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0">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29.4%</w:t>
            </w:r>
          </w:p>
        </w:tc>
        <w:tc>
          <w:tcPr>
            <w:tcBorders>
              <w:top w:color="000000" w:space="0" w:sz="18"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1">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43.1%</w:t>
            </w:r>
          </w:p>
        </w:tc>
        <w:tc>
          <w:tcPr>
            <w:tcBorders>
              <w:top w:color="000000" w:space="0" w:sz="18"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2">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36.7%</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3">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White blood cell count</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4">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35.7%</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5">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29.8%</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6">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43.1%</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7">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36.9%</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8">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Hematocrit</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9">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36.5%</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A">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31.6%</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B">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43.0%</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C">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37.6%</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D">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Hemoglobin</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E">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36.6%</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3F">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31.9%</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0">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43.0%</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1">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37.7%</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2">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Blood urea nitrogen</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3">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38.0%</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4">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30.5%</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5">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44.8%</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6">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39.0%</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7">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Creatinine</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8">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38.1%</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9">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30.6%</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A">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44.9%</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B">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39.1%</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C">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Red blood cell count</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D">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36.2%</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E">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31.2%</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4F">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99.8%</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0">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49.0%</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1">
            <w:pPr>
              <w:widowControl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pH</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2">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94.6%</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3">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95.5%</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4">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97.3%</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5">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95.2%</w:t>
            </w:r>
          </w:p>
        </w:tc>
      </w:tr>
      <w:tr>
        <w:trPr>
          <w:cantSplit w:val="0"/>
          <w:trHeight w:val="300" w:hRule="atLeast"/>
          <w:tblHeader w:val="0"/>
        </w:trPr>
        <w:tc>
          <w:tcPr>
            <w:tcBorders>
              <w:top w:color="cccccc" w:space="0" w:sz="4" w:val="single"/>
              <w:left w:color="000000" w:space="0" w:sz="4" w:val="single"/>
              <w:bottom w:color="000000" w:space="0" w:sz="4" w:val="single"/>
              <w:right w:color="000000" w:space="0" w:sz="18"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6">
            <w:pPr>
              <w:widowControl w:val="0"/>
              <w:jc w:val="center"/>
              <w:rPr>
                <w:rFonts w:ascii="Times New Roman" w:cs="Times New Roman" w:eastAsia="Times New Roman" w:hAnsi="Times New Roman"/>
                <w:b w:val="1"/>
                <w:sz w:val="20"/>
                <w:szCs w:val="20"/>
                <w:vertAlign w:val="subscript"/>
              </w:rPr>
            </w:pPr>
            <w:r w:rsidDel="00000000" w:rsidR="00000000" w:rsidRPr="00000000">
              <w:rPr>
                <w:rFonts w:ascii="Times New Roman" w:cs="Times New Roman" w:eastAsia="Times New Roman" w:hAnsi="Times New Roman"/>
                <w:b w:val="1"/>
                <w:sz w:val="20"/>
                <w:szCs w:val="20"/>
                <w:rtl w:val="0"/>
              </w:rPr>
              <w:t xml:space="preserve">PaO</w:t>
            </w:r>
            <w:r w:rsidDel="00000000" w:rsidR="00000000" w:rsidRPr="00000000">
              <w:rPr>
                <w:rFonts w:ascii="Times New Roman" w:cs="Times New Roman" w:eastAsia="Times New Roman" w:hAnsi="Times New Roman"/>
                <w:b w:val="1"/>
                <w:sz w:val="20"/>
                <w:szCs w:val="20"/>
                <w:vertAlign w:val="subscript"/>
                <w:rtl w:val="0"/>
              </w:rPr>
              <w:t xml:space="preserve">2</w:t>
            </w:r>
          </w:p>
        </w:tc>
        <w:tc>
          <w:tcPr>
            <w:tcBorders>
              <w:top w:color="cccccc" w:space="0" w:sz="4" w:val="single"/>
              <w:left w:color="000000" w:space="0" w:sz="18"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7">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96.8%</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8">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96.3%</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9">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97.5%</w:t>
            </w:r>
          </w:p>
        </w:tc>
        <w:tc>
          <w:tcPr>
            <w:tcBorders>
              <w:top w:color="cccccc" w:space="0" w:sz="4" w:val="single"/>
              <w:left w:color="cccccc" w:space="0" w:sz="4" w:val="single"/>
              <w:bottom w:color="000000" w:space="0" w:sz="4" w:val="single"/>
              <w:right w:color="000000" w:space="0" w:sz="4" w:val="single"/>
            </w:tcBorders>
            <w:tcMar>
              <w:top w:w="14.399999999999999" w:type="dxa"/>
              <w:left w:w="14.399999999999999" w:type="dxa"/>
              <w:bottom w:w="14.399999999999999" w:type="dxa"/>
              <w:right w:w="14.399999999999999" w:type="dxa"/>
            </w:tcMar>
            <w:vAlign w:val="bottom"/>
          </w:tcPr>
          <w:p w:rsidR="00000000" w:rsidDel="00000000" w:rsidP="00000000" w:rsidRDefault="00000000" w:rsidRPr="00000000" w14:paraId="0000005A">
            <w:pPr>
              <w:widowControl w:val="0"/>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96.9%</w:t>
            </w:r>
          </w:p>
        </w:tc>
      </w:tr>
    </w:tbl>
    <w:p w:rsidR="00000000" w:rsidDel="00000000" w:rsidP="00000000" w:rsidRDefault="00000000" w:rsidRPr="00000000" w14:paraId="0000005B">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5C">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5D">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Additional File </w:t>
      </w:r>
      <w:r w:rsidDel="00000000" w:rsidR="00000000" w:rsidRPr="00000000">
        <w:rPr>
          <w:rFonts w:ascii="Palatino Linotype" w:cs="Palatino Linotype" w:eastAsia="Palatino Linotype" w:hAnsi="Palatino Linotype"/>
          <w:b w:val="1"/>
          <w:rtl w:val="0"/>
        </w:rPr>
        <w:t xml:space="preserve">4</w:t>
      </w:r>
      <w:r w:rsidDel="00000000" w:rsidR="00000000" w:rsidRPr="00000000">
        <w:rPr>
          <w:rFonts w:ascii="Palatino Linotype" w:cs="Palatino Linotype" w:eastAsia="Palatino Linotype" w:hAnsi="Palatino Linotype"/>
          <w:rtl w:val="0"/>
        </w:rPr>
        <w:t xml:space="preserve">. Adjusted modified early warning score (MEWS) parameters</w:t>
      </w:r>
      <w:r w:rsidDel="00000000" w:rsidR="00000000" w:rsidRPr="00000000">
        <w:rPr>
          <w:rFonts w:ascii="Palatino Linotype" w:cs="Palatino Linotype" w:eastAsia="Palatino Linotype" w:hAnsi="Palatino Linotype"/>
          <w:rtl w:val="0"/>
        </w:rPr>
        <w:t xml:space="preserve">: features, value ranges, and score.</w:t>
      </w:r>
    </w:p>
    <w:tbl>
      <w:tblPr>
        <w:tblStyle w:val="Table4"/>
        <w:tblW w:w="9360.0" w:type="dxa"/>
        <w:jc w:val="cente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060"/>
        <w:gridCol w:w="3180"/>
        <w:gridCol w:w="3120"/>
        <w:tblGridChange w:id="0">
          <w:tblGrid>
            <w:gridCol w:w="3060"/>
            <w:gridCol w:w="3180"/>
            <w:gridCol w:w="3120"/>
          </w:tblGrid>
        </w:tblGridChange>
      </w:tblGrid>
      <w:tr>
        <w:trPr>
          <w:cantSplit w:val="1"/>
          <w:tblHeader w:val="0"/>
        </w:trPr>
        <w:tc>
          <w:tcPr>
            <w:tcBorders>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E">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Feature variable</w:t>
            </w:r>
          </w:p>
        </w:tc>
        <w:tc>
          <w:tcPr>
            <w:tcBorders>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5F">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Value</w:t>
            </w:r>
          </w:p>
        </w:tc>
        <w:tc>
          <w:tcPr>
            <w:tcBorders>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0">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Score</w:t>
            </w:r>
          </w:p>
        </w:tc>
      </w:tr>
      <w:tr>
        <w:trPr>
          <w:cantSplit w:val="0"/>
          <w:tblHeader w:val="0"/>
        </w:trPr>
        <w:tc>
          <w:tcPr>
            <w:vMerge w:val="restart"/>
            <w:tcBorders>
              <w:top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1">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Heart rate</w:t>
            </w:r>
          </w:p>
        </w:tc>
        <w:tc>
          <w:tcPr>
            <w:tcBorders>
              <w:top w:color="000000" w:space="0" w:sz="18" w:val="single"/>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2">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sz w:val="21"/>
                <w:szCs w:val="21"/>
                <w:rtl w:val="0"/>
              </w:rPr>
              <w:t xml:space="preserve">≤ 40</w:t>
            </w:r>
            <w:r w:rsidDel="00000000" w:rsidR="00000000" w:rsidRPr="00000000">
              <w:rPr>
                <w:rtl w:val="0"/>
              </w:rPr>
            </w:r>
          </w:p>
        </w:tc>
        <w:tc>
          <w:tcPr>
            <w:tcBorders>
              <w:top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3">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4">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5">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sz w:val="21"/>
                <w:szCs w:val="21"/>
                <w:rtl w:val="0"/>
              </w:rPr>
              <w:t xml:space="preserve">41 - 50</w:t>
            </w:r>
            <w:r w:rsidDel="00000000" w:rsidR="00000000" w:rsidRPr="00000000">
              <w:rPr>
                <w:rtl w:val="0"/>
              </w:rPr>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6">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1</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7">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8">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51 - 100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9">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0</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A">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B">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101 - 110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C">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1</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D">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E">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111 - 130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6F">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continue"/>
            <w:tcBorders>
              <w:bottom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0">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1">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  131</w:t>
            </w:r>
          </w:p>
        </w:tc>
        <w:tc>
          <w:tcPr>
            <w:tcBorders>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2">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3</w:t>
            </w:r>
          </w:p>
        </w:tc>
      </w:tr>
      <w:tr>
        <w:trPr>
          <w:cantSplit w:val="0"/>
          <w:tblHeader w:val="0"/>
        </w:trPr>
        <w:tc>
          <w:tcPr>
            <w:vMerge w:val="restart"/>
            <w:tcBorders>
              <w:top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3">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Temperature (°C)</w:t>
            </w:r>
          </w:p>
        </w:tc>
        <w:tc>
          <w:tcPr>
            <w:tcBorders>
              <w:top w:color="000000" w:space="0" w:sz="18" w:val="single"/>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4">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 35</w:t>
            </w:r>
          </w:p>
        </w:tc>
        <w:tc>
          <w:tcPr>
            <w:tcBorders>
              <w:top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5">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6">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7">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36 - 38.4</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8">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0</w:t>
            </w:r>
          </w:p>
        </w:tc>
      </w:tr>
      <w:tr>
        <w:trPr>
          <w:cantSplit w:val="0"/>
          <w:tblHeader w:val="0"/>
        </w:trPr>
        <w:tc>
          <w:tcPr>
            <w:vMerge w:val="continue"/>
            <w:tcBorders>
              <w:bottom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9">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A">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 38.5</w:t>
            </w:r>
          </w:p>
        </w:tc>
        <w:tc>
          <w:tcPr>
            <w:tcBorders>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B">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restart"/>
            <w:tcBorders>
              <w:top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C">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Respiratory rate</w:t>
            </w:r>
          </w:p>
        </w:tc>
        <w:tc>
          <w:tcPr>
            <w:tcBorders>
              <w:top w:color="000000" w:space="0" w:sz="18" w:val="single"/>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D">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&lt; 9</w:t>
            </w:r>
          </w:p>
        </w:tc>
        <w:tc>
          <w:tcPr>
            <w:tcBorders>
              <w:top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E">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7F">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0">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9 - 14</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1">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0</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2">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3">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15 - 20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4">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1</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5">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6">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21 - 29</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7">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continue"/>
            <w:tcBorders>
              <w:bottom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8">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9">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 30</w:t>
            </w:r>
          </w:p>
        </w:tc>
        <w:tc>
          <w:tcPr>
            <w:tcBorders>
              <w:bottom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A">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3</w:t>
            </w:r>
          </w:p>
        </w:tc>
      </w:tr>
      <w:tr>
        <w:trPr>
          <w:cantSplit w:val="0"/>
          <w:tblHeader w:val="0"/>
        </w:trPr>
        <w:tc>
          <w:tcPr>
            <w:vMerge w:val="restart"/>
            <w:tcBorders>
              <w:top w:color="000000" w:space="0" w:sz="18" w:val="single"/>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B">
            <w:pPr>
              <w:widowControl w:val="0"/>
              <w:spacing w:line="240" w:lineRule="auto"/>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Systolic blood pressure</w:t>
            </w:r>
          </w:p>
        </w:tc>
        <w:tc>
          <w:tcPr>
            <w:tcBorders>
              <w:top w:color="000000" w:space="0" w:sz="18" w:val="single"/>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C">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 70</w:t>
            </w:r>
          </w:p>
        </w:tc>
        <w:tc>
          <w:tcPr>
            <w:tcBorders>
              <w:top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D">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3</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E">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8F">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71 - 80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0">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1">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2">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81 - 100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3">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1</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4">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5">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101 - 199</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6">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0</w:t>
            </w:r>
          </w:p>
        </w:tc>
      </w:tr>
      <w:tr>
        <w:trPr>
          <w:cantSplit w:val="0"/>
          <w:tblHeader w:val="0"/>
        </w:trPr>
        <w:tc>
          <w:tcPr>
            <w:vMerge w:val="continue"/>
            <w:tcBorders>
              <w:righ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7">
            <w:pPr>
              <w:widowControl w:val="0"/>
              <w:spacing w:line="240" w:lineRule="auto"/>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8">
            <w:pPr>
              <w:widowControl w:val="0"/>
              <w:spacing w:line="240" w:lineRule="auto"/>
              <w:jc w:val="center"/>
              <w:rPr>
                <w:rFonts w:ascii="Palatino Linotype" w:cs="Palatino Linotype" w:eastAsia="Palatino Linotype" w:hAnsi="Palatino Linotype"/>
                <w:sz w:val="21"/>
                <w:szCs w:val="21"/>
              </w:rPr>
            </w:pPr>
            <w:r w:rsidDel="00000000" w:rsidR="00000000" w:rsidRPr="00000000">
              <w:rPr>
                <w:rFonts w:ascii="Palatino Linotype" w:cs="Palatino Linotype" w:eastAsia="Palatino Linotype" w:hAnsi="Palatino Linotype"/>
                <w:sz w:val="21"/>
                <w:szCs w:val="21"/>
                <w:rtl w:val="0"/>
              </w:rPr>
              <w:t xml:space="preserve">≥ 200</w:t>
            </w:r>
          </w:p>
        </w:tc>
        <w:tc>
          <w:tcPr>
            <w:shd w:fill="auto" w:val="clear"/>
            <w:tcMar>
              <w:top w:w="14.399999999999999" w:type="dxa"/>
              <w:left w:w="14.399999999999999" w:type="dxa"/>
              <w:bottom w:w="14.399999999999999" w:type="dxa"/>
              <w:right w:w="14.399999999999999" w:type="dxa"/>
            </w:tcMar>
            <w:vAlign w:val="center"/>
          </w:tcPr>
          <w:p w:rsidR="00000000" w:rsidDel="00000000" w:rsidP="00000000" w:rsidRDefault="00000000" w:rsidRPr="00000000" w14:paraId="00000099">
            <w:pPr>
              <w:widowControl w:val="0"/>
              <w:spacing w:line="240" w:lineRule="auto"/>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2</w:t>
            </w:r>
          </w:p>
        </w:tc>
      </w:tr>
    </w:tbl>
    <w:p w:rsidR="00000000" w:rsidDel="00000000" w:rsidP="00000000" w:rsidRDefault="00000000" w:rsidRPr="00000000" w14:paraId="0000009A">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9B">
      <w:pPr>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9C">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Additional File </w:t>
      </w:r>
      <w:r w:rsidDel="00000000" w:rsidR="00000000" w:rsidRPr="00000000">
        <w:rPr>
          <w:rFonts w:ascii="Palatino Linotype" w:cs="Palatino Linotype" w:eastAsia="Palatino Linotype" w:hAnsi="Palatino Linotype"/>
          <w:b w:val="1"/>
          <w:rtl w:val="0"/>
        </w:rPr>
        <w:t xml:space="preserve">5</w:t>
      </w:r>
      <w:r w:rsidDel="00000000" w:rsidR="00000000" w:rsidRPr="00000000">
        <w:rPr>
          <w:rFonts w:ascii="Palatino Linotype" w:cs="Palatino Linotype" w:eastAsia="Palatino Linotype" w:hAnsi="Palatino Linotype"/>
          <w:rtl w:val="0"/>
        </w:rPr>
        <w:t xml:space="preserve">. Analysis of the timing of alerts for the machine learning algorithm (MLA), along with SpO</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and modified early warning score (MEWS) comparators, on the temporal testing and external validation sets. An </w:t>
      </w:r>
      <w:r w:rsidDel="00000000" w:rsidR="00000000" w:rsidRPr="00000000">
        <w:rPr>
          <w:rFonts w:ascii="Palatino Linotype" w:cs="Palatino Linotype" w:eastAsia="Palatino Linotype" w:hAnsi="Palatino Linotype"/>
          <w:i w:val="1"/>
          <w:rtl w:val="0"/>
        </w:rPr>
        <w:t xml:space="preserve">early</w:t>
      </w:r>
      <w:r w:rsidDel="00000000" w:rsidR="00000000" w:rsidRPr="00000000">
        <w:rPr>
          <w:rFonts w:ascii="Palatino Linotype" w:cs="Palatino Linotype" w:eastAsia="Palatino Linotype" w:hAnsi="Palatino Linotype"/>
          <w:rtl w:val="0"/>
        </w:rPr>
        <w:t xml:space="preserve"> alert is one produced at any time before the onset of ARF and a </w:t>
      </w:r>
      <w:r w:rsidDel="00000000" w:rsidR="00000000" w:rsidRPr="00000000">
        <w:rPr>
          <w:rFonts w:ascii="Palatino Linotype" w:cs="Palatino Linotype" w:eastAsia="Palatino Linotype" w:hAnsi="Palatino Linotype"/>
          <w:i w:val="1"/>
          <w:rtl w:val="0"/>
        </w:rPr>
        <w:t xml:space="preserve">timely</w:t>
      </w:r>
      <w:r w:rsidDel="00000000" w:rsidR="00000000" w:rsidRPr="00000000">
        <w:rPr>
          <w:rFonts w:ascii="Palatino Linotype" w:cs="Palatino Linotype" w:eastAsia="Palatino Linotype" w:hAnsi="Palatino Linotype"/>
          <w:rtl w:val="0"/>
        </w:rPr>
        <w:t xml:space="preserve"> alert is one generated within 24 hours prior to ARF onset. Timeliness is the proportion of early true positive (eTP) alerts generated within 24 hours prior to ARF onset.</w:t>
      </w:r>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tl w:val="0"/>
        </w:rPr>
      </w:r>
    </w:p>
    <w:tbl>
      <w:tblPr>
        <w:tblStyle w:val="Table5"/>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25"/>
        <w:gridCol w:w="1395"/>
        <w:gridCol w:w="1880"/>
        <w:gridCol w:w="1880"/>
        <w:gridCol w:w="1880"/>
        <w:tblGridChange w:id="0">
          <w:tblGrid>
            <w:gridCol w:w="2325"/>
            <w:gridCol w:w="1395"/>
            <w:gridCol w:w="1880"/>
            <w:gridCol w:w="1880"/>
            <w:gridCol w:w="1880"/>
          </w:tblGrid>
        </w:tblGridChange>
      </w:tblGrid>
      <w:tr>
        <w:trPr>
          <w:cantSplit w:val="0"/>
          <w:tblHeader w:val="0"/>
        </w:trPr>
        <w:tc>
          <w:tcPr>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D">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Data set</w:t>
            </w:r>
          </w:p>
        </w:tc>
        <w:tc>
          <w:tcPr>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E">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Method</w:t>
            </w:r>
          </w:p>
        </w:tc>
        <w:tc>
          <w:tcPr>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9F">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Number of ARF encounters with an</w:t>
            </w:r>
            <w:r w:rsidDel="00000000" w:rsidR="00000000" w:rsidRPr="00000000">
              <w:rPr>
                <w:rFonts w:ascii="Palatino Linotype" w:cs="Palatino Linotype" w:eastAsia="Palatino Linotype" w:hAnsi="Palatino Linotype"/>
                <w:b w:val="1"/>
                <w:i w:val="1"/>
                <w:sz w:val="20"/>
                <w:szCs w:val="20"/>
                <w:rtl w:val="0"/>
              </w:rPr>
              <w:t xml:space="preserve"> early</w:t>
            </w:r>
            <w:r w:rsidDel="00000000" w:rsidR="00000000" w:rsidRPr="00000000">
              <w:rPr>
                <w:rFonts w:ascii="Palatino Linotype" w:cs="Palatino Linotype" w:eastAsia="Palatino Linotype" w:hAnsi="Palatino Linotype"/>
                <w:b w:val="1"/>
                <w:sz w:val="20"/>
                <w:szCs w:val="20"/>
                <w:rtl w:val="0"/>
              </w:rPr>
              <w:t xml:space="preserve"> alert</w:t>
            </w:r>
          </w:p>
        </w:tc>
        <w:tc>
          <w:tcPr>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0">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Number of ARF encounters with a </w:t>
            </w:r>
            <w:r w:rsidDel="00000000" w:rsidR="00000000" w:rsidRPr="00000000">
              <w:rPr>
                <w:rFonts w:ascii="Palatino Linotype" w:cs="Palatino Linotype" w:eastAsia="Palatino Linotype" w:hAnsi="Palatino Linotype"/>
                <w:b w:val="1"/>
                <w:i w:val="1"/>
                <w:sz w:val="20"/>
                <w:szCs w:val="20"/>
                <w:rtl w:val="0"/>
              </w:rPr>
              <w:t xml:space="preserve">timely</w:t>
            </w:r>
            <w:r w:rsidDel="00000000" w:rsidR="00000000" w:rsidRPr="00000000">
              <w:rPr>
                <w:rFonts w:ascii="Palatino Linotype" w:cs="Palatino Linotype" w:eastAsia="Palatino Linotype" w:hAnsi="Palatino Linotype"/>
                <w:b w:val="1"/>
                <w:sz w:val="20"/>
                <w:szCs w:val="20"/>
                <w:rtl w:val="0"/>
              </w:rPr>
              <w:t xml:space="preserve"> alert (timeliness)</w:t>
            </w:r>
          </w:p>
        </w:tc>
        <w:tc>
          <w:tcPr>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1">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Number of alerted non-ARF encounters (false positive rate)</w:t>
            </w:r>
          </w:p>
        </w:tc>
      </w:tr>
      <w:tr>
        <w:trPr>
          <w:cantSplit w:val="0"/>
          <w:trHeight w:val="699.58984375" w:hRule="atLeast"/>
          <w:tblHeader w:val="0"/>
        </w:trPr>
        <w:tc>
          <w:tcPr>
            <w:vMerge w:val="restart"/>
            <w:tcBorders>
              <w:top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2">
            <w:pPr>
              <w:widowControl w:val="0"/>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Temporal testing set</w:t>
            </w:r>
          </w:p>
          <w:p w:rsidR="00000000" w:rsidDel="00000000" w:rsidP="00000000" w:rsidRDefault="00000000" w:rsidRPr="00000000" w14:paraId="000000A3">
            <w:pPr>
              <w:widowControl w:val="0"/>
              <w:numPr>
                <w:ilvl w:val="0"/>
                <w:numId w:val="6"/>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8,163 encounters</w:t>
            </w:r>
          </w:p>
          <w:p w:rsidR="00000000" w:rsidDel="00000000" w:rsidP="00000000" w:rsidRDefault="00000000" w:rsidRPr="00000000" w14:paraId="000000A4">
            <w:pPr>
              <w:widowControl w:val="0"/>
              <w:numPr>
                <w:ilvl w:val="0"/>
                <w:numId w:val="6"/>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343 ARF encounters</w:t>
            </w:r>
          </w:p>
          <w:p w:rsidR="00000000" w:rsidDel="00000000" w:rsidP="00000000" w:rsidRDefault="00000000" w:rsidRPr="00000000" w14:paraId="000000A5">
            <w:pPr>
              <w:widowControl w:val="0"/>
              <w:numPr>
                <w:ilvl w:val="0"/>
                <w:numId w:val="6"/>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7820 non-ARF encounters</w:t>
            </w:r>
          </w:p>
          <w:p w:rsidR="00000000" w:rsidDel="00000000" w:rsidP="00000000" w:rsidRDefault="00000000" w:rsidRPr="00000000" w14:paraId="000000A6">
            <w:pPr>
              <w:widowControl w:val="0"/>
              <w:numPr>
                <w:ilvl w:val="0"/>
                <w:numId w:val="6"/>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Prevalence (4.2%)</w:t>
            </w:r>
          </w:p>
        </w:tc>
        <w:tc>
          <w:tcPr>
            <w:tcBorders>
              <w:top w:color="000000" w:space="0" w:sz="18" w:val="single"/>
              <w:left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A7">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MLA</w:t>
            </w:r>
          </w:p>
        </w:tc>
        <w:tc>
          <w:tcPr>
            <w:tcBorders>
              <w:top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A8">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266</w:t>
            </w:r>
          </w:p>
        </w:tc>
        <w:tc>
          <w:tcPr>
            <w:tcBorders>
              <w:top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A9">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142 (53.4%)</w:t>
            </w:r>
          </w:p>
        </w:tc>
        <w:tc>
          <w:tcPr>
            <w:tcBorders>
              <w:top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AA">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1718 (22.0%)</w:t>
            </w:r>
          </w:p>
        </w:tc>
      </w:tr>
      <w:tr>
        <w:trPr>
          <w:cantSplit w:val="0"/>
          <w:trHeight w:val="699.58984375" w:hRule="atLeast"/>
          <w:tblHeader w:val="0"/>
        </w:trPr>
        <w:tc>
          <w:tcPr>
            <w:vMerge w:val="continue"/>
            <w:tcBorders>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AB">
            <w:pPr>
              <w:widowControl w:val="0"/>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AC">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SpO</w:t>
            </w:r>
            <w:r w:rsidDel="00000000" w:rsidR="00000000" w:rsidRPr="00000000">
              <w:rPr>
                <w:rFonts w:ascii="Palatino Linotype" w:cs="Palatino Linotype" w:eastAsia="Palatino Linotype" w:hAnsi="Palatino Linotype"/>
                <w:b w:val="1"/>
                <w:sz w:val="20"/>
                <w:szCs w:val="20"/>
                <w:vertAlign w:val="subscript"/>
                <w:rtl w:val="0"/>
              </w:rPr>
              <w:t xml:space="preserve">2</w:t>
            </w:r>
            <w:r w:rsidDel="00000000" w:rsidR="00000000" w:rsidRPr="00000000">
              <w:rPr>
                <w:rtl w:val="0"/>
              </w:rPr>
            </w:r>
          </w:p>
        </w:tc>
        <w:tc>
          <w:tcPr>
            <w:shd w:fill="auto" w:val="clear"/>
            <w:tcMar>
              <w:top w:w="99.36" w:type="dxa"/>
              <w:left w:w="99.36" w:type="dxa"/>
              <w:bottom w:w="99.36" w:type="dxa"/>
              <w:right w:w="99.36" w:type="dxa"/>
            </w:tcMar>
            <w:vAlign w:val="center"/>
          </w:tcPr>
          <w:p w:rsidR="00000000" w:rsidDel="00000000" w:rsidP="00000000" w:rsidRDefault="00000000" w:rsidRPr="00000000" w14:paraId="000000AD">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229</w:t>
            </w:r>
          </w:p>
        </w:tc>
        <w:tc>
          <w:tcPr>
            <w:shd w:fill="auto" w:val="clear"/>
            <w:tcMar>
              <w:top w:w="99.36" w:type="dxa"/>
              <w:left w:w="99.36" w:type="dxa"/>
              <w:bottom w:w="99.36" w:type="dxa"/>
              <w:right w:w="99.36" w:type="dxa"/>
            </w:tcMar>
            <w:vAlign w:val="center"/>
          </w:tcPr>
          <w:p w:rsidR="00000000" w:rsidDel="00000000" w:rsidP="00000000" w:rsidRDefault="00000000" w:rsidRPr="00000000" w14:paraId="000000AE">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124 (54.1%)</w:t>
            </w:r>
          </w:p>
        </w:tc>
        <w:tc>
          <w:tcPr>
            <w:shd w:fill="auto" w:val="clear"/>
            <w:tcMar>
              <w:top w:w="99.36" w:type="dxa"/>
              <w:left w:w="99.36" w:type="dxa"/>
              <w:bottom w:w="99.36" w:type="dxa"/>
              <w:right w:w="99.36" w:type="dxa"/>
            </w:tcMar>
            <w:vAlign w:val="center"/>
          </w:tcPr>
          <w:p w:rsidR="00000000" w:rsidDel="00000000" w:rsidP="00000000" w:rsidRDefault="00000000" w:rsidRPr="00000000" w14:paraId="000000AF">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2091 (26.7%)</w:t>
            </w:r>
          </w:p>
        </w:tc>
      </w:tr>
      <w:tr>
        <w:trPr>
          <w:cantSplit w:val="0"/>
          <w:trHeight w:val="699.58984375" w:hRule="atLeast"/>
          <w:tblHeader w:val="0"/>
        </w:trPr>
        <w:tc>
          <w:tcPr>
            <w:vMerge w:val="continue"/>
            <w:tcBorders>
              <w:bottom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0">
            <w:pPr>
              <w:widowControl w:val="0"/>
              <w:rPr>
                <w:rFonts w:ascii="Palatino Linotype" w:cs="Palatino Linotype" w:eastAsia="Palatino Linotype" w:hAnsi="Palatino Linotype"/>
              </w:rPr>
            </w:pPr>
            <w:r w:rsidDel="00000000" w:rsidR="00000000" w:rsidRPr="00000000">
              <w:rPr>
                <w:rtl w:val="0"/>
              </w:rPr>
            </w:r>
          </w:p>
        </w:tc>
        <w:tc>
          <w:tcPr>
            <w:tcBorders>
              <w:left w:color="000000" w:space="0" w:sz="18" w:val="single"/>
              <w:bottom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B1">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MEWS</w:t>
            </w:r>
          </w:p>
        </w:tc>
        <w:tc>
          <w:tcPr>
            <w:tcBorders>
              <w:bottom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B2">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224</w:t>
            </w:r>
          </w:p>
        </w:tc>
        <w:tc>
          <w:tcPr>
            <w:tcBorders>
              <w:bottom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B3">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119 (53.1%)</w:t>
            </w:r>
          </w:p>
        </w:tc>
        <w:tc>
          <w:tcPr>
            <w:tcBorders>
              <w:bottom w:color="000000" w:space="0" w:sz="18" w:val="single"/>
            </w:tcBorders>
            <w:shd w:fill="auto" w:val="clear"/>
            <w:tcMar>
              <w:top w:w="99.36" w:type="dxa"/>
              <w:left w:w="99.36" w:type="dxa"/>
              <w:bottom w:w="99.36" w:type="dxa"/>
              <w:right w:w="99.36" w:type="dxa"/>
            </w:tcMar>
            <w:vAlign w:val="center"/>
          </w:tcPr>
          <w:p w:rsidR="00000000" w:rsidDel="00000000" w:rsidP="00000000" w:rsidRDefault="00000000" w:rsidRPr="00000000" w14:paraId="000000B4">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2657 (34.0%)</w:t>
            </w:r>
          </w:p>
        </w:tc>
      </w:tr>
      <w:tr>
        <w:trPr>
          <w:cantSplit w:val="0"/>
          <w:trHeight w:val="699.58984375" w:hRule="atLeast"/>
          <w:tblHeader w:val="0"/>
        </w:trPr>
        <w:tc>
          <w:tcPr>
            <w:vMerge w:val="restart"/>
            <w:tcBorders>
              <w:top w:color="000000" w:space="0" w:sz="18" w:val="single"/>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5">
            <w:pPr>
              <w:widowControl w:val="0"/>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External validation set</w:t>
            </w:r>
          </w:p>
          <w:p w:rsidR="00000000" w:rsidDel="00000000" w:rsidP="00000000" w:rsidRDefault="00000000" w:rsidRPr="00000000" w14:paraId="000000B6">
            <w:pPr>
              <w:widowControl w:val="0"/>
              <w:numPr>
                <w:ilvl w:val="0"/>
                <w:numId w:val="7"/>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32,032 encounters</w:t>
            </w:r>
          </w:p>
          <w:p w:rsidR="00000000" w:rsidDel="00000000" w:rsidP="00000000" w:rsidRDefault="00000000" w:rsidRPr="00000000" w14:paraId="000000B7">
            <w:pPr>
              <w:widowControl w:val="0"/>
              <w:numPr>
                <w:ilvl w:val="0"/>
                <w:numId w:val="7"/>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842 ARF encounters</w:t>
            </w:r>
          </w:p>
          <w:p w:rsidR="00000000" w:rsidDel="00000000" w:rsidP="00000000" w:rsidRDefault="00000000" w:rsidRPr="00000000" w14:paraId="000000B8">
            <w:pPr>
              <w:widowControl w:val="0"/>
              <w:numPr>
                <w:ilvl w:val="0"/>
                <w:numId w:val="7"/>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31,192 non-ARF encounters</w:t>
            </w:r>
          </w:p>
          <w:p w:rsidR="00000000" w:rsidDel="00000000" w:rsidP="00000000" w:rsidRDefault="00000000" w:rsidRPr="00000000" w14:paraId="000000B9">
            <w:pPr>
              <w:widowControl w:val="0"/>
              <w:numPr>
                <w:ilvl w:val="0"/>
                <w:numId w:val="7"/>
              </w:numPr>
              <w:ind w:left="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Prevalence (2.6%)</w:t>
            </w:r>
          </w:p>
        </w:tc>
        <w:tc>
          <w:tcPr>
            <w:tcBorders>
              <w:top w:color="000000" w:space="0" w:sz="18" w:val="single"/>
              <w:left w:color="000000" w:space="0" w:sz="18" w:val="single"/>
            </w:tcBorders>
            <w:shd w:fill="auto" w:val="clear"/>
            <w:tcMar>
              <w:top w:w="86.4" w:type="dxa"/>
              <w:left w:w="86.4" w:type="dxa"/>
              <w:bottom w:w="86.4" w:type="dxa"/>
              <w:right w:w="86.4" w:type="dxa"/>
            </w:tcMar>
            <w:vAlign w:val="center"/>
          </w:tcPr>
          <w:p w:rsidR="00000000" w:rsidDel="00000000" w:rsidP="00000000" w:rsidRDefault="00000000" w:rsidRPr="00000000" w14:paraId="000000BA">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MLA</w:t>
            </w:r>
          </w:p>
        </w:tc>
        <w:tc>
          <w:tcPr>
            <w:tcBorders>
              <w:top w:color="000000" w:space="0" w:sz="18" w:val="single"/>
            </w:tcBorders>
            <w:shd w:fill="auto" w:val="clear"/>
            <w:tcMar>
              <w:top w:w="86.4" w:type="dxa"/>
              <w:left w:w="86.4" w:type="dxa"/>
              <w:bottom w:w="86.4" w:type="dxa"/>
              <w:right w:w="86.4" w:type="dxa"/>
            </w:tcMar>
            <w:vAlign w:val="center"/>
          </w:tcPr>
          <w:p w:rsidR="00000000" w:rsidDel="00000000" w:rsidP="00000000" w:rsidRDefault="00000000" w:rsidRPr="00000000" w14:paraId="000000BB">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630</w:t>
            </w:r>
          </w:p>
        </w:tc>
        <w:tc>
          <w:tcPr>
            <w:tcBorders>
              <w:top w:color="000000" w:space="0" w:sz="18" w:val="single"/>
            </w:tcBorders>
            <w:shd w:fill="auto" w:val="clear"/>
            <w:tcMar>
              <w:top w:w="86.4" w:type="dxa"/>
              <w:left w:w="86.4" w:type="dxa"/>
              <w:bottom w:w="86.4" w:type="dxa"/>
              <w:right w:w="86.4" w:type="dxa"/>
            </w:tcMar>
            <w:vAlign w:val="center"/>
          </w:tcPr>
          <w:p w:rsidR="00000000" w:rsidDel="00000000" w:rsidP="00000000" w:rsidRDefault="00000000" w:rsidRPr="00000000" w14:paraId="000000BC">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321 (51.0%)</w:t>
            </w:r>
          </w:p>
        </w:tc>
        <w:tc>
          <w:tcPr>
            <w:tcBorders>
              <w:top w:color="000000" w:space="0" w:sz="18" w:val="single"/>
            </w:tcBorders>
            <w:shd w:fill="auto" w:val="clear"/>
            <w:tcMar>
              <w:top w:w="86.4" w:type="dxa"/>
              <w:left w:w="86.4" w:type="dxa"/>
              <w:bottom w:w="86.4" w:type="dxa"/>
              <w:right w:w="86.4" w:type="dxa"/>
            </w:tcMar>
            <w:vAlign w:val="center"/>
          </w:tcPr>
          <w:p w:rsidR="00000000" w:rsidDel="00000000" w:rsidP="00000000" w:rsidRDefault="00000000" w:rsidRPr="00000000" w14:paraId="000000BD">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4,242 (13.6%)</w:t>
            </w:r>
          </w:p>
        </w:tc>
      </w:tr>
      <w:tr>
        <w:trPr>
          <w:cantSplit w:val="0"/>
          <w:trHeight w:val="699.58984375" w:hRule="atLeast"/>
          <w:tblHeader w:val="0"/>
        </w:trPr>
        <w:tc>
          <w:tcPr>
            <w:vMerge w:val="continue"/>
            <w:tcBorders>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BE">
            <w:pPr>
              <w:widowControl w:val="0"/>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86.4" w:type="dxa"/>
              <w:left w:w="86.4" w:type="dxa"/>
              <w:bottom w:w="86.4" w:type="dxa"/>
              <w:right w:w="86.4" w:type="dxa"/>
            </w:tcMar>
            <w:vAlign w:val="center"/>
          </w:tcPr>
          <w:p w:rsidR="00000000" w:rsidDel="00000000" w:rsidP="00000000" w:rsidRDefault="00000000" w:rsidRPr="00000000" w14:paraId="000000BF">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SpO</w:t>
            </w:r>
            <w:r w:rsidDel="00000000" w:rsidR="00000000" w:rsidRPr="00000000">
              <w:rPr>
                <w:rFonts w:ascii="Palatino Linotype" w:cs="Palatino Linotype" w:eastAsia="Palatino Linotype" w:hAnsi="Palatino Linotype"/>
                <w:b w:val="1"/>
                <w:sz w:val="20"/>
                <w:szCs w:val="20"/>
                <w:vertAlign w:val="subscript"/>
                <w:rtl w:val="0"/>
              </w:rPr>
              <w:t xml:space="preserve">2</w:t>
            </w:r>
            <w:r w:rsidDel="00000000" w:rsidR="00000000" w:rsidRPr="00000000">
              <w:rPr>
                <w:rtl w:val="0"/>
              </w:rPr>
            </w:r>
          </w:p>
        </w:tc>
        <w:tc>
          <w:tcPr>
            <w:shd w:fill="auto" w:val="clear"/>
            <w:tcMar>
              <w:top w:w="86.4" w:type="dxa"/>
              <w:left w:w="86.4" w:type="dxa"/>
              <w:bottom w:w="86.4" w:type="dxa"/>
              <w:right w:w="86.4" w:type="dxa"/>
            </w:tcMar>
            <w:vAlign w:val="center"/>
          </w:tcPr>
          <w:p w:rsidR="00000000" w:rsidDel="00000000" w:rsidP="00000000" w:rsidRDefault="00000000" w:rsidRPr="00000000" w14:paraId="000000C0">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490</w:t>
            </w:r>
          </w:p>
        </w:tc>
        <w:tc>
          <w:tcPr>
            <w:shd w:fill="auto" w:val="clear"/>
            <w:tcMar>
              <w:top w:w="86.4" w:type="dxa"/>
              <w:left w:w="86.4" w:type="dxa"/>
              <w:bottom w:w="86.4" w:type="dxa"/>
              <w:right w:w="86.4" w:type="dxa"/>
            </w:tcMar>
            <w:vAlign w:val="center"/>
          </w:tcPr>
          <w:p w:rsidR="00000000" w:rsidDel="00000000" w:rsidP="00000000" w:rsidRDefault="00000000" w:rsidRPr="00000000" w14:paraId="000000C1">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235 (48.0%)</w:t>
            </w:r>
          </w:p>
        </w:tc>
        <w:tc>
          <w:tcPr>
            <w:shd w:fill="auto" w:val="clear"/>
            <w:tcMar>
              <w:top w:w="86.4" w:type="dxa"/>
              <w:left w:w="86.4" w:type="dxa"/>
              <w:bottom w:w="86.4" w:type="dxa"/>
              <w:right w:w="86.4" w:type="dxa"/>
            </w:tcMar>
            <w:vAlign w:val="center"/>
          </w:tcPr>
          <w:p w:rsidR="00000000" w:rsidDel="00000000" w:rsidP="00000000" w:rsidRDefault="00000000" w:rsidRPr="00000000" w14:paraId="000000C2">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4,188 (13.4%)</w:t>
            </w:r>
          </w:p>
        </w:tc>
      </w:tr>
      <w:tr>
        <w:trPr>
          <w:cantSplit w:val="0"/>
          <w:trHeight w:val="699.58984375" w:hRule="atLeast"/>
          <w:tblHeader w:val="0"/>
        </w:trPr>
        <w:tc>
          <w:tcPr>
            <w:vMerge w:val="continue"/>
            <w:tcBorders>
              <w:right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C3">
            <w:pPr>
              <w:widowControl w:val="0"/>
              <w:rPr>
                <w:rFonts w:ascii="Palatino Linotype" w:cs="Palatino Linotype" w:eastAsia="Palatino Linotype" w:hAnsi="Palatino Linotype"/>
              </w:rPr>
            </w:pPr>
            <w:r w:rsidDel="00000000" w:rsidR="00000000" w:rsidRPr="00000000">
              <w:rPr>
                <w:rtl w:val="0"/>
              </w:rPr>
            </w:r>
          </w:p>
        </w:tc>
        <w:tc>
          <w:tcPr>
            <w:tcBorders>
              <w:left w:color="000000" w:space="0" w:sz="18" w:val="single"/>
            </w:tcBorders>
            <w:shd w:fill="auto" w:val="clear"/>
            <w:tcMar>
              <w:top w:w="86.4" w:type="dxa"/>
              <w:left w:w="86.4" w:type="dxa"/>
              <w:bottom w:w="86.4" w:type="dxa"/>
              <w:right w:w="86.4" w:type="dxa"/>
            </w:tcMar>
            <w:vAlign w:val="center"/>
          </w:tcPr>
          <w:p w:rsidR="00000000" w:rsidDel="00000000" w:rsidP="00000000" w:rsidRDefault="00000000" w:rsidRPr="00000000" w14:paraId="000000C4">
            <w:pPr>
              <w:widowControl w:val="0"/>
              <w:jc w:val="center"/>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MEWS</w:t>
            </w:r>
          </w:p>
        </w:tc>
        <w:tc>
          <w:tcPr>
            <w:shd w:fill="auto" w:val="clear"/>
            <w:tcMar>
              <w:top w:w="86.4" w:type="dxa"/>
              <w:left w:w="86.4" w:type="dxa"/>
              <w:bottom w:w="86.4" w:type="dxa"/>
              <w:right w:w="86.4" w:type="dxa"/>
            </w:tcMar>
            <w:vAlign w:val="center"/>
          </w:tcPr>
          <w:p w:rsidR="00000000" w:rsidDel="00000000" w:rsidP="00000000" w:rsidRDefault="00000000" w:rsidRPr="00000000" w14:paraId="000000C5">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689</w:t>
            </w:r>
          </w:p>
        </w:tc>
        <w:tc>
          <w:tcPr>
            <w:shd w:fill="auto" w:val="clear"/>
            <w:tcMar>
              <w:top w:w="86.4" w:type="dxa"/>
              <w:left w:w="86.4" w:type="dxa"/>
              <w:bottom w:w="86.4" w:type="dxa"/>
              <w:right w:w="86.4" w:type="dxa"/>
            </w:tcMar>
            <w:vAlign w:val="center"/>
          </w:tcPr>
          <w:p w:rsidR="00000000" w:rsidDel="00000000" w:rsidP="00000000" w:rsidRDefault="00000000" w:rsidRPr="00000000" w14:paraId="000000C6">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350 (50.8%)</w:t>
            </w:r>
          </w:p>
        </w:tc>
        <w:tc>
          <w:tcPr>
            <w:shd w:fill="auto" w:val="clear"/>
            <w:tcMar>
              <w:top w:w="86.4" w:type="dxa"/>
              <w:left w:w="86.4" w:type="dxa"/>
              <w:bottom w:w="86.4" w:type="dxa"/>
              <w:right w:w="86.4" w:type="dxa"/>
            </w:tcMar>
            <w:vAlign w:val="center"/>
          </w:tcPr>
          <w:p w:rsidR="00000000" w:rsidDel="00000000" w:rsidP="00000000" w:rsidRDefault="00000000" w:rsidRPr="00000000" w14:paraId="000000C7">
            <w:pPr>
              <w:widowControl w:val="0"/>
              <w:jc w:val="cente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11,200 (35.9%)</w:t>
            </w:r>
          </w:p>
        </w:tc>
      </w:tr>
    </w:tbl>
    <w:p w:rsidR="00000000" w:rsidDel="00000000" w:rsidP="00000000" w:rsidRDefault="00000000" w:rsidRPr="00000000" w14:paraId="000000C8">
      <w:pPr>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C9">
      <w:pPr>
        <w:rPr>
          <w:rFonts w:ascii="Montserrat" w:cs="Montserrat" w:eastAsia="Montserrat" w:hAnsi="Montserrat"/>
          <w:color w:val="424242"/>
          <w:sz w:val="21"/>
          <w:szCs w:val="2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alatino Linotyp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7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27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27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27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27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27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PalatinoLinotype-regular.ttf"/><Relationship Id="rId6" Type="http://schemas.openxmlformats.org/officeDocument/2006/relationships/font" Target="fonts/PalatinoLinotype-bold.ttf"/><Relationship Id="rId7" Type="http://schemas.openxmlformats.org/officeDocument/2006/relationships/font" Target="fonts/PalatinoLinotype-italic.ttf"/><Relationship Id="rId8" Type="http://schemas.openxmlformats.org/officeDocument/2006/relationships/font" Target="fonts/PalatinoLinotyp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