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10C" w:rsidRPr="00D968FC" w:rsidRDefault="00B7210C" w:rsidP="00B7210C">
      <w:pPr>
        <w:pageBreakBefore/>
        <w:bidi w:val="0"/>
        <w:spacing w:after="160" w:line="259" w:lineRule="auto"/>
        <w:rPr>
          <w:rFonts w:asciiTheme="majorBidi" w:eastAsia="Calibri" w:hAnsiTheme="majorBidi" w:cstheme="majorBidi"/>
        </w:rPr>
      </w:pPr>
      <w:bookmarkStart w:id="0" w:name="_GoBack"/>
      <w:bookmarkEnd w:id="0"/>
      <w:r w:rsidRPr="00D968FC">
        <w:rPr>
          <w:rFonts w:asciiTheme="majorBidi" w:eastAsia="Times New Roman" w:hAnsiTheme="majorBidi" w:cstheme="majorBidi"/>
          <w:color w:val="000000"/>
        </w:rPr>
        <w:t>Supplementary table 1</w:t>
      </w:r>
    </w:p>
    <w:tbl>
      <w:tblPr>
        <w:tblW w:w="8897" w:type="dxa"/>
        <w:tblLook w:val="04A0" w:firstRow="1" w:lastRow="0" w:firstColumn="1" w:lastColumn="0" w:noHBand="0" w:noVBand="1"/>
      </w:tblPr>
      <w:tblGrid>
        <w:gridCol w:w="3652"/>
        <w:gridCol w:w="1985"/>
        <w:gridCol w:w="1701"/>
        <w:gridCol w:w="1559"/>
      </w:tblGrid>
      <w:tr w:rsidR="00B7210C" w:rsidRPr="00D968FC" w:rsidTr="00792D54">
        <w:trPr>
          <w:trHeight w:val="700"/>
        </w:trPr>
        <w:tc>
          <w:tcPr>
            <w:tcW w:w="889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Supplementary table 1: </w:t>
            </w:r>
            <w:r w:rsidRPr="00D968FC">
              <w:rPr>
                <w:rFonts w:asciiTheme="majorBidi" w:eastAsia="Times New Roman" w:hAnsiTheme="majorBidi" w:cstheme="majorBidi"/>
                <w:color w:val="000000"/>
              </w:rPr>
              <w:t xml:space="preserve">Demographic, obstetric and </w:t>
            </w:r>
            <w:proofErr w:type="spellStart"/>
            <w:r w:rsidRPr="00D968FC">
              <w:rPr>
                <w:rFonts w:asciiTheme="majorBidi" w:eastAsia="Times New Roman" w:hAnsiTheme="majorBidi" w:cstheme="majorBidi"/>
                <w:color w:val="000000"/>
              </w:rPr>
              <w:t>clinicopathological</w:t>
            </w:r>
            <w:proofErr w:type="spellEnd"/>
            <w:r w:rsidRPr="00D968FC">
              <w:rPr>
                <w:rFonts w:asciiTheme="majorBidi" w:eastAsia="Times New Roman" w:hAnsiTheme="majorBidi" w:cstheme="majorBidi"/>
                <w:color w:val="000000"/>
              </w:rPr>
              <w:t xml:space="preserve"> characteristics of women with or without available delivery information</w:t>
            </w:r>
          </w:p>
        </w:tc>
      </w:tr>
      <w:tr w:rsidR="00B7210C" w:rsidRPr="00D968FC" w:rsidTr="00792D54">
        <w:trPr>
          <w:trHeight w:val="89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Not delivered at SZMC n=373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Delivered at SZMC n=650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p-value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Maternal age (years)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28.8±5.6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29.1±5.6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0.46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Previous miscarriage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99 (26.5%)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187 (28.8%)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0.45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Miscarriage &gt; 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10 (2.7%)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25 (3.8%)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0.32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Gravidity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3±2.4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3.3±2.5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0.06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Parity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2.6±2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2.8±2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0.12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proofErr w:type="spellStart"/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Primiparity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131 (35.1%)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217 (33.4%)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0.57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Previous CD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43 (11.5%)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72 (11.1%)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0.83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Positive FCM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35 (9.4%)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84 (12.9%)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0.09</w:t>
            </w:r>
          </w:p>
        </w:tc>
      </w:tr>
      <w:tr w:rsidR="00B7210C" w:rsidRPr="00D968FC" w:rsidTr="00792D54">
        <w:trPr>
          <w:trHeight w:val="25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Gestational age at trauma</w:t>
            </w:r>
            <w:r w:rsidRPr="00D968FC">
              <w:rPr>
                <w:rFonts w:asciiTheme="majorBidi" w:eastAsia="Times New Roman" w:hAnsiTheme="majorBidi" w:cstheme="majorBidi"/>
                <w:color w:val="000000"/>
              </w:rPr>
              <w:t xml:space="preserve"> (weeks)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30.7±4.8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31.9±5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&lt;0.01</w:t>
            </w:r>
          </w:p>
        </w:tc>
      </w:tr>
      <w:tr w:rsidR="00B7210C" w:rsidRPr="00D968FC" w:rsidTr="00792D54">
        <w:trPr>
          <w:trHeight w:val="310"/>
        </w:trPr>
        <w:tc>
          <w:tcPr>
            <w:tcW w:w="8897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Mechanism of trauma* 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 Motor vehicle accident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165 (44.2%)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222 (34.2%)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&lt;0.01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 Fall</w:t>
            </w:r>
          </w:p>
        </w:tc>
        <w:tc>
          <w:tcPr>
            <w:tcW w:w="198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121 (32.4%)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246 (37.8%)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0.08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 Direct abdominal injury</w:t>
            </w:r>
          </w:p>
        </w:tc>
        <w:tc>
          <w:tcPr>
            <w:tcW w:w="198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122 (32.7%)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231 (35.5%)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0.36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 Other</w:t>
            </w:r>
          </w:p>
        </w:tc>
        <w:tc>
          <w:tcPr>
            <w:tcW w:w="198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 (0.8%)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11 (1.7%)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0.24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Injury severity score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0.2±0.8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0.1±0.7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0.45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Vaginal bleeding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 (0.8%)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18 (2.8%)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0.03</w:t>
            </w:r>
          </w:p>
        </w:tc>
      </w:tr>
      <w:tr w:rsidR="00B7210C" w:rsidRPr="00D968FC" w:rsidTr="00792D54">
        <w:trPr>
          <w:trHeight w:val="60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Uterine contractions (more than 1 in 10 min)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69 (18.5%)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157 (24.2%)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0.03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Decreased fetal movements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14 (3.8%)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32 (4.9%)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0.38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Rupture of membranes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 (0.3%)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 (0.5%)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0.63</w:t>
            </w:r>
          </w:p>
        </w:tc>
      </w:tr>
      <w:tr w:rsidR="00B7210C" w:rsidRPr="00D968FC" w:rsidTr="00792D54">
        <w:trPr>
          <w:trHeight w:val="60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Sonographic placental abruption signs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4 (1.1%)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6 (0.9%)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0.82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Fetal death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 (0.3%)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0.28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ER admission only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86 (23.1%)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148 (22.8%)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0.91</w:t>
            </w:r>
          </w:p>
        </w:tc>
      </w:tr>
      <w:tr w:rsidR="00B7210C" w:rsidRPr="00D968FC" w:rsidTr="00792D54">
        <w:trPr>
          <w:trHeight w:val="60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Hospitalization in high-risk pregnancy department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277 (74.3%)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495 (76.3%)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0.47</w:t>
            </w:r>
          </w:p>
        </w:tc>
      </w:tr>
      <w:tr w:rsidR="00B7210C" w:rsidRPr="00D968FC" w:rsidTr="00792D54">
        <w:trPr>
          <w:trHeight w:val="60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Hospitalization in another department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4 (1.1%)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9 (1.4%)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0.67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Non-obstetric surgery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 (0.3%)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4 (0.6%)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0.44</w:t>
            </w:r>
          </w:p>
        </w:tc>
      </w:tr>
      <w:tr w:rsidR="00B7210C" w:rsidRPr="00D968FC" w:rsidTr="00792D54">
        <w:trPr>
          <w:trHeight w:val="310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Length of stay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1±1.1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1.2±1.9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0.03</w:t>
            </w:r>
          </w:p>
        </w:tc>
      </w:tr>
      <w:tr w:rsidR="00B7210C" w:rsidRPr="00D968FC" w:rsidTr="00792D54">
        <w:trPr>
          <w:trHeight w:val="524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Seen by other specialty: general surgeon / orthopedic / other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174 (46.6%)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250 (38.6%)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0.01</w:t>
            </w:r>
          </w:p>
        </w:tc>
      </w:tr>
      <w:tr w:rsidR="00B7210C" w:rsidRPr="00D968FC" w:rsidTr="00792D54">
        <w:trPr>
          <w:trHeight w:val="377"/>
        </w:trPr>
        <w:tc>
          <w:tcPr>
            <w:tcW w:w="3652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Delivery during hospitalization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3 (0.8%)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>11 (1.7%)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10205"/>
              </w:rPr>
            </w:pPr>
            <w:r w:rsidRPr="00D968FC">
              <w:rPr>
                <w:rFonts w:asciiTheme="majorBidi" w:eastAsia="Times New Roman" w:hAnsiTheme="majorBidi" w:cstheme="majorBidi"/>
                <w:color w:val="010205"/>
              </w:rPr>
              <w:t>0.24</w:t>
            </w:r>
          </w:p>
        </w:tc>
      </w:tr>
      <w:tr w:rsidR="00B7210C" w:rsidRPr="00D968FC" w:rsidTr="00792D54">
        <w:trPr>
          <w:trHeight w:val="310"/>
        </w:trPr>
        <w:tc>
          <w:tcPr>
            <w:tcW w:w="889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B7210C" w:rsidRPr="00D968FC" w:rsidRDefault="00B7210C" w:rsidP="00792D54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D968FC">
              <w:rPr>
                <w:rFonts w:asciiTheme="majorBidi" w:eastAsia="Times New Roman" w:hAnsiTheme="majorBidi" w:cstheme="majorBidi"/>
                <w:color w:val="000000"/>
              </w:rPr>
              <w:t xml:space="preserve">FCM - Flow cytometry. ER – Emergency Room. Data are mean± standard deviation; number (%); </w:t>
            </w:r>
          </w:p>
        </w:tc>
      </w:tr>
    </w:tbl>
    <w:p w:rsidR="00FF0F33" w:rsidRPr="00B7210C" w:rsidRDefault="00B7210C" w:rsidP="00B7210C"/>
    <w:sectPr w:rsidR="00FF0F33" w:rsidRPr="00B7210C" w:rsidSect="00342757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10C"/>
    <w:rsid w:val="00733948"/>
    <w:rsid w:val="00A745DE"/>
    <w:rsid w:val="00B7210C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001A0"/>
  <w15:chartTrackingRefBased/>
  <w15:docId w15:val="{BAF8A31B-324A-421A-AAD9-8049361D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210C"/>
    <w:pPr>
      <w:bidi/>
      <w:spacing w:after="200" w:line="276" w:lineRule="auto"/>
    </w:pPr>
    <w:rPr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1420</Characters>
  <Application>Microsoft Office Word</Application>
  <DocSecurity>0</DocSecurity>
  <Lines>11</Lines>
  <Paragraphs>3</Paragraphs>
  <ScaleCrop>false</ScaleCrop>
  <Company>Springer Nature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2021-03-31T11:09:00Z</dcterms:created>
  <dcterms:modified xsi:type="dcterms:W3CDTF">2021-03-31T11:10:00Z</dcterms:modified>
</cp:coreProperties>
</file>