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7417" w:rsidRDefault="00842E91" w:rsidP="006B722B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>
            <wp:extent cx="5413280" cy="5508000"/>
            <wp:effectExtent l="19050" t="0" r="0" b="0"/>
            <wp:docPr id="5" name="图片 1" descr="E:\新种\C141(大蜘蛛clonostachys sp)P15-2——TEF+TUB——成熟——枝穗霉\赵志远文章\枝穗霉显微镜及菌落\I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新种\C141(大蜘蛛clonostachys sp)P15-2——TEF+TUB——成熟——枝穗霉\赵志远文章\枝穗霉显微镜及菌落\ITS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3280" cy="550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7417" w:rsidRPr="00C019BE" w:rsidRDefault="00627417">
      <w:pPr>
        <w:rPr>
          <w:color w:val="FF0000"/>
        </w:rPr>
      </w:pPr>
      <w:r w:rsidRPr="00C019BE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Fig. </w:t>
      </w:r>
      <w:r w:rsidRPr="00C019BE">
        <w:rPr>
          <w:rFonts w:ascii="Times New Roman" w:hAnsi="Times New Roman" w:cs="Times New Roman" w:hint="eastAsia"/>
          <w:b/>
          <w:color w:val="FF0000"/>
          <w:sz w:val="20"/>
          <w:szCs w:val="20"/>
        </w:rPr>
        <w:t>S1</w:t>
      </w:r>
      <w:r w:rsidRPr="00C019BE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</w:t>
      </w:r>
      <w:r w:rsidRPr="00C019BE">
        <w:rPr>
          <w:rFonts w:ascii="Times New Roman" w:hAnsi="Times New Roman" w:cs="Times New Roman"/>
          <w:color w:val="FF0000"/>
          <w:sz w:val="20"/>
          <w:szCs w:val="20"/>
        </w:rPr>
        <w:t xml:space="preserve">Phylogenetic tree of </w:t>
      </w:r>
      <w:r w:rsidRPr="00C019BE">
        <w:rPr>
          <w:rFonts w:ascii="Times New Roman" w:hAnsi="Times New Roman" w:cs="Times New Roman"/>
          <w:bCs/>
          <w:i/>
          <w:color w:val="FF0000"/>
          <w:szCs w:val="21"/>
        </w:rPr>
        <w:t>Clonostachys</w:t>
      </w:r>
      <w:r w:rsidRPr="00C019BE">
        <w:rPr>
          <w:rFonts w:ascii="Times New Roman" w:hAnsi="Times New Roman" w:cs="Times New Roman"/>
          <w:i/>
          <w:iCs/>
          <w:color w:val="FF0000"/>
          <w:sz w:val="24"/>
          <w:szCs w:val="24"/>
        </w:rPr>
        <w:t xml:space="preserve"> </w:t>
      </w:r>
      <w:r w:rsidRPr="00C019BE">
        <w:rPr>
          <w:rFonts w:ascii="Times New Roman" w:eastAsia="Times New Roman" w:hAnsi="Times New Roman" w:cs="Times New Roman"/>
          <w:bCs/>
          <w:color w:val="FF0000"/>
          <w:kern w:val="44"/>
          <w:szCs w:val="21"/>
        </w:rPr>
        <w:t xml:space="preserve">based on </w:t>
      </w:r>
      <w:r w:rsidRPr="00C019BE">
        <w:rPr>
          <w:rFonts w:ascii="Times New Roman" w:hAnsi="Times New Roman" w:cs="Times New Roman"/>
          <w:color w:val="FF0000"/>
          <w:sz w:val="20"/>
          <w:szCs w:val="20"/>
        </w:rPr>
        <w:t>Maximum Likelihood</w:t>
      </w:r>
      <w:r w:rsidRPr="00C019BE">
        <w:rPr>
          <w:rFonts w:ascii="Times New Roman" w:eastAsia="Times New Roman" w:hAnsi="Times New Roman" w:cs="Times New Roman"/>
          <w:bCs/>
          <w:color w:val="FF0000"/>
          <w:kern w:val="44"/>
          <w:szCs w:val="21"/>
        </w:rPr>
        <w:t xml:space="preserve"> (ML) analysis </w:t>
      </w:r>
      <w:r w:rsidRPr="00C019BE">
        <w:rPr>
          <w:rFonts w:ascii="Times New Roman" w:eastAsia="宋体" w:hAnsi="Times New Roman" w:cs="Times New Roman"/>
          <w:bCs/>
          <w:color w:val="FF0000"/>
          <w:kern w:val="44"/>
          <w:szCs w:val="21"/>
        </w:rPr>
        <w:t>from</w:t>
      </w:r>
      <w:r w:rsidRPr="00C019BE">
        <w:rPr>
          <w:rFonts w:ascii="Times New Roman" w:eastAsia="Times New Roman" w:hAnsi="Times New Roman" w:cs="Times New Roman"/>
          <w:bCs/>
          <w:color w:val="FF0000"/>
          <w:kern w:val="44"/>
          <w:szCs w:val="21"/>
        </w:rPr>
        <w:t xml:space="preserve"> </w:t>
      </w:r>
      <w:r w:rsidRPr="00C019BE">
        <w:rPr>
          <w:rFonts w:ascii="Times New Roman" w:hAnsi="Times New Roman" w:cs="Times New Roman"/>
          <w:color w:val="FF0000"/>
          <w:sz w:val="20"/>
          <w:szCs w:val="20"/>
        </w:rPr>
        <w:t xml:space="preserve">the </w:t>
      </w:r>
      <w:r w:rsidR="00C019BE" w:rsidRPr="00C019BE">
        <w:rPr>
          <w:rFonts w:ascii="Times New Roman" w:hAnsi="Times New Roman" w:cs="Times New Roman" w:hint="eastAsia"/>
          <w:color w:val="FF0000"/>
          <w:sz w:val="20"/>
          <w:szCs w:val="20"/>
        </w:rPr>
        <w:t>ITS</w:t>
      </w:r>
      <w:r w:rsidRPr="00C019BE">
        <w:rPr>
          <w:rFonts w:ascii="Times New Roman" w:hAnsi="Times New Roman" w:cs="Times New Roman"/>
          <w:color w:val="FF0000"/>
          <w:sz w:val="20"/>
          <w:szCs w:val="20"/>
        </w:rPr>
        <w:t xml:space="preserve"> sequences</w:t>
      </w:r>
      <w:r w:rsidRPr="00C019BE">
        <w:rPr>
          <w:rFonts w:ascii="Times New Roman" w:eastAsia="Times New Roman" w:hAnsi="Times New Roman" w:cs="Times New Roman"/>
          <w:bCs/>
          <w:color w:val="FF0000"/>
          <w:kern w:val="44"/>
          <w:szCs w:val="21"/>
        </w:rPr>
        <w:t>. Statistical support values (</w:t>
      </w:r>
      <w:r w:rsidRPr="00C019BE">
        <w:rPr>
          <w:rFonts w:ascii="Times New Roman" w:hAnsi="Times New Roman" w:cs="Times New Roman"/>
          <w:color w:val="FF0000"/>
          <w:sz w:val="20"/>
          <w:szCs w:val="20"/>
        </w:rPr>
        <w:t>≥</w:t>
      </w:r>
      <w:r w:rsidR="0089667F">
        <w:rPr>
          <w:rFonts w:ascii="Times New Roman" w:hAnsi="Times New Roman" w:cs="Times New Roman" w:hint="eastAsia"/>
          <w:color w:val="FF0000"/>
          <w:sz w:val="20"/>
          <w:szCs w:val="20"/>
        </w:rPr>
        <w:t>7</w:t>
      </w:r>
      <w:r w:rsidRPr="00C019BE">
        <w:rPr>
          <w:rFonts w:ascii="Times New Roman" w:hAnsi="Times New Roman" w:cs="Times New Roman"/>
          <w:color w:val="FF0000"/>
          <w:sz w:val="20"/>
          <w:szCs w:val="20"/>
        </w:rPr>
        <w:t>0%</w:t>
      </w:r>
      <w:r w:rsidRPr="00C019BE">
        <w:rPr>
          <w:rFonts w:ascii="Times New Roman" w:eastAsia="Times New Roman" w:hAnsi="Times New Roman" w:cs="Times New Roman"/>
          <w:bCs/>
          <w:color w:val="FF0000"/>
          <w:kern w:val="44"/>
          <w:szCs w:val="21"/>
        </w:rPr>
        <w:t>) are shown at the nodes for ML boostrap support</w:t>
      </w:r>
    </w:p>
    <w:p w:rsidR="00627417" w:rsidRDefault="00627417">
      <w:pPr>
        <w:rPr>
          <w:color w:val="FF0000"/>
        </w:rPr>
      </w:pPr>
    </w:p>
    <w:p w:rsidR="0089667F" w:rsidRPr="00C019BE" w:rsidRDefault="0089667F" w:rsidP="0089667F">
      <w:pPr>
        <w:jc w:val="center"/>
        <w:rPr>
          <w:color w:val="FF0000"/>
        </w:rPr>
      </w:pPr>
      <w:r>
        <w:rPr>
          <w:noProof/>
          <w:color w:val="FF0000"/>
        </w:rPr>
        <w:lastRenderedPageBreak/>
        <w:drawing>
          <wp:inline distT="0" distB="0" distL="0" distR="0">
            <wp:extent cx="5274310" cy="5517051"/>
            <wp:effectExtent l="19050" t="0" r="2540" b="0"/>
            <wp:docPr id="2" name="图片 2" descr="E:\新种\C141(大蜘蛛clonostachys sp)P15-2——TEF+TUB——成熟——枝穗霉\王垚枝穗霉写作\王垚-枝穗霉投稿\返修\28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新种\C141(大蜘蛛clonostachys sp)P15-2——TEF+TUB——成熟——枝穗霉\王垚枝穗霉写作\王垚-枝穗霉投稿\返修\28S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5170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7417" w:rsidRPr="00C019BE" w:rsidRDefault="00627417" w:rsidP="00627417">
      <w:pPr>
        <w:rPr>
          <w:rFonts w:ascii="Times New Roman" w:hAnsi="Times New Roman" w:cs="Times New Roman"/>
          <w:bCs/>
          <w:color w:val="FF0000"/>
          <w:kern w:val="44"/>
          <w:szCs w:val="21"/>
        </w:rPr>
      </w:pPr>
      <w:r w:rsidRPr="00C019BE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Fig. </w:t>
      </w:r>
      <w:r w:rsidRPr="00C019BE">
        <w:rPr>
          <w:rFonts w:ascii="Times New Roman" w:hAnsi="Times New Roman" w:cs="Times New Roman" w:hint="eastAsia"/>
          <w:b/>
          <w:color w:val="FF0000"/>
          <w:sz w:val="20"/>
          <w:szCs w:val="20"/>
        </w:rPr>
        <w:t>S2</w:t>
      </w:r>
      <w:r w:rsidRPr="00C019BE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</w:t>
      </w:r>
      <w:r w:rsidRPr="00C019BE">
        <w:rPr>
          <w:rFonts w:ascii="Times New Roman" w:hAnsi="Times New Roman" w:cs="Times New Roman"/>
          <w:color w:val="FF0000"/>
          <w:sz w:val="20"/>
          <w:szCs w:val="20"/>
        </w:rPr>
        <w:t xml:space="preserve">Phylogenetic tree of </w:t>
      </w:r>
      <w:r w:rsidRPr="00C019BE">
        <w:rPr>
          <w:rFonts w:ascii="Times New Roman" w:hAnsi="Times New Roman" w:cs="Times New Roman"/>
          <w:bCs/>
          <w:i/>
          <w:color w:val="FF0000"/>
          <w:szCs w:val="21"/>
        </w:rPr>
        <w:t>Clonostachys</w:t>
      </w:r>
      <w:r w:rsidRPr="00C019BE">
        <w:rPr>
          <w:rFonts w:ascii="Times New Roman" w:hAnsi="Times New Roman" w:cs="Times New Roman"/>
          <w:i/>
          <w:iCs/>
          <w:color w:val="FF0000"/>
          <w:sz w:val="24"/>
          <w:szCs w:val="24"/>
        </w:rPr>
        <w:t xml:space="preserve"> </w:t>
      </w:r>
      <w:r w:rsidRPr="00C019BE">
        <w:rPr>
          <w:rFonts w:ascii="Times New Roman" w:eastAsia="Times New Roman" w:hAnsi="Times New Roman" w:cs="Times New Roman"/>
          <w:bCs/>
          <w:color w:val="FF0000"/>
          <w:kern w:val="44"/>
          <w:szCs w:val="21"/>
        </w:rPr>
        <w:t xml:space="preserve">based on </w:t>
      </w:r>
      <w:r w:rsidRPr="00C019BE">
        <w:rPr>
          <w:rFonts w:ascii="Times New Roman" w:hAnsi="Times New Roman" w:cs="Times New Roman"/>
          <w:color w:val="FF0000"/>
          <w:sz w:val="20"/>
          <w:szCs w:val="20"/>
        </w:rPr>
        <w:t>Maximum Likelihood</w:t>
      </w:r>
      <w:r w:rsidRPr="00C019BE">
        <w:rPr>
          <w:rFonts w:ascii="Times New Roman" w:eastAsia="Times New Roman" w:hAnsi="Times New Roman" w:cs="Times New Roman"/>
          <w:bCs/>
          <w:color w:val="FF0000"/>
          <w:kern w:val="44"/>
          <w:szCs w:val="21"/>
        </w:rPr>
        <w:t xml:space="preserve"> (ML) analysis </w:t>
      </w:r>
      <w:r w:rsidRPr="00C019BE">
        <w:rPr>
          <w:rFonts w:ascii="Times New Roman" w:eastAsia="宋体" w:hAnsi="Times New Roman" w:cs="Times New Roman"/>
          <w:bCs/>
          <w:color w:val="FF0000"/>
          <w:kern w:val="44"/>
          <w:szCs w:val="21"/>
        </w:rPr>
        <w:t>from</w:t>
      </w:r>
      <w:r w:rsidRPr="00C019BE">
        <w:rPr>
          <w:rFonts w:ascii="Times New Roman" w:eastAsia="Times New Roman" w:hAnsi="Times New Roman" w:cs="Times New Roman"/>
          <w:bCs/>
          <w:color w:val="FF0000"/>
          <w:kern w:val="44"/>
          <w:szCs w:val="21"/>
        </w:rPr>
        <w:t xml:space="preserve"> </w:t>
      </w:r>
      <w:r w:rsidRPr="00C019BE">
        <w:rPr>
          <w:rFonts w:ascii="Times New Roman" w:hAnsi="Times New Roman" w:cs="Times New Roman"/>
          <w:color w:val="FF0000"/>
          <w:sz w:val="20"/>
          <w:szCs w:val="20"/>
        </w:rPr>
        <w:t>the nr</w:t>
      </w:r>
      <w:r w:rsidRPr="00C019BE">
        <w:rPr>
          <w:rFonts w:ascii="Times New Roman" w:hAnsi="Times New Roman" w:cs="Times New Roman"/>
          <w:i/>
          <w:color w:val="FF0000"/>
          <w:sz w:val="20"/>
          <w:szCs w:val="20"/>
        </w:rPr>
        <w:t>LSU</w:t>
      </w:r>
      <w:r w:rsidRPr="00C019BE">
        <w:rPr>
          <w:rFonts w:ascii="Times New Roman" w:hAnsi="Times New Roman" w:cs="Times New Roman"/>
          <w:color w:val="FF0000"/>
          <w:sz w:val="20"/>
          <w:szCs w:val="20"/>
        </w:rPr>
        <w:t xml:space="preserve"> sequences</w:t>
      </w:r>
      <w:r w:rsidRPr="00C019BE">
        <w:rPr>
          <w:rFonts w:ascii="Times New Roman" w:eastAsia="Times New Roman" w:hAnsi="Times New Roman" w:cs="Times New Roman"/>
          <w:bCs/>
          <w:color w:val="FF0000"/>
          <w:kern w:val="44"/>
          <w:szCs w:val="21"/>
        </w:rPr>
        <w:t>. Statistical support values (</w:t>
      </w:r>
      <w:r w:rsidRPr="00C019BE">
        <w:rPr>
          <w:rFonts w:ascii="Times New Roman" w:hAnsi="Times New Roman" w:cs="Times New Roman"/>
          <w:color w:val="FF0000"/>
          <w:sz w:val="20"/>
          <w:szCs w:val="20"/>
        </w:rPr>
        <w:t>≥</w:t>
      </w:r>
      <w:r w:rsidR="0089667F">
        <w:rPr>
          <w:rFonts w:ascii="Times New Roman" w:hAnsi="Times New Roman" w:cs="Times New Roman" w:hint="eastAsia"/>
          <w:color w:val="FF0000"/>
          <w:sz w:val="20"/>
          <w:szCs w:val="20"/>
        </w:rPr>
        <w:t>7</w:t>
      </w:r>
      <w:r w:rsidRPr="00C019BE">
        <w:rPr>
          <w:rFonts w:ascii="Times New Roman" w:hAnsi="Times New Roman" w:cs="Times New Roman"/>
          <w:color w:val="FF0000"/>
          <w:sz w:val="20"/>
          <w:szCs w:val="20"/>
        </w:rPr>
        <w:t>0%</w:t>
      </w:r>
      <w:r w:rsidRPr="00C019BE">
        <w:rPr>
          <w:rFonts w:ascii="Times New Roman" w:eastAsia="Times New Roman" w:hAnsi="Times New Roman" w:cs="Times New Roman"/>
          <w:bCs/>
          <w:color w:val="FF0000"/>
          <w:kern w:val="44"/>
          <w:szCs w:val="21"/>
        </w:rPr>
        <w:t>) are shown at the nodes for ML boostrap support</w:t>
      </w:r>
    </w:p>
    <w:p w:rsidR="00627417" w:rsidRDefault="00627417" w:rsidP="00627417">
      <w:pPr>
        <w:rPr>
          <w:rFonts w:ascii="Times New Roman" w:hAnsi="Times New Roman" w:cs="Times New Roman"/>
          <w:bCs/>
          <w:color w:val="FF0000"/>
          <w:kern w:val="44"/>
          <w:szCs w:val="21"/>
        </w:rPr>
      </w:pPr>
    </w:p>
    <w:p w:rsidR="0089667F" w:rsidRDefault="0089667F" w:rsidP="00627417">
      <w:pPr>
        <w:rPr>
          <w:rFonts w:ascii="Times New Roman" w:hAnsi="Times New Roman" w:cs="Times New Roman"/>
          <w:bCs/>
          <w:color w:val="FF0000"/>
          <w:kern w:val="44"/>
          <w:szCs w:val="21"/>
        </w:rPr>
      </w:pPr>
      <w:r>
        <w:rPr>
          <w:rFonts w:ascii="Times New Roman" w:hAnsi="Times New Roman" w:cs="Times New Roman"/>
          <w:bCs/>
          <w:noProof/>
          <w:color w:val="FF0000"/>
          <w:kern w:val="44"/>
          <w:szCs w:val="21"/>
        </w:rPr>
        <w:lastRenderedPageBreak/>
        <w:drawing>
          <wp:inline distT="0" distB="0" distL="0" distR="0">
            <wp:extent cx="5274310" cy="7321222"/>
            <wp:effectExtent l="19050" t="0" r="2540" b="0"/>
            <wp:docPr id="3" name="图片 3" descr="E:\新种\C141(大蜘蛛clonostachys sp)P15-2——TEF+TUB——成熟——枝穗霉\王垚枝穗霉写作\王垚-枝穗霉投稿\返修\TU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新种\C141(大蜘蛛clonostachys sp)P15-2——TEF+TUB——成熟——枝穗霉\王垚枝穗霉写作\王垚-枝穗霉投稿\返修\TUB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3212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7417" w:rsidRPr="00C019BE" w:rsidRDefault="00627417" w:rsidP="00627417">
      <w:pPr>
        <w:rPr>
          <w:rFonts w:ascii="Times New Roman" w:hAnsi="Times New Roman" w:cs="Times New Roman"/>
          <w:bCs/>
          <w:color w:val="FF0000"/>
          <w:kern w:val="44"/>
          <w:sz w:val="20"/>
          <w:szCs w:val="20"/>
        </w:rPr>
      </w:pPr>
      <w:r w:rsidRPr="00C019BE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Fig. </w:t>
      </w:r>
      <w:r w:rsidRPr="00C019BE">
        <w:rPr>
          <w:rFonts w:ascii="Times New Roman" w:hAnsi="Times New Roman" w:cs="Times New Roman" w:hint="eastAsia"/>
          <w:b/>
          <w:color w:val="FF0000"/>
          <w:sz w:val="20"/>
          <w:szCs w:val="20"/>
        </w:rPr>
        <w:t>S3</w:t>
      </w:r>
      <w:r w:rsidRPr="00C019BE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</w:t>
      </w:r>
      <w:r w:rsidRPr="00C019BE">
        <w:rPr>
          <w:rFonts w:ascii="Times New Roman" w:hAnsi="Times New Roman" w:cs="Times New Roman"/>
          <w:color w:val="FF0000"/>
          <w:sz w:val="20"/>
          <w:szCs w:val="20"/>
        </w:rPr>
        <w:t xml:space="preserve">Phylogenetic tree of </w:t>
      </w:r>
      <w:r w:rsidRPr="00C019BE">
        <w:rPr>
          <w:rFonts w:ascii="Times New Roman" w:hAnsi="Times New Roman" w:cs="Times New Roman"/>
          <w:bCs/>
          <w:i/>
          <w:color w:val="FF0000"/>
          <w:sz w:val="20"/>
          <w:szCs w:val="20"/>
        </w:rPr>
        <w:t>Clonostachys</w:t>
      </w:r>
      <w:r w:rsidRPr="00C019BE">
        <w:rPr>
          <w:rFonts w:ascii="Times New Roman" w:hAnsi="Times New Roman" w:cs="Times New Roman"/>
          <w:i/>
          <w:iCs/>
          <w:color w:val="FF0000"/>
          <w:sz w:val="20"/>
          <w:szCs w:val="20"/>
        </w:rPr>
        <w:t xml:space="preserve"> </w:t>
      </w:r>
      <w:r w:rsidRPr="00C019BE">
        <w:rPr>
          <w:rFonts w:ascii="Times New Roman" w:eastAsia="Times New Roman" w:hAnsi="Times New Roman" w:cs="Times New Roman"/>
          <w:bCs/>
          <w:color w:val="FF0000"/>
          <w:kern w:val="44"/>
          <w:sz w:val="20"/>
          <w:szCs w:val="20"/>
        </w:rPr>
        <w:t xml:space="preserve">based on </w:t>
      </w:r>
      <w:r w:rsidRPr="00C019BE">
        <w:rPr>
          <w:rFonts w:ascii="Times New Roman" w:hAnsi="Times New Roman" w:cs="Times New Roman"/>
          <w:color w:val="FF0000"/>
          <w:sz w:val="20"/>
          <w:szCs w:val="20"/>
        </w:rPr>
        <w:t>Maximum Likelihood</w:t>
      </w:r>
      <w:r w:rsidRPr="00C019BE">
        <w:rPr>
          <w:rFonts w:ascii="Times New Roman" w:eastAsia="Times New Roman" w:hAnsi="Times New Roman" w:cs="Times New Roman"/>
          <w:bCs/>
          <w:color w:val="FF0000"/>
          <w:kern w:val="44"/>
          <w:sz w:val="20"/>
          <w:szCs w:val="20"/>
        </w:rPr>
        <w:t xml:space="preserve"> (ML) analysis </w:t>
      </w:r>
      <w:r w:rsidRPr="00C019BE">
        <w:rPr>
          <w:rFonts w:ascii="Times New Roman" w:eastAsia="宋体" w:hAnsi="Times New Roman" w:cs="Times New Roman"/>
          <w:bCs/>
          <w:color w:val="FF0000"/>
          <w:kern w:val="44"/>
          <w:sz w:val="20"/>
          <w:szCs w:val="20"/>
        </w:rPr>
        <w:t>from</w:t>
      </w:r>
      <w:r w:rsidRPr="00C019BE">
        <w:rPr>
          <w:rFonts w:ascii="Times New Roman" w:eastAsia="Times New Roman" w:hAnsi="Times New Roman" w:cs="Times New Roman"/>
          <w:bCs/>
          <w:color w:val="FF0000"/>
          <w:kern w:val="44"/>
          <w:sz w:val="20"/>
          <w:szCs w:val="20"/>
        </w:rPr>
        <w:t xml:space="preserve"> </w:t>
      </w:r>
      <w:r w:rsidRPr="00C019BE">
        <w:rPr>
          <w:rFonts w:ascii="Times New Roman" w:hAnsi="Times New Roman" w:cs="Times New Roman"/>
          <w:color w:val="FF0000"/>
          <w:sz w:val="20"/>
          <w:szCs w:val="20"/>
        </w:rPr>
        <w:t xml:space="preserve">the </w:t>
      </w:r>
      <w:r w:rsidR="00C019BE" w:rsidRPr="00C019BE">
        <w:rPr>
          <w:rFonts w:ascii="Times New Roman" w:hAnsi="Times New Roman" w:cs="Times New Roman"/>
          <w:i/>
          <w:color w:val="FF0000"/>
          <w:sz w:val="20"/>
          <w:szCs w:val="20"/>
        </w:rPr>
        <w:t>TUB2</w:t>
      </w:r>
      <w:r w:rsidRPr="00C019BE">
        <w:rPr>
          <w:rFonts w:ascii="Times New Roman" w:hAnsi="Times New Roman" w:cs="Times New Roman"/>
          <w:color w:val="FF0000"/>
          <w:sz w:val="20"/>
          <w:szCs w:val="20"/>
        </w:rPr>
        <w:t xml:space="preserve"> sequences</w:t>
      </w:r>
      <w:r w:rsidRPr="00C019BE">
        <w:rPr>
          <w:rFonts w:ascii="Times New Roman" w:eastAsia="Times New Roman" w:hAnsi="Times New Roman" w:cs="Times New Roman"/>
          <w:bCs/>
          <w:color w:val="FF0000"/>
          <w:kern w:val="44"/>
          <w:sz w:val="20"/>
          <w:szCs w:val="20"/>
        </w:rPr>
        <w:t>. Statistical support values (</w:t>
      </w:r>
      <w:r w:rsidRPr="00C019BE">
        <w:rPr>
          <w:rFonts w:ascii="Times New Roman" w:hAnsi="Times New Roman" w:cs="Times New Roman"/>
          <w:color w:val="FF0000"/>
          <w:sz w:val="20"/>
          <w:szCs w:val="20"/>
        </w:rPr>
        <w:t>≥</w:t>
      </w:r>
      <w:r w:rsidR="0089667F">
        <w:rPr>
          <w:rFonts w:ascii="Times New Roman" w:hAnsi="Times New Roman" w:cs="Times New Roman" w:hint="eastAsia"/>
          <w:color w:val="FF0000"/>
          <w:sz w:val="20"/>
          <w:szCs w:val="20"/>
        </w:rPr>
        <w:t>7</w:t>
      </w:r>
      <w:r w:rsidRPr="00C019BE">
        <w:rPr>
          <w:rFonts w:ascii="Times New Roman" w:hAnsi="Times New Roman" w:cs="Times New Roman"/>
          <w:color w:val="FF0000"/>
          <w:sz w:val="20"/>
          <w:szCs w:val="20"/>
        </w:rPr>
        <w:t>0%</w:t>
      </w:r>
      <w:r w:rsidRPr="00C019BE">
        <w:rPr>
          <w:rFonts w:ascii="Times New Roman" w:eastAsia="Times New Roman" w:hAnsi="Times New Roman" w:cs="Times New Roman"/>
          <w:bCs/>
          <w:color w:val="FF0000"/>
          <w:kern w:val="44"/>
          <w:sz w:val="20"/>
          <w:szCs w:val="20"/>
        </w:rPr>
        <w:t>) are shown at the nodes for ML boostrap support</w:t>
      </w:r>
    </w:p>
    <w:p w:rsidR="00627417" w:rsidRDefault="00627417" w:rsidP="00627417"/>
    <w:p w:rsidR="0089667F" w:rsidRDefault="0089667F" w:rsidP="00627417">
      <w:r>
        <w:rPr>
          <w:noProof/>
        </w:rPr>
        <w:lastRenderedPageBreak/>
        <w:drawing>
          <wp:inline distT="0" distB="0" distL="0" distR="0">
            <wp:extent cx="5274310" cy="3646437"/>
            <wp:effectExtent l="19050" t="0" r="2540" b="0"/>
            <wp:docPr id="4" name="图片 4" descr="E:\新种\C141(大蜘蛛clonostachys sp)P15-2——TEF+TUB——成熟——枝穗霉\王垚枝穗霉写作\王垚-枝穗霉投稿\返修\EF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新种\C141(大蜘蛛clonostachys sp)P15-2——TEF+TUB——成熟——枝穗霉\王垚枝穗霉写作\王垚-枝穗霉投稿\返修\EF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464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7417" w:rsidRPr="00C019BE" w:rsidRDefault="00627417" w:rsidP="00627417">
      <w:pPr>
        <w:rPr>
          <w:rFonts w:ascii="Times New Roman" w:hAnsi="Times New Roman" w:cs="Times New Roman"/>
          <w:bCs/>
          <w:color w:val="FF0000"/>
          <w:kern w:val="44"/>
          <w:szCs w:val="21"/>
        </w:rPr>
      </w:pPr>
      <w:r w:rsidRPr="00C019BE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Fig. </w:t>
      </w:r>
      <w:r w:rsidRPr="00C019BE">
        <w:rPr>
          <w:rFonts w:ascii="Times New Roman" w:hAnsi="Times New Roman" w:cs="Times New Roman" w:hint="eastAsia"/>
          <w:b/>
          <w:color w:val="FF0000"/>
          <w:sz w:val="20"/>
          <w:szCs w:val="20"/>
        </w:rPr>
        <w:t>S4</w:t>
      </w:r>
      <w:r w:rsidRPr="00C019BE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</w:t>
      </w:r>
      <w:r w:rsidRPr="00C019BE">
        <w:rPr>
          <w:rFonts w:ascii="Times New Roman" w:hAnsi="Times New Roman" w:cs="Times New Roman"/>
          <w:color w:val="FF0000"/>
          <w:sz w:val="20"/>
          <w:szCs w:val="20"/>
        </w:rPr>
        <w:t xml:space="preserve">Phylogenetic tree of </w:t>
      </w:r>
      <w:r w:rsidRPr="00C019BE">
        <w:rPr>
          <w:rFonts w:ascii="Times New Roman" w:hAnsi="Times New Roman" w:cs="Times New Roman"/>
          <w:bCs/>
          <w:i/>
          <w:color w:val="FF0000"/>
          <w:szCs w:val="21"/>
        </w:rPr>
        <w:t>Clonostachys</w:t>
      </w:r>
      <w:r w:rsidRPr="00C019BE">
        <w:rPr>
          <w:rFonts w:ascii="Times New Roman" w:hAnsi="Times New Roman" w:cs="Times New Roman"/>
          <w:i/>
          <w:iCs/>
          <w:color w:val="FF0000"/>
          <w:sz w:val="24"/>
          <w:szCs w:val="24"/>
        </w:rPr>
        <w:t xml:space="preserve"> </w:t>
      </w:r>
      <w:r w:rsidRPr="00C019BE">
        <w:rPr>
          <w:rFonts w:ascii="Times New Roman" w:eastAsia="Times New Roman" w:hAnsi="Times New Roman" w:cs="Times New Roman"/>
          <w:bCs/>
          <w:color w:val="FF0000"/>
          <w:kern w:val="44"/>
          <w:szCs w:val="21"/>
        </w:rPr>
        <w:t xml:space="preserve">based on </w:t>
      </w:r>
      <w:r w:rsidRPr="00C019BE">
        <w:rPr>
          <w:rFonts w:ascii="Times New Roman" w:hAnsi="Times New Roman" w:cs="Times New Roman"/>
          <w:color w:val="FF0000"/>
          <w:sz w:val="20"/>
          <w:szCs w:val="20"/>
        </w:rPr>
        <w:t>Maximum Likelihood</w:t>
      </w:r>
      <w:r w:rsidRPr="00C019BE">
        <w:rPr>
          <w:rFonts w:ascii="Times New Roman" w:eastAsia="Times New Roman" w:hAnsi="Times New Roman" w:cs="Times New Roman"/>
          <w:bCs/>
          <w:color w:val="FF0000"/>
          <w:kern w:val="44"/>
          <w:szCs w:val="21"/>
        </w:rPr>
        <w:t xml:space="preserve"> (ML) analysis </w:t>
      </w:r>
      <w:r w:rsidRPr="00C019BE">
        <w:rPr>
          <w:rFonts w:ascii="Times New Roman" w:eastAsia="宋体" w:hAnsi="Times New Roman" w:cs="Times New Roman"/>
          <w:bCs/>
          <w:color w:val="FF0000"/>
          <w:kern w:val="44"/>
          <w:szCs w:val="21"/>
        </w:rPr>
        <w:t>from</w:t>
      </w:r>
      <w:r w:rsidRPr="00C019BE">
        <w:rPr>
          <w:rFonts w:ascii="Times New Roman" w:eastAsia="Times New Roman" w:hAnsi="Times New Roman" w:cs="Times New Roman"/>
          <w:bCs/>
          <w:color w:val="FF0000"/>
          <w:kern w:val="44"/>
          <w:szCs w:val="21"/>
        </w:rPr>
        <w:t xml:space="preserve"> </w:t>
      </w:r>
      <w:r w:rsidRPr="00C019BE">
        <w:rPr>
          <w:rFonts w:ascii="Times New Roman" w:hAnsi="Times New Roman" w:cs="Times New Roman"/>
          <w:color w:val="FF0000"/>
          <w:sz w:val="20"/>
          <w:szCs w:val="20"/>
        </w:rPr>
        <w:t xml:space="preserve">the </w:t>
      </w:r>
      <w:r w:rsidR="00C019BE" w:rsidRPr="00C019BE">
        <w:rPr>
          <w:rFonts w:ascii="Times New Roman" w:hAnsi="Times New Roman" w:cs="Times New Roman"/>
          <w:i/>
          <w:color w:val="FF0000"/>
          <w:sz w:val="20"/>
          <w:szCs w:val="20"/>
        </w:rPr>
        <w:t>TEF1</w:t>
      </w:r>
      <w:r w:rsidRPr="00C019BE">
        <w:rPr>
          <w:rFonts w:ascii="Times New Roman" w:hAnsi="Times New Roman" w:cs="Times New Roman"/>
          <w:color w:val="FF0000"/>
          <w:sz w:val="20"/>
          <w:szCs w:val="20"/>
        </w:rPr>
        <w:t xml:space="preserve"> sequences</w:t>
      </w:r>
      <w:r w:rsidRPr="00C019BE">
        <w:rPr>
          <w:rFonts w:ascii="Times New Roman" w:eastAsia="Times New Roman" w:hAnsi="Times New Roman" w:cs="Times New Roman"/>
          <w:bCs/>
          <w:color w:val="FF0000"/>
          <w:kern w:val="44"/>
          <w:szCs w:val="21"/>
        </w:rPr>
        <w:t>. Statistical support values (</w:t>
      </w:r>
      <w:r w:rsidRPr="00C019BE">
        <w:rPr>
          <w:rFonts w:ascii="Times New Roman" w:hAnsi="Times New Roman" w:cs="Times New Roman"/>
          <w:color w:val="FF0000"/>
          <w:sz w:val="20"/>
          <w:szCs w:val="20"/>
        </w:rPr>
        <w:t>≥</w:t>
      </w:r>
      <w:r w:rsidR="0089667F">
        <w:rPr>
          <w:rFonts w:ascii="Times New Roman" w:hAnsi="Times New Roman" w:cs="Times New Roman" w:hint="eastAsia"/>
          <w:color w:val="FF0000"/>
          <w:sz w:val="20"/>
          <w:szCs w:val="20"/>
        </w:rPr>
        <w:t>7</w:t>
      </w:r>
      <w:r w:rsidRPr="00C019BE">
        <w:rPr>
          <w:rFonts w:ascii="Times New Roman" w:hAnsi="Times New Roman" w:cs="Times New Roman"/>
          <w:color w:val="FF0000"/>
          <w:sz w:val="20"/>
          <w:szCs w:val="20"/>
        </w:rPr>
        <w:t>0%</w:t>
      </w:r>
      <w:r w:rsidRPr="00C019BE">
        <w:rPr>
          <w:rFonts w:ascii="Times New Roman" w:eastAsia="Times New Roman" w:hAnsi="Times New Roman" w:cs="Times New Roman"/>
          <w:bCs/>
          <w:color w:val="FF0000"/>
          <w:kern w:val="44"/>
          <w:szCs w:val="21"/>
        </w:rPr>
        <w:t>) are shown at the nodes for ML boostrap support</w:t>
      </w:r>
    </w:p>
    <w:p w:rsidR="00627417" w:rsidRPr="00627417" w:rsidRDefault="00627417"/>
    <w:p w:rsidR="00627417" w:rsidRPr="00627417" w:rsidRDefault="00627417">
      <w:pPr>
        <w:rPr>
          <w:rFonts w:ascii="Times New Roman" w:hAnsi="Times New Roman" w:cs="Times New Roman"/>
          <w:bCs/>
          <w:color w:val="FF0000"/>
          <w:kern w:val="44"/>
          <w:szCs w:val="21"/>
        </w:rPr>
      </w:pPr>
    </w:p>
    <w:sectPr w:rsidR="00627417" w:rsidRPr="00627417" w:rsidSect="000D15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0FD6" w:rsidRDefault="005B0FD6" w:rsidP="00970571">
      <w:r>
        <w:separator/>
      </w:r>
    </w:p>
  </w:endnote>
  <w:endnote w:type="continuationSeparator" w:id="1">
    <w:p w:rsidR="005B0FD6" w:rsidRDefault="005B0FD6" w:rsidP="009705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0FD6" w:rsidRDefault="005B0FD6" w:rsidP="00970571">
      <w:r>
        <w:separator/>
      </w:r>
    </w:p>
  </w:footnote>
  <w:footnote w:type="continuationSeparator" w:id="1">
    <w:p w:rsidR="005B0FD6" w:rsidRDefault="005B0FD6" w:rsidP="009705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0571"/>
    <w:rsid w:val="000B02CD"/>
    <w:rsid w:val="000D15FD"/>
    <w:rsid w:val="001D3F47"/>
    <w:rsid w:val="005B0FD6"/>
    <w:rsid w:val="005C5E37"/>
    <w:rsid w:val="00627417"/>
    <w:rsid w:val="006B722B"/>
    <w:rsid w:val="00842E91"/>
    <w:rsid w:val="0089667F"/>
    <w:rsid w:val="009438A4"/>
    <w:rsid w:val="00970571"/>
    <w:rsid w:val="009B33D5"/>
    <w:rsid w:val="00C019BE"/>
    <w:rsid w:val="00C063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74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705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7057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705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7057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9667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9667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450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D20B6B-A70D-4EDC-982B-A100F84B2D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4</Pages>
  <Words>115</Words>
  <Characters>658</Characters>
  <Application>Microsoft Office Word</Application>
  <DocSecurity>0</DocSecurity>
  <Lines>5</Lines>
  <Paragraphs>1</Paragraphs>
  <ScaleCrop>false</ScaleCrop>
  <Company/>
  <LinksUpToDate>false</LinksUpToDate>
  <CharactersWithSpaces>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WY</dc:creator>
  <cp:keywords/>
  <dc:description/>
  <cp:lastModifiedBy>WY</cp:lastModifiedBy>
  <cp:revision>11</cp:revision>
  <dcterms:created xsi:type="dcterms:W3CDTF">2022-07-23T03:23:00Z</dcterms:created>
  <dcterms:modified xsi:type="dcterms:W3CDTF">2022-07-23T05:04:00Z</dcterms:modified>
</cp:coreProperties>
</file>