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612BA" w14:textId="77777777" w:rsidR="00C33FAD" w:rsidRDefault="003E6D14" w:rsidP="00C33FAD">
      <w:pPr>
        <w:pStyle w:val="BATitle"/>
      </w:pPr>
      <w:r>
        <w:t>Supporting Information For</w:t>
      </w:r>
    </w:p>
    <w:p w14:paraId="33993F11" w14:textId="7CC88F52" w:rsidR="009246AD" w:rsidRDefault="004C36AB" w:rsidP="00C33FAD">
      <w:pPr>
        <w:pStyle w:val="BATitle"/>
      </w:pPr>
      <w:r>
        <w:t xml:space="preserve">Effect of Diffusion Kinetics on the </w:t>
      </w:r>
      <w:r w:rsidRPr="00B20EA8">
        <w:t>Ice Nucleation Temperature Distribution</w:t>
      </w:r>
      <w:r w:rsidRPr="009409E5" w:rsidDel="004C36AB">
        <w:t xml:space="preserve"> </w:t>
      </w:r>
      <w:bookmarkStart w:id="0" w:name="_GoBack"/>
      <w:bookmarkEnd w:id="0"/>
    </w:p>
    <w:p w14:paraId="19152C52" w14:textId="77777777" w:rsidR="009246AD" w:rsidRPr="007D2CDC" w:rsidRDefault="009409E5" w:rsidP="00AB34C5">
      <w:pPr>
        <w:pStyle w:val="BBAuthorName"/>
        <w:jc w:val="left"/>
        <w:rPr>
          <w:lang w:val="it-IT"/>
        </w:rPr>
      </w:pPr>
      <w:r w:rsidRPr="007D2CDC">
        <w:rPr>
          <w:lang w:val="it-IT"/>
        </w:rPr>
        <w:t>Lorenzo Stratta, Andrea Arsiccio &amp; Roberto Pisano*</w:t>
      </w:r>
      <w:r w:rsidR="009246AD" w:rsidRPr="007D2CDC">
        <w:rPr>
          <w:lang w:val="it-IT"/>
        </w:rPr>
        <w:t>.</w:t>
      </w:r>
    </w:p>
    <w:p w14:paraId="5C5201A8" w14:textId="77777777" w:rsidR="009246AD" w:rsidRDefault="009409E5" w:rsidP="00AB34C5">
      <w:pPr>
        <w:pStyle w:val="BCAuthorAddress"/>
        <w:jc w:val="left"/>
      </w:pPr>
      <w:r w:rsidRPr="009409E5">
        <w:t>Molecular Engineering Laboratory (molE), Department of Applied Science and Technology, Politecnico di Torino, 24 corso Duca degli Abruzzi, IT-10129 Torino, Italy</w:t>
      </w:r>
    </w:p>
    <w:p w14:paraId="511668E4" w14:textId="77777777" w:rsidR="000C05CC" w:rsidRPr="00DD6DBB" w:rsidRDefault="000C05CC" w:rsidP="004E7185">
      <w:pPr>
        <w:pStyle w:val="FAAuthorInfoSubtitle"/>
      </w:pPr>
      <w:r w:rsidRPr="00DD6DBB">
        <w:t>Corresponding Author</w:t>
      </w:r>
    </w:p>
    <w:p w14:paraId="63C2CB04" w14:textId="77777777" w:rsidR="000C05CC" w:rsidRPr="00A764EF" w:rsidRDefault="000C05CC" w:rsidP="00324128">
      <w:pPr>
        <w:pStyle w:val="FACorrespondingAuthorFootnote"/>
        <w:spacing w:after="240"/>
        <w:jc w:val="left"/>
      </w:pPr>
      <w:r>
        <w:t>*</w:t>
      </w:r>
      <w:r w:rsidR="009409E5" w:rsidRPr="009409E5">
        <w:t xml:space="preserve"> Correspondence to: roberto.pisano@polito.it</w:t>
      </w:r>
      <w:r w:rsidRPr="003E5207">
        <w:t>.</w:t>
      </w:r>
    </w:p>
    <w:p w14:paraId="42F350A3" w14:textId="77777777" w:rsidR="001F756C" w:rsidRDefault="00602B29">
      <w:pPr>
        <w:spacing w:after="0"/>
        <w:jc w:val="left"/>
        <w:rPr>
          <w:lang w:val="en-GB"/>
        </w:rPr>
      </w:pPr>
      <w:r>
        <w:rPr>
          <w:lang w:val="en-GB"/>
        </w:rPr>
        <w:br w:type="page"/>
      </w:r>
    </w:p>
    <w:p w14:paraId="0B69648B" w14:textId="77777777" w:rsidR="001F756C" w:rsidRPr="001F756C" w:rsidRDefault="001F756C" w:rsidP="001F756C">
      <w:pPr>
        <w:rPr>
          <w:lang w:val="en-GB"/>
        </w:rPr>
      </w:pPr>
    </w:p>
    <w:p w14:paraId="6542EE7A" w14:textId="77777777" w:rsidR="00602B29" w:rsidRPr="001F756C" w:rsidRDefault="00602B29" w:rsidP="001F756C">
      <w:pPr>
        <w:rPr>
          <w:lang w:val="en-GB"/>
        </w:rPr>
      </w:pPr>
    </w:p>
    <w:p w14:paraId="66ABFE1A" w14:textId="77777777" w:rsidR="002C01C7" w:rsidRDefault="002C01C7" w:rsidP="002C01C7">
      <w:pPr>
        <w:pStyle w:val="TAMainText"/>
        <w:spacing w:after="240"/>
        <w:jc w:val="center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0A254482" wp14:editId="52C1EACB">
            <wp:extent cx="2970000" cy="2970000"/>
            <wp:effectExtent l="0" t="0" r="0" b="0"/>
            <wp:docPr id="4" name="Gra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77739C9" w14:textId="2A5664D3" w:rsidR="00FA69D2" w:rsidRDefault="002C01C7" w:rsidP="00D704C4">
      <w:pPr>
        <w:pStyle w:val="VAFigureCaption"/>
        <w:rPr>
          <w:lang w:val="en-GB"/>
        </w:rPr>
      </w:pPr>
      <w:r w:rsidRPr="003E6D14">
        <w:rPr>
          <w:b/>
          <w:bCs/>
          <w:lang w:val="en-GB"/>
        </w:rPr>
        <w:t>Fig</w:t>
      </w:r>
      <w:r>
        <w:rPr>
          <w:b/>
          <w:bCs/>
          <w:lang w:val="en-GB"/>
        </w:rPr>
        <w:t>ure</w:t>
      </w:r>
      <w:r w:rsidRPr="003E6D14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S</w:t>
      </w:r>
      <w:r w:rsidRPr="003E6D14">
        <w:rPr>
          <w:b/>
          <w:bCs/>
          <w:lang w:val="en-GB"/>
        </w:rPr>
        <w:t>1</w:t>
      </w:r>
      <w:r>
        <w:rPr>
          <w:b/>
          <w:bCs/>
          <w:lang w:val="en-GB"/>
        </w:rPr>
        <w:t>.</w:t>
      </w:r>
      <w:r w:rsidRPr="003E6D14">
        <w:rPr>
          <w:b/>
          <w:bCs/>
          <w:lang w:val="en-GB"/>
        </w:rPr>
        <w:t xml:space="preserve"> </w:t>
      </w:r>
      <w:r w:rsidR="005561A4">
        <w:rPr>
          <w:lang w:val="en-GB"/>
        </w:rPr>
        <w:t>Median</w:t>
      </w:r>
      <w:r>
        <w:rPr>
          <w:lang w:val="en-GB"/>
        </w:rPr>
        <w:t xml:space="preserve"> nucleation temperature </w:t>
      </w:r>
      <w:r>
        <w:rPr>
          <w:i/>
          <w:lang w:val="en-GB"/>
        </w:rPr>
        <w:t>T</w:t>
      </w:r>
      <w:r>
        <w:rPr>
          <w:vertAlign w:val="subscript"/>
          <w:lang w:val="en-GB"/>
        </w:rPr>
        <w:t>50</w:t>
      </w:r>
      <w:r>
        <w:rPr>
          <w:lang w:val="en-GB"/>
        </w:rPr>
        <w:t xml:space="preserve"> versus the residence time above 0°C (</w:t>
      </w:r>
      <w:r>
        <w:rPr>
          <w:rFonts w:ascii="Symbol" w:hAnsi="Symbol"/>
          <w:i/>
          <w:lang w:val="en-GB"/>
        </w:rPr>
        <w:t></w:t>
      </w:r>
      <w:r>
        <w:rPr>
          <w:rFonts w:ascii="Symbol" w:hAnsi="Symbol"/>
          <w:lang w:val="en-GB"/>
        </w:rPr>
        <w:t></w:t>
      </w:r>
      <w:r>
        <w:rPr>
          <w:rFonts w:ascii="Symbol" w:hAnsi="Symbol"/>
          <w:i/>
          <w:lang w:val="en-GB"/>
        </w:rPr>
        <w:t></w:t>
      </w:r>
      <w:r>
        <w:rPr>
          <w:lang w:val="en-GB"/>
        </w:rPr>
        <w:t>in logarithmic scale</w:t>
      </w:r>
      <w:r w:rsidR="00FE6C0D">
        <w:rPr>
          <w:rFonts w:ascii="Symbol" w:hAnsi="Symbol"/>
          <w:lang w:val="en-GB"/>
        </w:rPr>
        <w:t></w:t>
      </w:r>
      <w:r w:rsidR="00FE6C0D">
        <w:rPr>
          <w:lang w:val="en-GB"/>
        </w:rPr>
        <w:t xml:space="preserve"> experiments </w:t>
      </w:r>
      <w:r>
        <w:rPr>
          <w:lang w:val="en-GB"/>
        </w:rPr>
        <w:t>I-</w:t>
      </w:r>
      <w:r w:rsidR="00FE6C0D">
        <w:rPr>
          <w:lang w:val="en-GB"/>
        </w:rPr>
        <w:t xml:space="preserve">V, </w:t>
      </w:r>
      <w:r w:rsidR="00243AC8">
        <w:rPr>
          <w:lang w:val="en-GB"/>
        </w:rPr>
        <w:t>X</w:t>
      </w:r>
      <w:r w:rsidR="00FE6C0D">
        <w:rPr>
          <w:lang w:val="en-GB"/>
        </w:rPr>
        <w:t>-</w:t>
      </w:r>
      <w:r w:rsidR="00243AC8">
        <w:rPr>
          <w:lang w:val="en-GB"/>
        </w:rPr>
        <w:t xml:space="preserve">XXIV </w:t>
      </w:r>
      <w:r>
        <w:rPr>
          <w:lang w:val="en-GB"/>
        </w:rPr>
        <w:t>in Table 1). The error bars show the width of the distributions, with the upper and lower values correspond</w:t>
      </w:r>
      <w:r w:rsidR="00C55653">
        <w:rPr>
          <w:lang w:val="en-GB"/>
        </w:rPr>
        <w:t>ing</w:t>
      </w:r>
      <w:r>
        <w:rPr>
          <w:lang w:val="en-GB"/>
        </w:rPr>
        <w:t xml:space="preserve"> to </w:t>
      </w:r>
      <w:r>
        <w:rPr>
          <w:i/>
          <w:lang w:val="en-GB"/>
        </w:rPr>
        <w:t>T</w:t>
      </w:r>
      <w:r>
        <w:rPr>
          <w:vertAlign w:val="subscript"/>
          <w:lang w:val="en-GB"/>
        </w:rPr>
        <w:t>10</w:t>
      </w:r>
      <w:r>
        <w:rPr>
          <w:lang w:val="en-GB"/>
        </w:rPr>
        <w:t xml:space="preserve"> and </w:t>
      </w:r>
      <w:r>
        <w:rPr>
          <w:i/>
          <w:lang w:val="en-GB"/>
        </w:rPr>
        <w:t>T</w:t>
      </w:r>
      <w:r>
        <w:rPr>
          <w:vertAlign w:val="subscript"/>
          <w:lang w:val="en-GB"/>
        </w:rPr>
        <w:t>90</w:t>
      </w:r>
      <w:r>
        <w:rPr>
          <w:lang w:val="en-GB"/>
        </w:rPr>
        <w:t>,</w:t>
      </w:r>
      <w:r>
        <w:rPr>
          <w:vertAlign w:val="subscript"/>
          <w:lang w:val="en-GB"/>
        </w:rPr>
        <w:t xml:space="preserve"> </w:t>
      </w:r>
      <w:r>
        <w:rPr>
          <w:lang w:val="en-GB"/>
        </w:rPr>
        <w:t xml:space="preserve">respectively. There is no clear correlation between </w:t>
      </w:r>
      <w:r>
        <w:rPr>
          <w:rFonts w:ascii="Symbol" w:hAnsi="Symbol"/>
          <w:i/>
          <w:lang w:val="en-GB"/>
        </w:rPr>
        <w:t></w:t>
      </w:r>
      <w:r>
        <w:rPr>
          <w:rFonts w:ascii="Symbol" w:hAnsi="Symbol"/>
          <w:i/>
          <w:lang w:val="en-GB"/>
        </w:rPr>
        <w:t></w:t>
      </w:r>
      <w:r>
        <w:rPr>
          <w:lang w:val="en-GB"/>
        </w:rPr>
        <w:t xml:space="preserve">and </w:t>
      </w:r>
      <w:r>
        <w:rPr>
          <w:i/>
          <w:lang w:val="en-GB"/>
        </w:rPr>
        <w:t>T</w:t>
      </w:r>
      <w:r>
        <w:rPr>
          <w:vertAlign w:val="subscript"/>
          <w:lang w:val="en-GB"/>
        </w:rPr>
        <w:t>50</w:t>
      </w:r>
      <w:r>
        <w:rPr>
          <w:lang w:val="en-GB"/>
        </w:rPr>
        <w:t xml:space="preserve"> </w:t>
      </w:r>
      <w:r>
        <w:t>(the omnibus test fails with a p-value of 0.43,</w:t>
      </w:r>
      <w:r w:rsidRPr="00C21326">
        <w:t xml:space="preserve"> </w:t>
      </w:r>
      <w:r>
        <w:t>F-value 1.16, degrees of freedom 12)</w:t>
      </w:r>
      <w:r>
        <w:rPr>
          <w:lang w:val="en-GB"/>
        </w:rPr>
        <w:t>.</w:t>
      </w:r>
      <w:r w:rsidR="00FA69D2">
        <w:rPr>
          <w:lang w:val="en-GB"/>
        </w:rPr>
        <w:br w:type="page"/>
      </w:r>
    </w:p>
    <w:p w14:paraId="13F0C7B6" w14:textId="77777777" w:rsidR="003E6D14" w:rsidRDefault="003E6D14" w:rsidP="0078649E">
      <w:pPr>
        <w:pStyle w:val="TAMainText"/>
        <w:spacing w:after="240"/>
        <w:jc w:val="center"/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59C6F386" wp14:editId="40794794">
            <wp:extent cx="2970000" cy="2970000"/>
            <wp:effectExtent l="0" t="0" r="1905" b="1905"/>
            <wp:docPr id="23" name="Gra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72A55FB" w14:textId="4C04391C" w:rsidR="003E6D14" w:rsidRDefault="003E6D14" w:rsidP="003E6D14">
      <w:pPr>
        <w:pStyle w:val="VAFigureCaption"/>
      </w:pPr>
      <w:r w:rsidRPr="003E6D14">
        <w:rPr>
          <w:b/>
          <w:bCs/>
          <w:lang w:val="en-GB"/>
        </w:rPr>
        <w:t>Fig</w:t>
      </w:r>
      <w:r>
        <w:rPr>
          <w:b/>
          <w:bCs/>
          <w:lang w:val="en-GB"/>
        </w:rPr>
        <w:t>ure S</w:t>
      </w:r>
      <w:r w:rsidRPr="003E6D14">
        <w:rPr>
          <w:b/>
          <w:bCs/>
          <w:lang w:val="en-GB"/>
        </w:rPr>
        <w:t>2</w:t>
      </w:r>
      <w:r>
        <w:rPr>
          <w:b/>
          <w:bCs/>
          <w:lang w:val="en-GB"/>
        </w:rPr>
        <w:t>.</w:t>
      </w:r>
      <w:r w:rsidRPr="003E6D14">
        <w:rPr>
          <w:b/>
          <w:bCs/>
          <w:lang w:val="en-GB"/>
        </w:rPr>
        <w:t xml:space="preserve"> </w:t>
      </w:r>
      <w:r>
        <w:rPr>
          <w:lang w:val="en-GB"/>
        </w:rPr>
        <w:t>Width of the nucleation temperature distribution (</w:t>
      </w:r>
      <w:r>
        <w:rPr>
          <w:i/>
        </w:rPr>
        <w:t>T</w:t>
      </w:r>
      <w:r>
        <w:rPr>
          <w:vertAlign w:val="subscript"/>
        </w:rPr>
        <w:t>10</w:t>
      </w:r>
      <w:r>
        <w:t>-</w:t>
      </w:r>
      <w:r w:rsidRPr="00896A1F">
        <w:rPr>
          <w:i/>
        </w:rPr>
        <w:t>T</w:t>
      </w:r>
      <w:r>
        <w:rPr>
          <w:vertAlign w:val="subscript"/>
        </w:rPr>
        <w:t>90</w:t>
      </w:r>
      <w:r>
        <w:rPr>
          <w:lang w:val="en-GB"/>
        </w:rPr>
        <w:t xml:space="preserve">, in °C) versus the average nucleation temperature </w:t>
      </w:r>
      <w:r>
        <w:rPr>
          <w:i/>
          <w:lang w:val="en-GB"/>
        </w:rPr>
        <w:t>T</w:t>
      </w:r>
      <w:r>
        <w:rPr>
          <w:vertAlign w:val="subscript"/>
          <w:lang w:val="en-GB"/>
        </w:rPr>
        <w:t>50</w:t>
      </w:r>
      <w:r w:rsidR="00B039AE">
        <w:rPr>
          <w:vertAlign w:val="subscript"/>
          <w:lang w:val="en-GB"/>
        </w:rPr>
        <w:t xml:space="preserve"> </w:t>
      </w:r>
      <w:r w:rsidR="00FE6C0D">
        <w:rPr>
          <w:lang w:val="en-GB"/>
        </w:rPr>
        <w:t xml:space="preserve">(Experiments I-V, </w:t>
      </w:r>
      <w:r w:rsidR="00243AC8">
        <w:rPr>
          <w:lang w:val="en-GB"/>
        </w:rPr>
        <w:t>X</w:t>
      </w:r>
      <w:r w:rsidR="00FE6C0D">
        <w:rPr>
          <w:lang w:val="en-GB"/>
        </w:rPr>
        <w:t>-</w:t>
      </w:r>
      <w:r w:rsidR="00243AC8">
        <w:rPr>
          <w:lang w:val="en-GB"/>
        </w:rPr>
        <w:t xml:space="preserve">XXIV </w:t>
      </w:r>
      <w:r w:rsidR="00FE6C0D">
        <w:rPr>
          <w:lang w:val="en-GB"/>
        </w:rPr>
        <w:t>in Table 1</w:t>
      </w:r>
      <w:r>
        <w:rPr>
          <w:lang w:val="en-GB"/>
        </w:rPr>
        <w:t xml:space="preserve">). </w:t>
      </w:r>
      <w:r>
        <w:t xml:space="preserve">There is no clear correlation between </w:t>
      </w:r>
      <w:r>
        <w:rPr>
          <w:i/>
        </w:rPr>
        <w:t>T</w:t>
      </w:r>
      <w:r>
        <w:rPr>
          <w:vertAlign w:val="subscript"/>
        </w:rPr>
        <w:t>50</w:t>
      </w:r>
      <w:r>
        <w:t xml:space="preserve"> and </w:t>
      </w:r>
      <w:r>
        <w:rPr>
          <w:i/>
        </w:rPr>
        <w:t>T</w:t>
      </w:r>
      <w:r>
        <w:rPr>
          <w:vertAlign w:val="subscript"/>
        </w:rPr>
        <w:t>10</w:t>
      </w:r>
      <w:r>
        <w:t>-</w:t>
      </w:r>
      <w:r w:rsidRPr="00896A1F">
        <w:rPr>
          <w:i/>
        </w:rPr>
        <w:t>T</w:t>
      </w:r>
      <w:r>
        <w:rPr>
          <w:vertAlign w:val="subscript"/>
        </w:rPr>
        <w:t>90</w:t>
      </w:r>
      <w:r>
        <w:t xml:space="preserve"> (the omnibus test fails with a p-value of 0.78,</w:t>
      </w:r>
      <w:r w:rsidRPr="00C21326">
        <w:t xml:space="preserve"> </w:t>
      </w:r>
      <w:r>
        <w:t>F-value 0.62, degrees of freedom 16).</w:t>
      </w:r>
    </w:p>
    <w:p w14:paraId="4E312EE3" w14:textId="77777777" w:rsidR="00C33FAD" w:rsidRDefault="00C33FAD" w:rsidP="007D2CDC"/>
    <w:p w14:paraId="4FE096DA" w14:textId="77777777" w:rsidR="00C33FAD" w:rsidRDefault="00C33FAD" w:rsidP="007D2CDC"/>
    <w:p w14:paraId="7608019C" w14:textId="77777777" w:rsidR="00C33FAD" w:rsidRDefault="00C33FAD" w:rsidP="007D2CDC"/>
    <w:p w14:paraId="2C32A466" w14:textId="77777777" w:rsidR="00C33FAD" w:rsidRDefault="00C33FAD" w:rsidP="007D2CDC"/>
    <w:p w14:paraId="2DD9B818" w14:textId="77777777" w:rsidR="00C33FAD" w:rsidRDefault="00C33FAD" w:rsidP="007D2CDC"/>
    <w:p w14:paraId="14783ECC" w14:textId="77777777" w:rsidR="00C33FAD" w:rsidRDefault="00C33FAD" w:rsidP="007D2CDC"/>
    <w:p w14:paraId="640DD5EC" w14:textId="77777777" w:rsidR="00C33FAD" w:rsidRDefault="00C33FAD" w:rsidP="007D2CDC"/>
    <w:p w14:paraId="01D4B952" w14:textId="77777777" w:rsidR="00C33FAD" w:rsidRDefault="00C33FAD" w:rsidP="007D2CDC"/>
    <w:p w14:paraId="58D6388F" w14:textId="77777777" w:rsidR="00C33FAD" w:rsidRDefault="00C33FAD" w:rsidP="007D2CDC"/>
    <w:p w14:paraId="2D44A184" w14:textId="77777777" w:rsidR="00C33FAD" w:rsidRDefault="00C33FAD" w:rsidP="007D2CDC"/>
    <w:p w14:paraId="3CF50E15" w14:textId="77777777" w:rsidR="00C33FAD" w:rsidRDefault="00C33FAD" w:rsidP="007D2CDC"/>
    <w:p w14:paraId="202A2043" w14:textId="77777777" w:rsidR="00C33FAD" w:rsidRDefault="00C33FAD" w:rsidP="007D2CDC"/>
    <w:p w14:paraId="0B245BA5" w14:textId="77777777" w:rsidR="00C33FAD" w:rsidRPr="00C33FAD" w:rsidRDefault="00C33FAD" w:rsidP="007D2CDC"/>
    <w:p w14:paraId="0CDC905A" w14:textId="77777777" w:rsidR="0078649E" w:rsidRDefault="0078649E" w:rsidP="0078649E">
      <w:r>
        <w:rPr>
          <w:noProof/>
          <w:lang w:val="en-GB" w:eastAsia="en-GB"/>
        </w:rPr>
        <w:drawing>
          <wp:inline distT="0" distB="0" distL="0" distR="0" wp14:anchorId="07BBC1D3" wp14:editId="490772F3">
            <wp:extent cx="2970000" cy="2970000"/>
            <wp:effectExtent l="0" t="0" r="1905" b="1905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DD1B011" wp14:editId="305C4336">
            <wp:extent cx="2970000" cy="2970000"/>
            <wp:effectExtent l="0" t="0" r="1905" b="1905"/>
            <wp:docPr id="21" name="Grafico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49A8425" w14:textId="4E522BE8" w:rsidR="0078649E" w:rsidRDefault="0078649E" w:rsidP="0078649E">
      <w:pPr>
        <w:pStyle w:val="VAFigureCaption"/>
        <w:rPr>
          <w:lang w:val="en-GB"/>
        </w:rPr>
      </w:pPr>
      <w:r w:rsidRPr="0078649E">
        <w:rPr>
          <w:b/>
          <w:bCs/>
          <w:lang w:val="en-GB"/>
        </w:rPr>
        <w:t>Fig</w:t>
      </w:r>
      <w:r>
        <w:rPr>
          <w:b/>
          <w:bCs/>
          <w:lang w:val="en-GB"/>
        </w:rPr>
        <w:t>ure</w:t>
      </w:r>
      <w:r w:rsidRPr="0078649E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S</w:t>
      </w:r>
      <w:r w:rsidRPr="0078649E">
        <w:rPr>
          <w:b/>
          <w:bCs/>
          <w:lang w:val="en-GB"/>
        </w:rPr>
        <w:t>3</w:t>
      </w:r>
      <w:r>
        <w:rPr>
          <w:b/>
          <w:bCs/>
          <w:lang w:val="en-GB"/>
        </w:rPr>
        <w:t>.</w:t>
      </w:r>
      <w:r w:rsidRPr="0078649E">
        <w:rPr>
          <w:b/>
          <w:bCs/>
          <w:lang w:val="en-GB"/>
        </w:rPr>
        <w:t xml:space="preserve"> </w:t>
      </w:r>
      <w:r w:rsidRPr="0078649E">
        <w:rPr>
          <w:b/>
          <w:bCs/>
        </w:rPr>
        <w:t>a</w:t>
      </w:r>
      <w:r>
        <w:rPr>
          <w:lang w:val="en-GB"/>
        </w:rPr>
        <w:t xml:space="preserve">: Average nucleation temperature </w:t>
      </w:r>
      <w:r>
        <w:rPr>
          <w:i/>
          <w:lang w:val="en-GB"/>
        </w:rPr>
        <w:t>T</w:t>
      </w:r>
      <w:r>
        <w:rPr>
          <w:vertAlign w:val="subscript"/>
          <w:lang w:val="en-GB"/>
        </w:rPr>
        <w:t>50</w:t>
      </w:r>
      <w:r>
        <w:rPr>
          <w:lang w:val="en-GB"/>
        </w:rPr>
        <w:t xml:space="preserve"> versus cooling/heating rate </w:t>
      </w:r>
      <w:r w:rsidRPr="007A6548">
        <w:rPr>
          <w:i/>
          <w:lang w:val="en-GB"/>
        </w:rPr>
        <w:t>R</w:t>
      </w:r>
      <w:r>
        <w:rPr>
          <w:lang w:val="en-GB"/>
        </w:rPr>
        <w:t>. The error bars show the width of the distribution, with the upper and lower values correspond</w:t>
      </w:r>
      <w:r w:rsidR="00D90D72">
        <w:rPr>
          <w:lang w:val="en-GB"/>
        </w:rPr>
        <w:t>ing</w:t>
      </w:r>
      <w:r>
        <w:rPr>
          <w:lang w:val="en-GB"/>
        </w:rPr>
        <w:t xml:space="preserve"> to </w:t>
      </w:r>
      <w:r>
        <w:rPr>
          <w:i/>
          <w:lang w:val="en-GB"/>
        </w:rPr>
        <w:t>T</w:t>
      </w:r>
      <w:r>
        <w:rPr>
          <w:vertAlign w:val="subscript"/>
          <w:lang w:val="en-GB"/>
        </w:rPr>
        <w:t>10</w:t>
      </w:r>
      <w:r>
        <w:rPr>
          <w:lang w:val="en-GB"/>
        </w:rPr>
        <w:t xml:space="preserve"> and </w:t>
      </w:r>
      <w:r>
        <w:rPr>
          <w:i/>
          <w:lang w:val="en-GB"/>
        </w:rPr>
        <w:t>T</w:t>
      </w:r>
      <w:r>
        <w:rPr>
          <w:vertAlign w:val="subscript"/>
          <w:lang w:val="en-GB"/>
        </w:rPr>
        <w:t>90</w:t>
      </w:r>
      <w:r>
        <w:rPr>
          <w:lang w:val="en-GB"/>
        </w:rPr>
        <w:t>,</w:t>
      </w:r>
      <w:r>
        <w:rPr>
          <w:vertAlign w:val="subscript"/>
          <w:lang w:val="en-GB"/>
        </w:rPr>
        <w:t xml:space="preserve"> </w:t>
      </w:r>
      <w:r>
        <w:rPr>
          <w:lang w:val="en-GB"/>
        </w:rPr>
        <w:t xml:space="preserve">respectively. </w:t>
      </w:r>
      <w:r w:rsidRPr="0078649E">
        <w:rPr>
          <w:b/>
          <w:bCs/>
        </w:rPr>
        <w:t>b</w:t>
      </w:r>
      <w:r>
        <w:rPr>
          <w:lang w:val="en-GB"/>
        </w:rPr>
        <w:t>: Width of the nucleation temperature distribution (</w:t>
      </w:r>
      <w:r>
        <w:rPr>
          <w:i/>
        </w:rPr>
        <w:t>T</w:t>
      </w:r>
      <w:r>
        <w:rPr>
          <w:vertAlign w:val="subscript"/>
        </w:rPr>
        <w:t>10</w:t>
      </w:r>
      <w:r>
        <w:t>-</w:t>
      </w:r>
      <w:r w:rsidRPr="00896A1F">
        <w:rPr>
          <w:i/>
        </w:rPr>
        <w:t>T</w:t>
      </w:r>
      <w:r>
        <w:rPr>
          <w:vertAlign w:val="subscript"/>
        </w:rPr>
        <w:t>90</w:t>
      </w:r>
      <w:r>
        <w:rPr>
          <w:lang w:val="en-GB"/>
        </w:rPr>
        <w:t xml:space="preserve">, in °C) versus cooling/heating rate </w:t>
      </w:r>
      <w:r w:rsidRPr="007A6548">
        <w:rPr>
          <w:i/>
          <w:lang w:val="en-GB"/>
        </w:rPr>
        <w:t>R</w:t>
      </w:r>
      <w:r>
        <w:rPr>
          <w:lang w:val="en-GB"/>
        </w:rPr>
        <w:t xml:space="preserve">. Experiments I, and </w:t>
      </w:r>
      <w:r w:rsidR="00243AC8">
        <w:rPr>
          <w:lang w:val="en-GB"/>
        </w:rPr>
        <w:t>XVI</w:t>
      </w:r>
      <w:r w:rsidR="00FE6C0D">
        <w:rPr>
          <w:lang w:val="en-GB"/>
        </w:rPr>
        <w:t>-X</w:t>
      </w:r>
      <w:r w:rsidR="00243AC8">
        <w:rPr>
          <w:lang w:val="en-GB"/>
        </w:rPr>
        <w:t>X</w:t>
      </w:r>
      <w:r w:rsidR="00FE6C0D">
        <w:rPr>
          <w:lang w:val="en-GB"/>
        </w:rPr>
        <w:t>I</w:t>
      </w:r>
      <w:r>
        <w:rPr>
          <w:lang w:val="en-GB"/>
        </w:rPr>
        <w:t xml:space="preserve"> in Table 1 were used for this analysis.</w:t>
      </w:r>
    </w:p>
    <w:p w14:paraId="1DDFDA48" w14:textId="4F1EAE7C" w:rsidR="006C6FFA" w:rsidRDefault="006C6FFA" w:rsidP="006C6FFA">
      <w:pPr>
        <w:rPr>
          <w:lang w:val="en-GB"/>
        </w:rPr>
      </w:pPr>
    </w:p>
    <w:p w14:paraId="6718AD80" w14:textId="77777777" w:rsidR="006C6FFA" w:rsidRPr="006C6FFA" w:rsidRDefault="006C6FFA" w:rsidP="006C6FFA">
      <w:pPr>
        <w:rPr>
          <w:lang w:val="en-GB"/>
        </w:rPr>
      </w:pPr>
    </w:p>
    <w:p w14:paraId="36CC42CE" w14:textId="77777777" w:rsidR="0078649E" w:rsidRDefault="0078649E" w:rsidP="0078649E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5E8B2996" wp14:editId="1BC73776">
            <wp:extent cx="2970000" cy="2970000"/>
            <wp:effectExtent l="0" t="0" r="1905" b="1905"/>
            <wp:docPr id="24" name="Grafico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4A766C9" wp14:editId="651EFA58">
            <wp:extent cx="2970000" cy="2970000"/>
            <wp:effectExtent l="0" t="0" r="1905" b="1905"/>
            <wp:docPr id="6" name="Gra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52B97A0" w14:textId="76E74481" w:rsidR="0078649E" w:rsidRDefault="0078649E" w:rsidP="0078649E">
      <w:pPr>
        <w:pStyle w:val="VAFigureCaption"/>
      </w:pPr>
      <w:r w:rsidRPr="0078649E">
        <w:rPr>
          <w:b/>
          <w:bCs/>
          <w:lang w:val="en-GB"/>
        </w:rPr>
        <w:t>Fig</w:t>
      </w:r>
      <w:r>
        <w:rPr>
          <w:b/>
          <w:bCs/>
          <w:lang w:val="en-GB"/>
        </w:rPr>
        <w:t>ure</w:t>
      </w:r>
      <w:r w:rsidRPr="0078649E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S</w:t>
      </w:r>
      <w:r w:rsidRPr="0078649E">
        <w:rPr>
          <w:b/>
          <w:bCs/>
          <w:lang w:val="en-GB"/>
        </w:rPr>
        <w:t>4.</w:t>
      </w:r>
      <w:r>
        <w:rPr>
          <w:lang w:val="en-GB"/>
        </w:rPr>
        <w:t xml:space="preserve"> </w:t>
      </w:r>
      <w:r w:rsidRPr="0078649E">
        <w:rPr>
          <w:b/>
          <w:bCs/>
        </w:rPr>
        <w:t>a</w:t>
      </w:r>
      <w:r>
        <w:rPr>
          <w:lang w:val="en-GB"/>
        </w:rPr>
        <w:t xml:space="preserve">: Average nucleation temperature </w:t>
      </w:r>
      <w:r>
        <w:rPr>
          <w:i/>
          <w:lang w:val="en-GB"/>
        </w:rPr>
        <w:t>T</w:t>
      </w:r>
      <w:r>
        <w:rPr>
          <w:vertAlign w:val="subscript"/>
          <w:lang w:val="en-GB"/>
        </w:rPr>
        <w:t>50</w:t>
      </w:r>
      <w:r>
        <w:rPr>
          <w:lang w:val="en-GB"/>
        </w:rPr>
        <w:t xml:space="preserve"> </w:t>
      </w:r>
      <w:r>
        <w:t xml:space="preserve">and </w:t>
      </w:r>
      <w:r w:rsidRPr="0078649E">
        <w:rPr>
          <w:b/>
          <w:bCs/>
        </w:rPr>
        <w:t>b</w:t>
      </w:r>
      <w:r>
        <w:t xml:space="preserve">: its distribution </w:t>
      </w:r>
      <w:r>
        <w:rPr>
          <w:i/>
        </w:rPr>
        <w:t>T</w:t>
      </w:r>
      <w:r>
        <w:rPr>
          <w:vertAlign w:val="subscript"/>
        </w:rPr>
        <w:t>10</w:t>
      </w:r>
      <w:r>
        <w:t>-</w:t>
      </w:r>
      <w:r w:rsidRPr="00896A1F">
        <w:rPr>
          <w:i/>
        </w:rPr>
        <w:t>T</w:t>
      </w:r>
      <w:r>
        <w:rPr>
          <w:vertAlign w:val="subscript"/>
        </w:rPr>
        <w:t>90</w:t>
      </w:r>
      <w:r>
        <w:t xml:space="preserve"> </w:t>
      </w:r>
      <w:r>
        <w:rPr>
          <w:lang w:val="en-GB"/>
        </w:rPr>
        <w:t xml:space="preserve">versus sample mass </w:t>
      </w:r>
      <w:r>
        <w:rPr>
          <w:i/>
          <w:lang w:val="en-GB"/>
        </w:rPr>
        <w:t>m</w:t>
      </w:r>
      <w:r>
        <w:rPr>
          <w:vertAlign w:val="subscript"/>
          <w:lang w:val="en-GB"/>
        </w:rPr>
        <w:t xml:space="preserve">w. </w:t>
      </w:r>
      <w:r>
        <w:rPr>
          <w:lang w:val="en-GB"/>
        </w:rPr>
        <w:t xml:space="preserve">The error bars show the width of the distribution, with the upper and lower values corresponding to </w:t>
      </w:r>
      <w:r>
        <w:rPr>
          <w:i/>
          <w:lang w:val="en-GB"/>
        </w:rPr>
        <w:t>T</w:t>
      </w:r>
      <w:r>
        <w:rPr>
          <w:vertAlign w:val="subscript"/>
          <w:lang w:val="en-GB"/>
        </w:rPr>
        <w:t>10</w:t>
      </w:r>
      <w:r>
        <w:rPr>
          <w:lang w:val="en-GB"/>
        </w:rPr>
        <w:t xml:space="preserve"> and </w:t>
      </w:r>
      <w:r>
        <w:rPr>
          <w:i/>
          <w:lang w:val="en-GB"/>
        </w:rPr>
        <w:t>T</w:t>
      </w:r>
      <w:r>
        <w:rPr>
          <w:vertAlign w:val="subscript"/>
          <w:lang w:val="en-GB"/>
        </w:rPr>
        <w:t>90</w:t>
      </w:r>
      <w:r>
        <w:rPr>
          <w:lang w:val="en-GB"/>
        </w:rPr>
        <w:t>,</w:t>
      </w:r>
      <w:r>
        <w:rPr>
          <w:vertAlign w:val="subscript"/>
          <w:lang w:val="en-GB"/>
        </w:rPr>
        <w:t xml:space="preserve"> </w:t>
      </w:r>
      <w:r>
        <w:rPr>
          <w:lang w:val="en-GB"/>
        </w:rPr>
        <w:t>respectively</w:t>
      </w:r>
      <w:r w:rsidR="00FE6C0D">
        <w:rPr>
          <w:lang w:val="en-GB"/>
        </w:rPr>
        <w:t xml:space="preserve"> (Experiments I-V, </w:t>
      </w:r>
      <w:r w:rsidR="00243AC8">
        <w:rPr>
          <w:lang w:val="en-GB"/>
        </w:rPr>
        <w:t>X</w:t>
      </w:r>
      <w:r w:rsidR="00FE6C0D">
        <w:rPr>
          <w:lang w:val="en-GB"/>
        </w:rPr>
        <w:t>-</w:t>
      </w:r>
      <w:r w:rsidR="00243AC8">
        <w:rPr>
          <w:lang w:val="en-GB"/>
        </w:rPr>
        <w:t xml:space="preserve">XXIV </w:t>
      </w:r>
      <w:r w:rsidR="00FE6C0D">
        <w:rPr>
          <w:lang w:val="en-GB"/>
        </w:rPr>
        <w:t>in Table 1)</w:t>
      </w:r>
      <w:r>
        <w:rPr>
          <w:lang w:val="en-GB"/>
        </w:rPr>
        <w:t xml:space="preserve">. </w:t>
      </w:r>
      <w:r>
        <w:t xml:space="preserve">The omnibus test indicates absence of any significant correlation between </w:t>
      </w:r>
      <w:r>
        <w:rPr>
          <w:i/>
        </w:rPr>
        <w:t>m</w:t>
      </w:r>
      <w:r>
        <w:rPr>
          <w:vertAlign w:val="subscript"/>
        </w:rPr>
        <w:t>w</w:t>
      </w:r>
      <w:r>
        <w:t xml:space="preserve"> and</w:t>
      </w:r>
      <w:r>
        <w:rPr>
          <w:rFonts w:ascii="Noto Sans Symbols" w:eastAsia="Noto Sans Symbols" w:hAnsi="Noto Sans Symbols" w:cs="Noto Sans Symbols"/>
        </w:rPr>
        <w:t xml:space="preserve"> either </w:t>
      </w:r>
      <w:r>
        <w:rPr>
          <w:i/>
        </w:rPr>
        <w:t>T</w:t>
      </w:r>
      <w:r w:rsidRPr="002A58A5">
        <w:rPr>
          <w:vertAlign w:val="subscript"/>
        </w:rPr>
        <w:t>50</w:t>
      </w:r>
      <w:r>
        <w:t xml:space="preserve"> (F-value 1.04, degrees of freedom 14, p-value 0.51) or </w:t>
      </w:r>
      <w:r>
        <w:rPr>
          <w:i/>
        </w:rPr>
        <w:t>T</w:t>
      </w:r>
      <w:r>
        <w:rPr>
          <w:vertAlign w:val="subscript"/>
        </w:rPr>
        <w:t>10</w:t>
      </w:r>
      <w:r>
        <w:t>-</w:t>
      </w:r>
      <w:r w:rsidRPr="00896A1F">
        <w:rPr>
          <w:i/>
        </w:rPr>
        <w:t>T</w:t>
      </w:r>
      <w:r>
        <w:rPr>
          <w:vertAlign w:val="subscript"/>
        </w:rPr>
        <w:t>90</w:t>
      </w:r>
      <w:r>
        <w:t xml:space="preserve"> (F-value 0.92, degrees of freedom 14, p-value 0.58).</w:t>
      </w:r>
    </w:p>
    <w:p w14:paraId="2974382A" w14:textId="77777777" w:rsidR="002551FC" w:rsidRDefault="002551FC" w:rsidP="00D704C4"/>
    <w:p w14:paraId="26D53D2E" w14:textId="53A59FC8" w:rsidR="0078649E" w:rsidRPr="0078649E" w:rsidRDefault="0078649E" w:rsidP="00B31D95">
      <w:pPr>
        <w:spacing w:after="0"/>
        <w:jc w:val="left"/>
      </w:pPr>
    </w:p>
    <w:sectPr w:rsidR="0078649E" w:rsidRPr="0078649E" w:rsidSect="000B5610">
      <w:footerReference w:type="even" r:id="rId14"/>
      <w:footerReference w:type="default" r:id="rId15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B7583" w14:textId="77777777" w:rsidR="002F7E9C" w:rsidRDefault="002F7E9C">
      <w:r>
        <w:separator/>
      </w:r>
    </w:p>
  </w:endnote>
  <w:endnote w:type="continuationSeparator" w:id="0">
    <w:p w14:paraId="78F318E9" w14:textId="77777777" w:rsidR="002F7E9C" w:rsidRDefault="002F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7A4E6" w14:textId="77777777" w:rsidR="003B4AF3" w:rsidRDefault="003B4AF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2DDBBBC" w14:textId="77777777" w:rsidR="003B4AF3" w:rsidRDefault="003B4AF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63EF7" w14:textId="61DE533F" w:rsidR="003B4AF3" w:rsidRDefault="001F756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t>S</w:t>
    </w:r>
    <w:r w:rsidR="003B4AF3">
      <w:rPr>
        <w:rStyle w:val="Numeropagina"/>
      </w:rPr>
      <w:fldChar w:fldCharType="begin"/>
    </w:r>
    <w:r w:rsidR="003B4AF3">
      <w:rPr>
        <w:rStyle w:val="Numeropagina"/>
      </w:rPr>
      <w:instrText xml:space="preserve">PAGE  </w:instrText>
    </w:r>
    <w:r w:rsidR="003B4AF3">
      <w:rPr>
        <w:rStyle w:val="Numeropagina"/>
      </w:rPr>
      <w:fldChar w:fldCharType="separate"/>
    </w:r>
    <w:r w:rsidR="004C36AB">
      <w:rPr>
        <w:rStyle w:val="Numeropagina"/>
        <w:noProof/>
      </w:rPr>
      <w:t>1</w:t>
    </w:r>
    <w:r w:rsidR="003B4AF3">
      <w:rPr>
        <w:rStyle w:val="Numeropagina"/>
      </w:rPr>
      <w:fldChar w:fldCharType="end"/>
    </w:r>
  </w:p>
  <w:p w14:paraId="743A6DD5" w14:textId="77777777" w:rsidR="003B4AF3" w:rsidRDefault="003B4AF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5F363" w14:textId="77777777" w:rsidR="002F7E9C" w:rsidRDefault="002F7E9C">
      <w:r>
        <w:separator/>
      </w:r>
    </w:p>
  </w:footnote>
  <w:footnote w:type="continuationSeparator" w:id="0">
    <w:p w14:paraId="7307BC8C" w14:textId="77777777" w:rsidR="002F7E9C" w:rsidRDefault="002F7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E5"/>
    <w:rsid w:val="000002F2"/>
    <w:rsid w:val="0005660F"/>
    <w:rsid w:val="000702AD"/>
    <w:rsid w:val="000B2EEB"/>
    <w:rsid w:val="000B5610"/>
    <w:rsid w:val="000C05CC"/>
    <w:rsid w:val="00195ACA"/>
    <w:rsid w:val="00196E8E"/>
    <w:rsid w:val="001A7A90"/>
    <w:rsid w:val="001F756C"/>
    <w:rsid w:val="00212B1D"/>
    <w:rsid w:val="00243AC8"/>
    <w:rsid w:val="002551FC"/>
    <w:rsid w:val="00271A02"/>
    <w:rsid w:val="00275590"/>
    <w:rsid w:val="002A7493"/>
    <w:rsid w:val="002C01C7"/>
    <w:rsid w:val="002C3431"/>
    <w:rsid w:val="002F7E9C"/>
    <w:rsid w:val="0031373B"/>
    <w:rsid w:val="00313AFD"/>
    <w:rsid w:val="00324128"/>
    <w:rsid w:val="00361E35"/>
    <w:rsid w:val="003664E9"/>
    <w:rsid w:val="003679A1"/>
    <w:rsid w:val="00383FDD"/>
    <w:rsid w:val="003B4AF3"/>
    <w:rsid w:val="003E1F76"/>
    <w:rsid w:val="003E6D14"/>
    <w:rsid w:val="004203D3"/>
    <w:rsid w:val="00475FD2"/>
    <w:rsid w:val="00492520"/>
    <w:rsid w:val="004C36AB"/>
    <w:rsid w:val="004E283C"/>
    <w:rsid w:val="004E7185"/>
    <w:rsid w:val="00524F13"/>
    <w:rsid w:val="005553EF"/>
    <w:rsid w:val="005561A4"/>
    <w:rsid w:val="00562F95"/>
    <w:rsid w:val="00567E81"/>
    <w:rsid w:val="00591A57"/>
    <w:rsid w:val="00596A02"/>
    <w:rsid w:val="005D0C10"/>
    <w:rsid w:val="00602B29"/>
    <w:rsid w:val="00612E73"/>
    <w:rsid w:val="006455A5"/>
    <w:rsid w:val="00680BF1"/>
    <w:rsid w:val="006A3E34"/>
    <w:rsid w:val="006B2581"/>
    <w:rsid w:val="006C6FFA"/>
    <w:rsid w:val="007000D9"/>
    <w:rsid w:val="00747701"/>
    <w:rsid w:val="007629D3"/>
    <w:rsid w:val="0078649E"/>
    <w:rsid w:val="00794616"/>
    <w:rsid w:val="007A11AD"/>
    <w:rsid w:val="007D2CDC"/>
    <w:rsid w:val="007D3F50"/>
    <w:rsid w:val="007F4866"/>
    <w:rsid w:val="008047DE"/>
    <w:rsid w:val="008633FA"/>
    <w:rsid w:val="008655C0"/>
    <w:rsid w:val="00884DC0"/>
    <w:rsid w:val="008957CC"/>
    <w:rsid w:val="008B5DA7"/>
    <w:rsid w:val="008D30F9"/>
    <w:rsid w:val="008D53B2"/>
    <w:rsid w:val="00912169"/>
    <w:rsid w:val="0092037A"/>
    <w:rsid w:val="009246AD"/>
    <w:rsid w:val="009409E5"/>
    <w:rsid w:val="00965CCF"/>
    <w:rsid w:val="009A5D15"/>
    <w:rsid w:val="009F2E7E"/>
    <w:rsid w:val="009F3B8D"/>
    <w:rsid w:val="00A02D62"/>
    <w:rsid w:val="00A20EB5"/>
    <w:rsid w:val="00A63D9A"/>
    <w:rsid w:val="00A764EF"/>
    <w:rsid w:val="00AB34C5"/>
    <w:rsid w:val="00AF215A"/>
    <w:rsid w:val="00AF4F6D"/>
    <w:rsid w:val="00AF7F6A"/>
    <w:rsid w:val="00B039AE"/>
    <w:rsid w:val="00B05A88"/>
    <w:rsid w:val="00B31D95"/>
    <w:rsid w:val="00B43D38"/>
    <w:rsid w:val="00B44641"/>
    <w:rsid w:val="00B476E5"/>
    <w:rsid w:val="00B7618D"/>
    <w:rsid w:val="00BD2C44"/>
    <w:rsid w:val="00C10EE0"/>
    <w:rsid w:val="00C12556"/>
    <w:rsid w:val="00C14831"/>
    <w:rsid w:val="00C33FAD"/>
    <w:rsid w:val="00C445C4"/>
    <w:rsid w:val="00C55653"/>
    <w:rsid w:val="00C6170A"/>
    <w:rsid w:val="00D318E5"/>
    <w:rsid w:val="00D32E24"/>
    <w:rsid w:val="00D41A5F"/>
    <w:rsid w:val="00D43499"/>
    <w:rsid w:val="00D704C4"/>
    <w:rsid w:val="00D90D72"/>
    <w:rsid w:val="00DD1A7C"/>
    <w:rsid w:val="00DD6DBB"/>
    <w:rsid w:val="00E074F2"/>
    <w:rsid w:val="00E564A5"/>
    <w:rsid w:val="00E8115D"/>
    <w:rsid w:val="00E83DE0"/>
    <w:rsid w:val="00E91482"/>
    <w:rsid w:val="00E94795"/>
    <w:rsid w:val="00E96302"/>
    <w:rsid w:val="00EE1726"/>
    <w:rsid w:val="00F134F5"/>
    <w:rsid w:val="00F32275"/>
    <w:rsid w:val="00F45947"/>
    <w:rsid w:val="00F47B85"/>
    <w:rsid w:val="00F54BDD"/>
    <w:rsid w:val="00F5645C"/>
    <w:rsid w:val="00F9706D"/>
    <w:rsid w:val="00FA69D2"/>
    <w:rsid w:val="00FB4427"/>
    <w:rsid w:val="00FE6219"/>
    <w:rsid w:val="00FE6C0D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0EA47"/>
  <w15:docId w15:val="{9FAD48DD-95EF-4FAA-93FB-C641F507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pPr>
      <w:jc w:val="center"/>
    </w:pPr>
    <w:rPr>
      <w:b/>
      <w:sz w:val="40"/>
    </w:rPr>
  </w:style>
  <w:style w:type="paragraph" w:styleId="Testonotaapidipagina">
    <w:name w:val="footnote text"/>
    <w:basedOn w:val="Normale"/>
    <w:next w:val="TFReferencesSection"/>
    <w:semiHidden/>
  </w:style>
  <w:style w:type="paragraph" w:customStyle="1" w:styleId="TFReferencesSection">
    <w:name w:val="TF_References_Section"/>
    <w:basedOn w:val="Normale"/>
    <w:pPr>
      <w:spacing w:line="480" w:lineRule="auto"/>
      <w:ind w:firstLine="187"/>
    </w:pPr>
  </w:style>
  <w:style w:type="paragraph" w:customStyle="1" w:styleId="TAMainText">
    <w:name w:val="TA_Main_Text"/>
    <w:basedOn w:val="Normale"/>
    <w:pPr>
      <w:spacing w:after="0" w:line="480" w:lineRule="auto"/>
      <w:ind w:firstLine="202"/>
    </w:pPr>
  </w:style>
  <w:style w:type="paragraph" w:customStyle="1" w:styleId="BATitle">
    <w:name w:val="BA_Title"/>
    <w:basedOn w:val="Normale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e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e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e"/>
    <w:next w:val="AIReceivedDate"/>
    <w:pPr>
      <w:spacing w:line="480" w:lineRule="auto"/>
    </w:pPr>
  </w:style>
  <w:style w:type="paragraph" w:customStyle="1" w:styleId="AIReceivedDate">
    <w:name w:val="AI_Received_Date"/>
    <w:basedOn w:val="Normale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e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e"/>
    <w:next w:val="Normale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e"/>
    <w:next w:val="Normale"/>
    <w:pPr>
      <w:spacing w:line="480" w:lineRule="auto"/>
      <w:ind w:firstLine="187"/>
    </w:pPr>
  </w:style>
  <w:style w:type="paragraph" w:customStyle="1" w:styleId="VCSchemeTitle">
    <w:name w:val="VC_Scheme_Title"/>
    <w:basedOn w:val="Normale"/>
    <w:next w:val="Normale"/>
    <w:pPr>
      <w:spacing w:line="480" w:lineRule="auto"/>
    </w:pPr>
  </w:style>
  <w:style w:type="paragraph" w:customStyle="1" w:styleId="VDTableTitle">
    <w:name w:val="VD_Table_Title"/>
    <w:basedOn w:val="Normale"/>
    <w:next w:val="Normale"/>
    <w:pPr>
      <w:spacing w:line="480" w:lineRule="auto"/>
    </w:pPr>
  </w:style>
  <w:style w:type="paragraph" w:customStyle="1" w:styleId="VAFigureCaption">
    <w:name w:val="VA_Figure_Caption"/>
    <w:basedOn w:val="Normale"/>
    <w:next w:val="Normale"/>
    <w:pPr>
      <w:spacing w:line="480" w:lineRule="auto"/>
    </w:pPr>
  </w:style>
  <w:style w:type="paragraph" w:customStyle="1" w:styleId="VBChartTitle">
    <w:name w:val="VB_Chart_Title"/>
    <w:basedOn w:val="Normale"/>
    <w:next w:val="Normale"/>
    <w:pPr>
      <w:spacing w:line="480" w:lineRule="auto"/>
    </w:pPr>
  </w:style>
  <w:style w:type="paragraph" w:customStyle="1" w:styleId="FETableFootnote">
    <w:name w:val="FE_Table_Footnote"/>
    <w:basedOn w:val="Normale"/>
    <w:next w:val="Normale"/>
    <w:pPr>
      <w:ind w:firstLine="187"/>
    </w:pPr>
  </w:style>
  <w:style w:type="paragraph" w:customStyle="1" w:styleId="FCChartFootnote">
    <w:name w:val="FC_Chart_Footnote"/>
    <w:basedOn w:val="Normale"/>
    <w:next w:val="Normale"/>
    <w:pPr>
      <w:ind w:firstLine="187"/>
    </w:pPr>
  </w:style>
  <w:style w:type="paragraph" w:customStyle="1" w:styleId="FDSchemeFootnote">
    <w:name w:val="FD_Scheme_Footnote"/>
    <w:basedOn w:val="Normale"/>
    <w:next w:val="Normale"/>
    <w:pPr>
      <w:ind w:firstLine="187"/>
    </w:pPr>
  </w:style>
  <w:style w:type="paragraph" w:customStyle="1" w:styleId="TCTableBody">
    <w:name w:val="TC_Table_Body"/>
    <w:basedOn w:val="Normale"/>
  </w:style>
  <w:style w:type="paragraph" w:customStyle="1" w:styleId="AFTitleRunningHead">
    <w:name w:val="AF_Title_Running_Head"/>
    <w:basedOn w:val="Normale"/>
    <w:next w:val="TAMainText"/>
    <w:pPr>
      <w:spacing w:line="480" w:lineRule="auto"/>
    </w:pPr>
  </w:style>
  <w:style w:type="paragraph" w:customStyle="1" w:styleId="BEAuthorBiography">
    <w:name w:val="BE_Author_Biography"/>
    <w:basedOn w:val="Normale"/>
    <w:pPr>
      <w:spacing w:line="480" w:lineRule="auto"/>
    </w:pPr>
  </w:style>
  <w:style w:type="paragraph" w:customStyle="1" w:styleId="FACorrespondingAuthorFootnote">
    <w:name w:val="FA_Corresponding_Author_Footnote"/>
    <w:basedOn w:val="Normale"/>
    <w:next w:val="TAMainText"/>
    <w:pPr>
      <w:spacing w:line="480" w:lineRule="auto"/>
    </w:pPr>
  </w:style>
  <w:style w:type="paragraph" w:customStyle="1" w:styleId="SNSynopsisTOC">
    <w:name w:val="SN_Synopsis_TOC"/>
    <w:basedOn w:val="Normale"/>
    <w:pPr>
      <w:spacing w:line="480" w:lineRule="auto"/>
    </w:p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e"/>
    <w:pPr>
      <w:spacing w:line="480" w:lineRule="auto"/>
    </w:pPr>
  </w:style>
  <w:style w:type="paragraph" w:customStyle="1" w:styleId="BHBriefs">
    <w:name w:val="BH_Briefs"/>
    <w:basedOn w:val="Normale"/>
    <w:pPr>
      <w:spacing w:line="480" w:lineRule="auto"/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e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e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E6D14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3E6D14"/>
    <w:rPr>
      <w:rFonts w:ascii="Times" w:hAnsi="Times"/>
      <w:sz w:val="24"/>
    </w:rPr>
  </w:style>
  <w:style w:type="character" w:styleId="Rimandocommento">
    <w:name w:val="annotation reference"/>
    <w:basedOn w:val="Carpredefinitoparagrafo"/>
    <w:semiHidden/>
    <w:unhideWhenUsed/>
    <w:rsid w:val="007F486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F4866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F4866"/>
    <w:rPr>
      <w:rFonts w:ascii="Times" w:hAnsi="Time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F48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F4866"/>
    <w:rPr>
      <w:rFonts w:ascii="Times" w:hAnsi="Times"/>
      <w:b/>
      <w:bCs/>
    </w:rPr>
  </w:style>
  <w:style w:type="table" w:styleId="Grigliatabella">
    <w:name w:val="Table Grid"/>
    <w:basedOn w:val="Tabellanormale"/>
    <w:rsid w:val="00255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C55653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5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Modelli%20di%20Office%20personalizzati\Template%20for%20Electronic%20Submission%20to%20ACS%20Journals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2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1.xml"/><Relationship Id="rId4" Type="http://schemas.openxmlformats.org/officeDocument/2006/relationships/oleObject" Target="../embeddings/oleObject3.bin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5" Type="http://schemas.openxmlformats.org/officeDocument/2006/relationships/chartUserShapes" Target="../drawings/drawing2.xml"/><Relationship Id="rId4" Type="http://schemas.openxmlformats.org/officeDocument/2006/relationships/oleObject" Target="file:///C:\LORENZO\Dottorato\Articoli\Water%20memory\Experiments\Nucleation%20temperature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LORENZO\Dottorato\Articoli\Water%20memory\Experiments\Nucleation%20temperature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5" Type="http://schemas.openxmlformats.org/officeDocument/2006/relationships/chartUserShapes" Target="../drawings/drawing3.xml"/><Relationship Id="rId4" Type="http://schemas.openxmlformats.org/officeDocument/2006/relationships/oleObject" Target="file:///C:\LORENZO\Dottorato\Articoli\Water%20memory\Experiments\Nucleation%20temperatur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805381944444444"/>
          <c:y val="4.4409667541557306E-2"/>
          <c:w val="0.69595659722222214"/>
          <c:h val="0.77399898989898985"/>
        </c:manualLayout>
      </c:layout>
      <c:scatterChart>
        <c:scatterStyle val="lineMarker"/>
        <c:varyColors val="0"/>
        <c:ser>
          <c:idx val="2"/>
          <c:order val="0"/>
          <c:tx>
            <c:strRef>
              <c:f>'Post-process'!$L$2</c:f>
              <c:strCache>
                <c:ptCount val="1"/>
                <c:pt idx="0">
                  <c:v>t&gt;0°C</c:v>
                </c:pt>
              </c:strCache>
            </c:strRef>
          </c:tx>
          <c:spPr>
            <a:ln w="12700" cap="rnd">
              <a:noFill/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errBars>
            <c:errDir val="x"/>
            <c:errBarType val="both"/>
            <c:errValType val="stdErr"/>
            <c:noEndCap val="0"/>
            <c:spPr>
              <a:noFill/>
              <a:ln w="9525" cap="flat" cmpd="sng" algn="ctr">
                <a:noFill/>
                <a:round/>
              </a:ln>
              <a:effectLst/>
            </c:spPr>
          </c:errBars>
          <c:errBars>
            <c:errDir val="y"/>
            <c:errBarType val="both"/>
            <c:errValType val="cust"/>
            <c:noEndCap val="0"/>
            <c:plus>
              <c:numRef>
                <c:f>('Post-process'!$S$8,'Post-process'!$S$10:$S$11,'Post-process'!$S$15:$S$20,'Post-process'!$S$24,'Post-process'!$S$36:$S$39,'Post-process'!$S$42,'Post-process'!$S$44:$S$48)</c:f>
                <c:numCache>
                  <c:formatCode>General</c:formatCode>
                  <c:ptCount val="20"/>
                  <c:pt idx="0">
                    <c:v>0.69999999999999929</c:v>
                  </c:pt>
                  <c:pt idx="1">
                    <c:v>1.6000000000000014</c:v>
                  </c:pt>
                  <c:pt idx="2">
                    <c:v>3.3999999999999986</c:v>
                  </c:pt>
                  <c:pt idx="3">
                    <c:v>3.8000000000000007</c:v>
                  </c:pt>
                  <c:pt idx="4">
                    <c:v>0.39999999999999858</c:v>
                  </c:pt>
                  <c:pt idx="5">
                    <c:v>0.5</c:v>
                  </c:pt>
                  <c:pt idx="6">
                    <c:v>1.6999999999999993</c:v>
                  </c:pt>
                  <c:pt idx="7">
                    <c:v>1.3999999999999986</c:v>
                  </c:pt>
                  <c:pt idx="8">
                    <c:v>0.30000000000000071</c:v>
                  </c:pt>
                  <c:pt idx="9">
                    <c:v>1.1999999999999993</c:v>
                  </c:pt>
                  <c:pt idx="10">
                    <c:v>2.1999999999999993</c:v>
                  </c:pt>
                  <c:pt idx="11">
                    <c:v>6.6000000000000014</c:v>
                  </c:pt>
                  <c:pt idx="12">
                    <c:v>0.29999999999999716</c:v>
                  </c:pt>
                  <c:pt idx="13">
                    <c:v>1.8000000000000007</c:v>
                  </c:pt>
                  <c:pt idx="14">
                    <c:v>1.5</c:v>
                  </c:pt>
                  <c:pt idx="15">
                    <c:v>3.1999999999999993</c:v>
                  </c:pt>
                  <c:pt idx="16">
                    <c:v>2.1999999999999993</c:v>
                  </c:pt>
                  <c:pt idx="17">
                    <c:v>0.89999999999999858</c:v>
                  </c:pt>
                  <c:pt idx="18">
                    <c:v>0.69999999999999929</c:v>
                  </c:pt>
                  <c:pt idx="19">
                    <c:v>0.5</c:v>
                  </c:pt>
                </c:numCache>
              </c:numRef>
            </c:plus>
            <c:minus>
              <c:numRef>
                <c:f>('Post-process'!$T$8,'Post-process'!$T$10:$T$11,'Post-process'!$T$15:$T$20,'Post-process'!$T$24,'Post-process'!$T$36:$T$39,'Post-process'!$T$42,'Post-process'!$T$44:$T$48)</c:f>
                <c:numCache>
                  <c:formatCode>General</c:formatCode>
                  <c:ptCount val="20"/>
                  <c:pt idx="0">
                    <c:v>0.39999999999999858</c:v>
                  </c:pt>
                  <c:pt idx="1">
                    <c:v>0.30000000000000071</c:v>
                  </c:pt>
                  <c:pt idx="2">
                    <c:v>1.4000000000000021</c:v>
                  </c:pt>
                  <c:pt idx="3">
                    <c:v>1.5</c:v>
                  </c:pt>
                  <c:pt idx="4">
                    <c:v>0.40000000000000213</c:v>
                  </c:pt>
                  <c:pt idx="5">
                    <c:v>0.5</c:v>
                  </c:pt>
                  <c:pt idx="6">
                    <c:v>0.69999999999999929</c:v>
                  </c:pt>
                  <c:pt idx="7">
                    <c:v>1.8000000000000007</c:v>
                  </c:pt>
                  <c:pt idx="8">
                    <c:v>1.1000000000000014</c:v>
                  </c:pt>
                  <c:pt idx="9">
                    <c:v>0.80000000000000071</c:v>
                  </c:pt>
                  <c:pt idx="10">
                    <c:v>1.6999999999999993</c:v>
                  </c:pt>
                  <c:pt idx="11">
                    <c:v>1.5</c:v>
                  </c:pt>
                  <c:pt idx="12">
                    <c:v>0.40000000000000213</c:v>
                  </c:pt>
                  <c:pt idx="13">
                    <c:v>4.6999999999999993</c:v>
                  </c:pt>
                  <c:pt idx="14">
                    <c:v>0.79999999999999716</c:v>
                  </c:pt>
                  <c:pt idx="15">
                    <c:v>2.5</c:v>
                  </c:pt>
                  <c:pt idx="16">
                    <c:v>1.6000000000000014</c:v>
                  </c:pt>
                  <c:pt idx="17">
                    <c:v>0.80000000000000071</c:v>
                  </c:pt>
                  <c:pt idx="18">
                    <c:v>0.5</c:v>
                  </c:pt>
                  <c:pt idx="19">
                    <c:v>0.30000000000000071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('Post-process'!$L$8,'Post-process'!$L$10:$L$11,'Post-process'!$L$15:$L$20,'Post-process'!$L$24,'Post-process'!$L$36:$L$39,'Post-process'!$L$42,'Post-process'!$L$44:$L$48)</c:f>
              <c:numCache>
                <c:formatCode>General</c:formatCode>
                <c:ptCount val="20"/>
                <c:pt idx="0" formatCode="0.0">
                  <c:v>5.8019207683073226</c:v>
                </c:pt>
                <c:pt idx="1">
                  <c:v>5</c:v>
                </c:pt>
                <c:pt idx="2">
                  <c:v>64</c:v>
                </c:pt>
                <c:pt idx="3" formatCode="0.0">
                  <c:v>6.333333333333333</c:v>
                </c:pt>
                <c:pt idx="4">
                  <c:v>5</c:v>
                </c:pt>
                <c:pt idx="5" formatCode="0.0">
                  <c:v>4.2</c:v>
                </c:pt>
                <c:pt idx="6" formatCode="0.0">
                  <c:v>3.6666666666666665</c:v>
                </c:pt>
                <c:pt idx="7" formatCode="0.0">
                  <c:v>3.2857142857142856</c:v>
                </c:pt>
                <c:pt idx="8">
                  <c:v>3</c:v>
                </c:pt>
                <c:pt idx="9">
                  <c:v>5</c:v>
                </c:pt>
                <c:pt idx="10">
                  <c:v>13</c:v>
                </c:pt>
                <c:pt idx="11">
                  <c:v>23</c:v>
                </c:pt>
                <c:pt idx="12">
                  <c:v>38</c:v>
                </c:pt>
                <c:pt idx="13">
                  <c:v>68</c:v>
                </c:pt>
                <c:pt idx="14">
                  <c:v>5</c:v>
                </c:pt>
                <c:pt idx="15">
                  <c:v>9</c:v>
                </c:pt>
                <c:pt idx="16">
                  <c:v>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</c:numCache>
            </c:numRef>
          </c:xVal>
          <c:yVal>
            <c:numRef>
              <c:f>('Post-process'!$O$8,'Post-process'!$O$10:$O$11,'Post-process'!$O$15:$O$20,'Post-process'!$O$24,'Post-process'!$O$36:$O$39,'Post-process'!$O$42,'Post-process'!$O$44:$O$48)</c:f>
              <c:numCache>
                <c:formatCode>General</c:formatCode>
                <c:ptCount val="20"/>
                <c:pt idx="0">
                  <c:v>-22.5</c:v>
                </c:pt>
                <c:pt idx="1">
                  <c:v>-17.8</c:v>
                </c:pt>
                <c:pt idx="2">
                  <c:v>-17.2</c:v>
                </c:pt>
                <c:pt idx="3">
                  <c:v>-23.2</c:v>
                </c:pt>
                <c:pt idx="4">
                  <c:v>-23.7</c:v>
                </c:pt>
                <c:pt idx="5">
                  <c:v>-20.6</c:v>
                </c:pt>
                <c:pt idx="6">
                  <c:v>-25.8</c:v>
                </c:pt>
                <c:pt idx="7">
                  <c:v>-18.2</c:v>
                </c:pt>
                <c:pt idx="8">
                  <c:v>-21.2</c:v>
                </c:pt>
                <c:pt idx="9">
                  <c:v>-24.3</c:v>
                </c:pt>
                <c:pt idx="10">
                  <c:v>-22.5</c:v>
                </c:pt>
                <c:pt idx="11">
                  <c:v>-25.8</c:v>
                </c:pt>
                <c:pt idx="12">
                  <c:v>-22.4</c:v>
                </c:pt>
                <c:pt idx="13">
                  <c:v>-20.2</c:v>
                </c:pt>
                <c:pt idx="14">
                  <c:v>-24.1</c:v>
                </c:pt>
                <c:pt idx="15">
                  <c:v>-21.8</c:v>
                </c:pt>
                <c:pt idx="16">
                  <c:v>-20.2</c:v>
                </c:pt>
                <c:pt idx="17">
                  <c:v>-24</c:v>
                </c:pt>
                <c:pt idx="18">
                  <c:v>-21.5</c:v>
                </c:pt>
                <c:pt idx="19">
                  <c:v>-22.5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332C-49AF-8DD3-0A0B431CE5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60656816"/>
        <c:axId val="660657904"/>
      </c:scatterChart>
      <c:valAx>
        <c:axId val="660656816"/>
        <c:scaling>
          <c:logBase val="10"/>
          <c:orientation val="minMax"/>
          <c:max val="100"/>
          <c:min val="1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l-GR"/>
                  <a:t>τ</a:t>
                </a:r>
                <a:r>
                  <a:rPr lang="it-IT"/>
                  <a:t>, min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1"/>
        <c:majorTickMark val="in"/>
        <c:minorTickMark val="in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60657904"/>
        <c:crossesAt val="-30"/>
        <c:crossBetween val="midCat"/>
      </c:valAx>
      <c:valAx>
        <c:axId val="660657904"/>
        <c:scaling>
          <c:orientation val="minMax"/>
          <c:max val="-12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sz="1200" b="0" i="1" baseline="0">
                    <a:effectLst/>
                  </a:rPr>
                  <a:t>T</a:t>
                </a:r>
                <a:r>
                  <a:rPr lang="it-IT" sz="1200" b="0" i="0" baseline="-25000">
                    <a:effectLst/>
                  </a:rPr>
                  <a:t>50</a:t>
                </a:r>
                <a:r>
                  <a:rPr lang="it-IT" sz="1200" b="0" i="0" baseline="0">
                    <a:effectLst/>
                  </a:rPr>
                  <a:t>, °C</a:t>
                </a:r>
                <a:endParaRPr lang="en-GB" sz="1200">
                  <a:effectLst/>
                </a:endParaRPr>
              </a:p>
            </c:rich>
          </c:tx>
          <c:layout>
            <c:manualLayout>
              <c:xMode val="edge"/>
              <c:yMode val="edge"/>
              <c:x val="7.3178451178451181E-3"/>
              <c:y val="0.3570336700336700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60656816"/>
        <c:crossesAt val="-30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952962962962963"/>
          <c:y val="4.4409764309764309E-2"/>
          <c:w val="0.74379528619528601"/>
          <c:h val="0.77827508417508418"/>
        </c:manualLayout>
      </c:layout>
      <c:scatterChart>
        <c:scatterStyle val="lineMarker"/>
        <c:varyColors val="0"/>
        <c:ser>
          <c:idx val="2"/>
          <c:order val="0"/>
          <c:tx>
            <c:strRef>
              <c:f>'Post-process'!$R$2</c:f>
              <c:strCache>
                <c:ptCount val="1"/>
                <c:pt idx="0">
                  <c:v>T_10-90</c:v>
                </c:pt>
              </c:strCache>
            </c:strRef>
          </c:tx>
          <c:spPr>
            <a:ln w="12700" cap="rnd">
              <a:noFill/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xVal>
            <c:numRef>
              <c:f>('Post-process'!$O$8,'Post-process'!$O$10:$O$11,'Post-process'!$O$15:$O$20,'Post-process'!$O$24,'Post-process'!$O$36:$O$39,'Post-process'!$O$42,'Post-process'!$O$44:$O$48)</c:f>
              <c:numCache>
                <c:formatCode>General</c:formatCode>
                <c:ptCount val="20"/>
                <c:pt idx="0">
                  <c:v>-22.5</c:v>
                </c:pt>
                <c:pt idx="1">
                  <c:v>-17.8</c:v>
                </c:pt>
                <c:pt idx="2">
                  <c:v>-17.2</c:v>
                </c:pt>
                <c:pt idx="3">
                  <c:v>-23.2</c:v>
                </c:pt>
                <c:pt idx="4">
                  <c:v>-23.7</c:v>
                </c:pt>
                <c:pt idx="5">
                  <c:v>-20.6</c:v>
                </c:pt>
                <c:pt idx="6">
                  <c:v>-25.8</c:v>
                </c:pt>
                <c:pt idx="7">
                  <c:v>-18.2</c:v>
                </c:pt>
                <c:pt idx="8">
                  <c:v>-21.2</c:v>
                </c:pt>
                <c:pt idx="9">
                  <c:v>-24.3</c:v>
                </c:pt>
                <c:pt idx="10">
                  <c:v>-22.5</c:v>
                </c:pt>
                <c:pt idx="11">
                  <c:v>-25.8</c:v>
                </c:pt>
                <c:pt idx="12">
                  <c:v>-22.4</c:v>
                </c:pt>
                <c:pt idx="13">
                  <c:v>-20.2</c:v>
                </c:pt>
                <c:pt idx="14">
                  <c:v>-24.1</c:v>
                </c:pt>
                <c:pt idx="15">
                  <c:v>-21.8</c:v>
                </c:pt>
                <c:pt idx="16">
                  <c:v>-20.2</c:v>
                </c:pt>
                <c:pt idx="17">
                  <c:v>-24</c:v>
                </c:pt>
                <c:pt idx="18">
                  <c:v>-21.5</c:v>
                </c:pt>
                <c:pt idx="19">
                  <c:v>-22.5</c:v>
                </c:pt>
              </c:numCache>
            </c:numRef>
          </c:xVal>
          <c:yVal>
            <c:numRef>
              <c:f>('Post-process'!$R$8,'Post-process'!$R$10:$R$11,'Post-process'!$R$15:$R$20,'Post-process'!$R$24,'Post-process'!$R$36:$R$39,'Post-process'!$R$42,'Post-process'!$R$44:$R$48)</c:f>
              <c:numCache>
                <c:formatCode>General</c:formatCode>
                <c:ptCount val="20"/>
                <c:pt idx="0">
                  <c:v>1.0999999999999979</c:v>
                </c:pt>
                <c:pt idx="1">
                  <c:v>1.9000000000000021</c:v>
                </c:pt>
                <c:pt idx="2">
                  <c:v>4.8000000000000007</c:v>
                </c:pt>
                <c:pt idx="3">
                  <c:v>5.3000000000000007</c:v>
                </c:pt>
                <c:pt idx="4">
                  <c:v>0.80000000000000071</c:v>
                </c:pt>
                <c:pt idx="5">
                  <c:v>1</c:v>
                </c:pt>
                <c:pt idx="6">
                  <c:v>2.3999999999999986</c:v>
                </c:pt>
                <c:pt idx="7">
                  <c:v>3.1999999999999993</c:v>
                </c:pt>
                <c:pt idx="8">
                  <c:v>1.4000000000000021</c:v>
                </c:pt>
                <c:pt idx="9">
                  <c:v>2</c:v>
                </c:pt>
                <c:pt idx="10">
                  <c:v>3.8999999999999986</c:v>
                </c:pt>
                <c:pt idx="11">
                  <c:v>8.1000000000000014</c:v>
                </c:pt>
                <c:pt idx="12">
                  <c:v>0.69999999999999929</c:v>
                </c:pt>
                <c:pt idx="13">
                  <c:v>6.5</c:v>
                </c:pt>
                <c:pt idx="14">
                  <c:v>2.2999999999999972</c:v>
                </c:pt>
                <c:pt idx="15">
                  <c:v>5.6999999999999993</c:v>
                </c:pt>
                <c:pt idx="16">
                  <c:v>3.8000000000000007</c:v>
                </c:pt>
                <c:pt idx="17">
                  <c:v>1.6999999999999993</c:v>
                </c:pt>
                <c:pt idx="18">
                  <c:v>1.1999999999999993</c:v>
                </c:pt>
                <c:pt idx="19">
                  <c:v>0.80000000000000071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332C-49AF-8DD3-0A0B431CE5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60657360"/>
        <c:axId val="660658992"/>
      </c:scatterChart>
      <c:valAx>
        <c:axId val="660657360"/>
        <c:scaling>
          <c:orientation val="minMax"/>
          <c:max val="-15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sz="1200" b="0" i="1" baseline="0">
                    <a:effectLst/>
                  </a:rPr>
                  <a:t>T</a:t>
                </a:r>
                <a:r>
                  <a:rPr lang="it-IT" sz="1200" b="0" i="0" baseline="-25000">
                    <a:effectLst/>
                  </a:rPr>
                  <a:t>50</a:t>
                </a:r>
                <a:r>
                  <a:rPr lang="it-IT" sz="1200" b="0" i="0" baseline="0">
                    <a:effectLst/>
                  </a:rPr>
                  <a:t>, °C</a:t>
                </a:r>
                <a:endParaRPr lang="en-GB" sz="12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60658992"/>
        <c:crossesAt val="-30"/>
        <c:crossBetween val="midCat"/>
        <c:majorUnit val="5"/>
      </c:valAx>
      <c:valAx>
        <c:axId val="660658992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sz="1200" b="0" i="1" baseline="0">
                    <a:effectLst/>
                  </a:rPr>
                  <a:t>T</a:t>
                </a:r>
                <a:r>
                  <a:rPr lang="it-IT" sz="1200" b="0" i="0" baseline="-25000">
                    <a:effectLst/>
                  </a:rPr>
                  <a:t>10</a:t>
                </a:r>
                <a:r>
                  <a:rPr lang="it-IT" sz="1200" b="0" i="0" baseline="0">
                    <a:effectLst/>
                  </a:rPr>
                  <a:t>-</a:t>
                </a:r>
                <a:r>
                  <a:rPr lang="it-IT" sz="1200" b="0" i="1" baseline="0">
                    <a:effectLst/>
                  </a:rPr>
                  <a:t>T</a:t>
                </a:r>
                <a:r>
                  <a:rPr lang="it-IT" sz="1200" b="0" i="0" baseline="-25000">
                    <a:effectLst/>
                  </a:rPr>
                  <a:t>90</a:t>
                </a:r>
                <a:r>
                  <a:rPr lang="it-IT" sz="1200" b="0" i="0" baseline="0">
                    <a:effectLst/>
                  </a:rPr>
                  <a:t>, °C</a:t>
                </a:r>
                <a:endParaRPr lang="en-GB" sz="1200">
                  <a:effectLst/>
                </a:endParaRPr>
              </a:p>
            </c:rich>
          </c:tx>
          <c:layout>
            <c:manualLayout>
              <c:xMode val="edge"/>
              <c:yMode val="edge"/>
              <c:x val="2.0146127946127947E-2"/>
              <c:y val="0.2886161616161616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60657360"/>
        <c:crossesAt val="-30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091006944444449"/>
          <c:y val="4.4409667541557306E-2"/>
          <c:w val="0.7224149305555555"/>
          <c:h val="0.76544680134680132"/>
        </c:manualLayout>
      </c:layout>
      <c:scatterChart>
        <c:scatterStyle val="lineMarker"/>
        <c:varyColors val="0"/>
        <c:ser>
          <c:idx val="2"/>
          <c:order val="0"/>
          <c:tx>
            <c:strRef>
              <c:f>'Post-process'!$A$14:$A$20</c:f>
              <c:strCache>
                <c:ptCount val="7"/>
                <c:pt idx="0">
                  <c:v>rampa</c:v>
                </c:pt>
              </c:strCache>
            </c:strRef>
          </c:tx>
          <c:spPr>
            <a:ln w="12700" cap="rnd">
              <a:noFill/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errBars>
            <c:errDir val="x"/>
            <c:errBarType val="both"/>
            <c:errValType val="stdErr"/>
            <c:noEndCap val="0"/>
            <c:spPr>
              <a:noFill/>
              <a:ln w="9525" cap="flat" cmpd="sng" algn="ctr">
                <a:noFill/>
                <a:round/>
              </a:ln>
              <a:effectLst/>
            </c:spPr>
          </c:errBars>
          <c:errBars>
            <c:errDir val="y"/>
            <c:errBarType val="both"/>
            <c:errValType val="cust"/>
            <c:noEndCap val="0"/>
            <c:plus>
              <c:numRef>
                <c:f>'Post-process'!$S$14:$S$20</c:f>
                <c:numCache>
                  <c:formatCode>General</c:formatCode>
                  <c:ptCount val="7"/>
                  <c:pt idx="0">
                    <c:v>0.5</c:v>
                  </c:pt>
                  <c:pt idx="1">
                    <c:v>3.8000000000000007</c:v>
                  </c:pt>
                  <c:pt idx="2">
                    <c:v>0.39999999999999858</c:v>
                  </c:pt>
                  <c:pt idx="3">
                    <c:v>0.5</c:v>
                  </c:pt>
                  <c:pt idx="4">
                    <c:v>1.6999999999999993</c:v>
                  </c:pt>
                  <c:pt idx="5">
                    <c:v>1.3999999999999986</c:v>
                  </c:pt>
                  <c:pt idx="6">
                    <c:v>0.30000000000000071</c:v>
                  </c:pt>
                </c:numCache>
              </c:numRef>
            </c:plus>
            <c:minus>
              <c:numRef>
                <c:f>'Post-process'!$T$14:$T$20</c:f>
                <c:numCache>
                  <c:formatCode>General</c:formatCode>
                  <c:ptCount val="7"/>
                  <c:pt idx="0">
                    <c:v>0.30000000000000071</c:v>
                  </c:pt>
                  <c:pt idx="1">
                    <c:v>1.5</c:v>
                  </c:pt>
                  <c:pt idx="2">
                    <c:v>0.40000000000000213</c:v>
                  </c:pt>
                  <c:pt idx="3">
                    <c:v>0.5</c:v>
                  </c:pt>
                  <c:pt idx="4">
                    <c:v>0.69999999999999929</c:v>
                  </c:pt>
                  <c:pt idx="5">
                    <c:v>1.8000000000000007</c:v>
                  </c:pt>
                  <c:pt idx="6">
                    <c:v>1.1000000000000014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'Post-process'!$E$14:$E$20</c:f>
              <c:numCache>
                <c:formatCode>General</c:formatCode>
                <c:ptCount val="7"/>
                <c:pt idx="0">
                  <c:v>5</c:v>
                </c:pt>
                <c:pt idx="1">
                  <c:v>7.5</c:v>
                </c:pt>
                <c:pt idx="2">
                  <c:v>10</c:v>
                </c:pt>
                <c:pt idx="3">
                  <c:v>12.5</c:v>
                </c:pt>
                <c:pt idx="4">
                  <c:v>15</c:v>
                </c:pt>
                <c:pt idx="5">
                  <c:v>17.5</c:v>
                </c:pt>
                <c:pt idx="6">
                  <c:v>20</c:v>
                </c:pt>
              </c:numCache>
            </c:numRef>
          </c:xVal>
          <c:yVal>
            <c:numRef>
              <c:f>'Post-process'!$O$14:$O$20</c:f>
              <c:numCache>
                <c:formatCode>General</c:formatCode>
                <c:ptCount val="7"/>
                <c:pt idx="0">
                  <c:v>-22.5</c:v>
                </c:pt>
                <c:pt idx="1">
                  <c:v>-23.2</c:v>
                </c:pt>
                <c:pt idx="2">
                  <c:v>-23.7</c:v>
                </c:pt>
                <c:pt idx="3">
                  <c:v>-20.6</c:v>
                </c:pt>
                <c:pt idx="4">
                  <c:v>-25.8</c:v>
                </c:pt>
                <c:pt idx="5">
                  <c:v>-18.2</c:v>
                </c:pt>
                <c:pt idx="6">
                  <c:v>-21.2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332C-49AF-8DD3-0A0B431CE5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60658448"/>
        <c:axId val="538489216"/>
      </c:scatterChart>
      <c:valAx>
        <c:axId val="660658448"/>
        <c:scaling>
          <c:orientation val="minMax"/>
          <c:max val="25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i="1"/>
                  <a:t>R</a:t>
                </a:r>
                <a:r>
                  <a:rPr lang="it-IT"/>
                  <a:t>, °C/min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8489216"/>
        <c:crossesAt val="-30"/>
        <c:crossBetween val="midCat"/>
        <c:majorUnit val="5"/>
      </c:valAx>
      <c:valAx>
        <c:axId val="538489216"/>
        <c:scaling>
          <c:orientation val="minMax"/>
          <c:max val="-15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i="1"/>
                  <a:t>T</a:t>
                </a:r>
                <a:r>
                  <a:rPr lang="it-IT" baseline="-25000"/>
                  <a:t>50</a:t>
                </a:r>
                <a:r>
                  <a:rPr lang="it-IT"/>
                  <a:t>, °C</a:t>
                </a:r>
              </a:p>
            </c:rich>
          </c:tx>
          <c:layout>
            <c:manualLayout>
              <c:xMode val="edge"/>
              <c:yMode val="edge"/>
              <c:x val="7.3179656055616538E-3"/>
              <c:y val="0.386966316710411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60658448"/>
        <c:crossesAt val="-30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814915824915824"/>
          <c:y val="4.4409667541557306E-2"/>
          <c:w val="0.76517575757575762"/>
          <c:h val="0.76972289562289564"/>
        </c:manualLayout>
      </c:layout>
      <c:scatterChart>
        <c:scatterStyle val="lineMarker"/>
        <c:varyColors val="0"/>
        <c:ser>
          <c:idx val="2"/>
          <c:order val="0"/>
          <c:tx>
            <c:strRef>
              <c:f>'Post-process'!$A$14:$A$20</c:f>
              <c:strCache>
                <c:ptCount val="7"/>
                <c:pt idx="0">
                  <c:v>rampa</c:v>
                </c:pt>
              </c:strCache>
            </c:strRef>
          </c:tx>
          <c:spPr>
            <a:ln w="12700" cap="rnd">
              <a:noFill/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xVal>
            <c:numRef>
              <c:f>'Post-process'!$E$14:$E$20</c:f>
              <c:numCache>
                <c:formatCode>General</c:formatCode>
                <c:ptCount val="7"/>
                <c:pt idx="0">
                  <c:v>5</c:v>
                </c:pt>
                <c:pt idx="1">
                  <c:v>7.5</c:v>
                </c:pt>
                <c:pt idx="2">
                  <c:v>10</c:v>
                </c:pt>
                <c:pt idx="3">
                  <c:v>12.5</c:v>
                </c:pt>
                <c:pt idx="4">
                  <c:v>15</c:v>
                </c:pt>
                <c:pt idx="5">
                  <c:v>17.5</c:v>
                </c:pt>
                <c:pt idx="6">
                  <c:v>20</c:v>
                </c:pt>
              </c:numCache>
            </c:numRef>
          </c:xVal>
          <c:yVal>
            <c:numRef>
              <c:f>'Post-process'!$R$14:$R$20</c:f>
              <c:numCache>
                <c:formatCode>General</c:formatCode>
                <c:ptCount val="7"/>
                <c:pt idx="0">
                  <c:v>0.80000000000000071</c:v>
                </c:pt>
                <c:pt idx="1">
                  <c:v>5.3000000000000007</c:v>
                </c:pt>
                <c:pt idx="2">
                  <c:v>0.80000000000000071</c:v>
                </c:pt>
                <c:pt idx="3">
                  <c:v>1</c:v>
                </c:pt>
                <c:pt idx="4">
                  <c:v>2.3999999999999986</c:v>
                </c:pt>
                <c:pt idx="5">
                  <c:v>3.1999999999999993</c:v>
                </c:pt>
                <c:pt idx="6">
                  <c:v>1.4000000000000021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332C-49AF-8DD3-0A0B431CE5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8492480"/>
        <c:axId val="538494656"/>
      </c:scatterChart>
      <c:valAx>
        <c:axId val="538492480"/>
        <c:scaling>
          <c:orientation val="minMax"/>
          <c:max val="25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i="1"/>
                  <a:t>R</a:t>
                </a:r>
                <a:r>
                  <a:rPr lang="it-IT"/>
                  <a:t>, °C/min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8494656"/>
        <c:crossesAt val="-30"/>
        <c:crossBetween val="midCat"/>
        <c:majorUnit val="5"/>
      </c:valAx>
      <c:valAx>
        <c:axId val="53849465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i="1"/>
                  <a:t>T</a:t>
                </a:r>
                <a:r>
                  <a:rPr lang="it-IT" baseline="-25000"/>
                  <a:t>10</a:t>
                </a:r>
                <a:r>
                  <a:rPr lang="it-IT" baseline="0"/>
                  <a:t>-</a:t>
                </a:r>
                <a:r>
                  <a:rPr lang="it-IT" i="1" baseline="0"/>
                  <a:t>T</a:t>
                </a:r>
                <a:r>
                  <a:rPr lang="it-IT" baseline="-25000"/>
                  <a:t>90</a:t>
                </a:r>
                <a:r>
                  <a:rPr lang="it-IT"/>
                  <a:t>, °C</a:t>
                </a:r>
              </a:p>
            </c:rich>
          </c:tx>
          <c:layout>
            <c:manualLayout>
              <c:xMode val="edge"/>
              <c:yMode val="edge"/>
              <c:x val="7.3178451178451181E-3"/>
              <c:y val="0.3142727272727273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8492480"/>
        <c:crossesAt val="-30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  <c:userShapes r:id="rId5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 b="1"/>
              <a:t>a</a:t>
            </a:r>
          </a:p>
        </c:rich>
      </c:tx>
      <c:layout>
        <c:manualLayout>
          <c:xMode val="edge"/>
          <c:yMode val="edge"/>
          <c:x val="0.24231897177372155"/>
          <c:y val="5.94648166501486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0235791245791249"/>
          <c:y val="4.4409667541557306E-2"/>
          <c:w val="0.73096700336700338"/>
          <c:h val="0.77399898989898985"/>
        </c:manualLayout>
      </c:layout>
      <c:scatterChart>
        <c:scatterStyle val="lineMarker"/>
        <c:varyColors val="0"/>
        <c:ser>
          <c:idx val="2"/>
          <c:order val="0"/>
          <c:tx>
            <c:v>all</c:v>
          </c:tx>
          <c:spPr>
            <a:ln w="12700" cap="rnd">
              <a:noFill/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errBars>
            <c:errDir val="x"/>
            <c:errBarType val="both"/>
            <c:errValType val="stdErr"/>
            <c:noEndCap val="0"/>
            <c:spPr>
              <a:noFill/>
              <a:ln w="9525" cap="flat" cmpd="sng" algn="ctr">
                <a:noFill/>
                <a:round/>
              </a:ln>
              <a:effectLst/>
            </c:spPr>
          </c:errBars>
          <c:errBars>
            <c:errDir val="y"/>
            <c:errBarType val="both"/>
            <c:errValType val="cust"/>
            <c:noEndCap val="0"/>
            <c:plus>
              <c:numRef>
                <c:f>('Post-process'!$S$8,'Post-process'!$S$10:$S$11,'Post-process'!$S$15:$S$20,'Post-process'!$S$24,'Post-process'!$S$36:$S$39,'Post-process'!$S$42,'Post-process'!$S$44:$S$48)</c:f>
                <c:numCache>
                  <c:formatCode>General</c:formatCode>
                  <c:ptCount val="20"/>
                  <c:pt idx="0">
                    <c:v>0.69999999999999929</c:v>
                  </c:pt>
                  <c:pt idx="1">
                    <c:v>1.6000000000000014</c:v>
                  </c:pt>
                  <c:pt idx="2">
                    <c:v>3.3999999999999986</c:v>
                  </c:pt>
                  <c:pt idx="3">
                    <c:v>3.8000000000000007</c:v>
                  </c:pt>
                  <c:pt idx="4">
                    <c:v>0.39999999999999858</c:v>
                  </c:pt>
                  <c:pt idx="5">
                    <c:v>0.5</c:v>
                  </c:pt>
                  <c:pt idx="6">
                    <c:v>1.6999999999999993</c:v>
                  </c:pt>
                  <c:pt idx="7">
                    <c:v>1.3999999999999986</c:v>
                  </c:pt>
                  <c:pt idx="8">
                    <c:v>0.30000000000000071</c:v>
                  </c:pt>
                  <c:pt idx="9">
                    <c:v>1.1999999999999993</c:v>
                  </c:pt>
                  <c:pt idx="10">
                    <c:v>2.1999999999999993</c:v>
                  </c:pt>
                  <c:pt idx="11">
                    <c:v>6.6000000000000014</c:v>
                  </c:pt>
                  <c:pt idx="12">
                    <c:v>0.29999999999999716</c:v>
                  </c:pt>
                  <c:pt idx="13">
                    <c:v>1.8000000000000007</c:v>
                  </c:pt>
                  <c:pt idx="14">
                    <c:v>1.5</c:v>
                  </c:pt>
                  <c:pt idx="15">
                    <c:v>3.1999999999999993</c:v>
                  </c:pt>
                  <c:pt idx="16">
                    <c:v>2.1999999999999993</c:v>
                  </c:pt>
                  <c:pt idx="17">
                    <c:v>0.89999999999999858</c:v>
                  </c:pt>
                  <c:pt idx="18">
                    <c:v>0.69999999999999929</c:v>
                  </c:pt>
                  <c:pt idx="19">
                    <c:v>0.5</c:v>
                  </c:pt>
                </c:numCache>
              </c:numRef>
            </c:plus>
            <c:minus>
              <c:numRef>
                <c:f>('Post-process'!$T$8,'Post-process'!$T$10:$T$11,'Post-process'!$T$15:$T$20,'Post-process'!$T$24,'Post-process'!$T$36:$T$39,'Post-process'!$T$42,'Post-process'!$T$44:$T$48)</c:f>
                <c:numCache>
                  <c:formatCode>General</c:formatCode>
                  <c:ptCount val="20"/>
                  <c:pt idx="0">
                    <c:v>0.39999999999999858</c:v>
                  </c:pt>
                  <c:pt idx="1">
                    <c:v>0.30000000000000071</c:v>
                  </c:pt>
                  <c:pt idx="2">
                    <c:v>1.4000000000000021</c:v>
                  </c:pt>
                  <c:pt idx="3">
                    <c:v>1.5</c:v>
                  </c:pt>
                  <c:pt idx="4">
                    <c:v>0.40000000000000213</c:v>
                  </c:pt>
                  <c:pt idx="5">
                    <c:v>0.5</c:v>
                  </c:pt>
                  <c:pt idx="6">
                    <c:v>0.69999999999999929</c:v>
                  </c:pt>
                  <c:pt idx="7">
                    <c:v>1.8000000000000007</c:v>
                  </c:pt>
                  <c:pt idx="8">
                    <c:v>1.1000000000000014</c:v>
                  </c:pt>
                  <c:pt idx="9">
                    <c:v>0.80000000000000071</c:v>
                  </c:pt>
                  <c:pt idx="10">
                    <c:v>1.6999999999999993</c:v>
                  </c:pt>
                  <c:pt idx="11">
                    <c:v>1.5</c:v>
                  </c:pt>
                  <c:pt idx="12">
                    <c:v>0.40000000000000213</c:v>
                  </c:pt>
                  <c:pt idx="13">
                    <c:v>4.6999999999999993</c:v>
                  </c:pt>
                  <c:pt idx="14">
                    <c:v>0.79999999999999716</c:v>
                  </c:pt>
                  <c:pt idx="15">
                    <c:v>2.5</c:v>
                  </c:pt>
                  <c:pt idx="16">
                    <c:v>1.6000000000000014</c:v>
                  </c:pt>
                  <c:pt idx="17">
                    <c:v>0.80000000000000071</c:v>
                  </c:pt>
                  <c:pt idx="18">
                    <c:v>0.5</c:v>
                  </c:pt>
                  <c:pt idx="19">
                    <c:v>0.30000000000000071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('Post-process'!$D$8,'Post-process'!$D$10:$D$11,'Post-process'!$D$15:$D$20,'Post-process'!$D$24,'Post-process'!$D$36:$D$39,'Post-process'!$D$42,'Post-process'!$D$44:$D$48)</c:f>
              <c:numCache>
                <c:formatCode>General</c:formatCode>
                <c:ptCount val="20"/>
                <c:pt idx="0">
                  <c:v>15.1</c:v>
                </c:pt>
                <c:pt idx="1">
                  <c:v>10.5</c:v>
                </c:pt>
                <c:pt idx="2">
                  <c:v>10.199999999999999</c:v>
                </c:pt>
                <c:pt idx="3">
                  <c:v>17.100000000000001</c:v>
                </c:pt>
                <c:pt idx="4">
                  <c:v>16.3</c:v>
                </c:pt>
                <c:pt idx="5">
                  <c:v>17.100000000000001</c:v>
                </c:pt>
                <c:pt idx="6">
                  <c:v>16</c:v>
                </c:pt>
                <c:pt idx="7">
                  <c:v>17</c:v>
                </c:pt>
                <c:pt idx="8">
                  <c:v>16.2</c:v>
                </c:pt>
                <c:pt idx="9">
                  <c:v>12.6</c:v>
                </c:pt>
                <c:pt idx="10">
                  <c:v>17.100000000000001</c:v>
                </c:pt>
                <c:pt idx="11">
                  <c:v>17.100000000000001</c:v>
                </c:pt>
                <c:pt idx="12">
                  <c:v>16.100000000000001</c:v>
                </c:pt>
                <c:pt idx="13">
                  <c:v>12</c:v>
                </c:pt>
                <c:pt idx="14">
                  <c:v>16</c:v>
                </c:pt>
                <c:pt idx="15">
                  <c:v>16.7</c:v>
                </c:pt>
                <c:pt idx="16">
                  <c:v>16.899999999999999</c:v>
                </c:pt>
                <c:pt idx="17">
                  <c:v>17</c:v>
                </c:pt>
                <c:pt idx="18">
                  <c:v>16.600000000000001</c:v>
                </c:pt>
                <c:pt idx="19">
                  <c:v>16.5</c:v>
                </c:pt>
              </c:numCache>
            </c:numRef>
          </c:xVal>
          <c:yVal>
            <c:numRef>
              <c:f>('Post-process'!$O$8,'Post-process'!$O$10:$O$11,'Post-process'!$O$15:$O$20,'Post-process'!$O$24,'Post-process'!$O$36:$O$39,'Post-process'!$O$42,'Post-process'!$O$44:$O$48)</c:f>
              <c:numCache>
                <c:formatCode>General</c:formatCode>
                <c:ptCount val="20"/>
                <c:pt idx="0">
                  <c:v>-22.5</c:v>
                </c:pt>
                <c:pt idx="1">
                  <c:v>-17.8</c:v>
                </c:pt>
                <c:pt idx="2">
                  <c:v>-17.2</c:v>
                </c:pt>
                <c:pt idx="3">
                  <c:v>-23.2</c:v>
                </c:pt>
                <c:pt idx="4">
                  <c:v>-23.7</c:v>
                </c:pt>
                <c:pt idx="5">
                  <c:v>-20.6</c:v>
                </c:pt>
                <c:pt idx="6">
                  <c:v>-25.8</c:v>
                </c:pt>
                <c:pt idx="7">
                  <c:v>-18.2</c:v>
                </c:pt>
                <c:pt idx="8">
                  <c:v>-21.2</c:v>
                </c:pt>
                <c:pt idx="9">
                  <c:v>-24.3</c:v>
                </c:pt>
                <c:pt idx="10">
                  <c:v>-22.5</c:v>
                </c:pt>
                <c:pt idx="11">
                  <c:v>-25.8</c:v>
                </c:pt>
                <c:pt idx="12">
                  <c:v>-22.4</c:v>
                </c:pt>
                <c:pt idx="13">
                  <c:v>-20.2</c:v>
                </c:pt>
                <c:pt idx="14">
                  <c:v>-24.1</c:v>
                </c:pt>
                <c:pt idx="15">
                  <c:v>-21.8</c:v>
                </c:pt>
                <c:pt idx="16">
                  <c:v>-20.2</c:v>
                </c:pt>
                <c:pt idx="17">
                  <c:v>-24</c:v>
                </c:pt>
                <c:pt idx="18">
                  <c:v>-21.5</c:v>
                </c:pt>
                <c:pt idx="19">
                  <c:v>-22.5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332C-49AF-8DD3-0A0B431CE5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8488672"/>
        <c:axId val="538495200"/>
      </c:scatterChart>
      <c:valAx>
        <c:axId val="538488672"/>
        <c:scaling>
          <c:orientation val="minMax"/>
          <c:max val="20"/>
          <c:min val="1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i="1"/>
                  <a:t>m</a:t>
                </a:r>
                <a:r>
                  <a:rPr lang="it-IT" baseline="-25000"/>
                  <a:t>w</a:t>
                </a:r>
                <a:r>
                  <a:rPr lang="it-IT"/>
                  <a:t>, mg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8495200"/>
        <c:crossesAt val="-30"/>
        <c:crossBetween val="midCat"/>
        <c:majorUnit val="2"/>
      </c:valAx>
      <c:valAx>
        <c:axId val="538495200"/>
        <c:scaling>
          <c:orientation val="minMax"/>
          <c:max val="-13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i="1"/>
                  <a:t>T</a:t>
                </a:r>
                <a:r>
                  <a:rPr lang="it-IT" baseline="-25000"/>
                  <a:t>50</a:t>
                </a:r>
                <a:r>
                  <a:rPr lang="it-IT"/>
                  <a:t>, °C</a:t>
                </a:r>
              </a:p>
            </c:rich>
          </c:tx>
          <c:layout>
            <c:manualLayout>
              <c:xMode val="edge"/>
              <c:yMode val="edge"/>
              <c:x val="7.3178451178451181E-3"/>
              <c:y val="0.335653198653198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8488672"/>
        <c:crossesAt val="-30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 b="1"/>
              <a:t>b</a:t>
            </a:r>
          </a:p>
        </c:rich>
      </c:tx>
      <c:layout>
        <c:manualLayout>
          <c:xMode val="edge"/>
          <c:yMode val="edge"/>
          <c:x val="0.24098109143691032"/>
          <c:y val="6.34291377601585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0235791245791249"/>
          <c:y val="4.4409667541557306E-2"/>
          <c:w val="0.73096700336700338"/>
          <c:h val="0.77399898989898985"/>
        </c:manualLayout>
      </c:layout>
      <c:scatterChart>
        <c:scatterStyle val="lineMarker"/>
        <c:varyColors val="0"/>
        <c:ser>
          <c:idx val="2"/>
          <c:order val="0"/>
          <c:tx>
            <c:v>all</c:v>
          </c:tx>
          <c:spPr>
            <a:ln w="12700" cap="rnd">
              <a:noFill/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xVal>
            <c:numRef>
              <c:f>('Post-process'!$D$8,'Post-process'!$D$10:$D$11,'Post-process'!$D$15:$D$20,'Post-process'!$D$24,'Post-process'!$D$36:$D$39,'Post-process'!$D$42,'Post-process'!$D$44:$D$48)</c:f>
              <c:numCache>
                <c:formatCode>General</c:formatCode>
                <c:ptCount val="20"/>
                <c:pt idx="0">
                  <c:v>15.1</c:v>
                </c:pt>
                <c:pt idx="1">
                  <c:v>10.5</c:v>
                </c:pt>
                <c:pt idx="2">
                  <c:v>10.199999999999999</c:v>
                </c:pt>
                <c:pt idx="3">
                  <c:v>17.100000000000001</c:v>
                </c:pt>
                <c:pt idx="4">
                  <c:v>16.3</c:v>
                </c:pt>
                <c:pt idx="5">
                  <c:v>17.100000000000001</c:v>
                </c:pt>
                <c:pt idx="6">
                  <c:v>16</c:v>
                </c:pt>
                <c:pt idx="7">
                  <c:v>17</c:v>
                </c:pt>
                <c:pt idx="8">
                  <c:v>16.2</c:v>
                </c:pt>
                <c:pt idx="9">
                  <c:v>12.6</c:v>
                </c:pt>
                <c:pt idx="10">
                  <c:v>17.100000000000001</c:v>
                </c:pt>
                <c:pt idx="11">
                  <c:v>17.100000000000001</c:v>
                </c:pt>
                <c:pt idx="12">
                  <c:v>16.100000000000001</c:v>
                </c:pt>
                <c:pt idx="13">
                  <c:v>12</c:v>
                </c:pt>
                <c:pt idx="14">
                  <c:v>16</c:v>
                </c:pt>
                <c:pt idx="15">
                  <c:v>16.7</c:v>
                </c:pt>
                <c:pt idx="16">
                  <c:v>16.899999999999999</c:v>
                </c:pt>
                <c:pt idx="17">
                  <c:v>17</c:v>
                </c:pt>
                <c:pt idx="18">
                  <c:v>16.600000000000001</c:v>
                </c:pt>
                <c:pt idx="19">
                  <c:v>16.5</c:v>
                </c:pt>
              </c:numCache>
            </c:numRef>
          </c:xVal>
          <c:yVal>
            <c:numRef>
              <c:f>('Post-process'!$R$8,'Post-process'!$R$10:$R$11,'Post-process'!$R$15:$R$20,'Post-process'!$R$24,'Post-process'!$R$36:$R$39,'Post-process'!$R$42,'Post-process'!$R$44:$R$48)</c:f>
              <c:numCache>
                <c:formatCode>General</c:formatCode>
                <c:ptCount val="20"/>
                <c:pt idx="0">
                  <c:v>1.0999999999999979</c:v>
                </c:pt>
                <c:pt idx="1">
                  <c:v>1.9000000000000021</c:v>
                </c:pt>
                <c:pt idx="2">
                  <c:v>4.8000000000000007</c:v>
                </c:pt>
                <c:pt idx="3">
                  <c:v>5.3000000000000007</c:v>
                </c:pt>
                <c:pt idx="4">
                  <c:v>0.80000000000000071</c:v>
                </c:pt>
                <c:pt idx="5">
                  <c:v>1</c:v>
                </c:pt>
                <c:pt idx="6">
                  <c:v>2.3999999999999986</c:v>
                </c:pt>
                <c:pt idx="7">
                  <c:v>3.1999999999999993</c:v>
                </c:pt>
                <c:pt idx="8">
                  <c:v>1.4000000000000021</c:v>
                </c:pt>
                <c:pt idx="9">
                  <c:v>2</c:v>
                </c:pt>
                <c:pt idx="10">
                  <c:v>3.8999999999999986</c:v>
                </c:pt>
                <c:pt idx="11">
                  <c:v>8.1000000000000014</c:v>
                </c:pt>
                <c:pt idx="12">
                  <c:v>0.69999999999999929</c:v>
                </c:pt>
                <c:pt idx="13">
                  <c:v>6.5</c:v>
                </c:pt>
                <c:pt idx="14">
                  <c:v>2.2999999999999972</c:v>
                </c:pt>
                <c:pt idx="15">
                  <c:v>5.6999999999999993</c:v>
                </c:pt>
                <c:pt idx="16">
                  <c:v>3.8000000000000007</c:v>
                </c:pt>
                <c:pt idx="17">
                  <c:v>1.6999999999999993</c:v>
                </c:pt>
                <c:pt idx="18">
                  <c:v>1.1999999999999993</c:v>
                </c:pt>
                <c:pt idx="19">
                  <c:v>0.80000000000000071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332C-49AF-8DD3-0A0B431CE5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8491936"/>
        <c:axId val="538493024"/>
      </c:scatterChart>
      <c:valAx>
        <c:axId val="538491936"/>
        <c:scaling>
          <c:orientation val="minMax"/>
          <c:max val="20"/>
          <c:min val="1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i="1"/>
                  <a:t>m</a:t>
                </a:r>
                <a:r>
                  <a:rPr lang="it-IT" baseline="-25000"/>
                  <a:t>w</a:t>
                </a:r>
                <a:r>
                  <a:rPr lang="it-IT"/>
                  <a:t>, mg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8493024"/>
        <c:crossesAt val="-30"/>
        <c:crossBetween val="midCat"/>
        <c:majorUnit val="2"/>
      </c:valAx>
      <c:valAx>
        <c:axId val="538493024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sz="1200" b="0" i="1" baseline="0">
                    <a:effectLst/>
                  </a:rPr>
                  <a:t>T</a:t>
                </a:r>
                <a:r>
                  <a:rPr lang="it-IT" sz="1200" b="0" i="0" baseline="-25000">
                    <a:effectLst/>
                  </a:rPr>
                  <a:t>10</a:t>
                </a:r>
                <a:r>
                  <a:rPr lang="it-IT" sz="1200" b="0" i="0" baseline="0">
                    <a:effectLst/>
                  </a:rPr>
                  <a:t>-</a:t>
                </a:r>
                <a:r>
                  <a:rPr lang="it-IT" sz="1200" b="0" i="1" baseline="0">
                    <a:effectLst/>
                  </a:rPr>
                  <a:t>T</a:t>
                </a:r>
                <a:r>
                  <a:rPr lang="it-IT" sz="1200" b="0" i="0" baseline="-25000">
                    <a:effectLst/>
                  </a:rPr>
                  <a:t>90</a:t>
                </a:r>
                <a:r>
                  <a:rPr lang="it-IT" sz="1200" b="0" i="0" baseline="0">
                    <a:effectLst/>
                  </a:rPr>
                  <a:t>, °C</a:t>
                </a:r>
                <a:endParaRPr lang="en-GB" sz="1200">
                  <a:effectLst/>
                </a:endParaRPr>
              </a:p>
            </c:rich>
          </c:tx>
          <c:layout>
            <c:manualLayout>
              <c:xMode val="edge"/>
              <c:yMode val="edge"/>
              <c:x val="1.5870258039425638E-2"/>
              <c:y val="0.3170058200710799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8491936"/>
        <c:crossesAt val="-30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0.21488</cdr:x>
      <cdr:y>0.04811</cdr:y>
    </cdr:from>
    <cdr:to>
      <cdr:x>0.3111</cdr:x>
      <cdr:y>0.15394</cdr:y>
    </cdr:to>
    <cdr:sp macro="" textlink="">
      <cdr:nvSpPr>
        <cdr:cNvPr id="2" name="Casella di testo 1"/>
        <cdr:cNvSpPr txBox="1"/>
      </cdr:nvSpPr>
      <cdr:spPr>
        <a:xfrm xmlns:a="http://schemas.openxmlformats.org/drawingml/2006/main">
          <a:off x="638175" y="142875"/>
          <a:ext cx="285750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0.16998</cdr:x>
      <cdr:y>0.05131</cdr:y>
    </cdr:from>
    <cdr:to>
      <cdr:x>0.2662</cdr:x>
      <cdr:y>0.14112</cdr:y>
    </cdr:to>
    <cdr:sp macro="" textlink="">
      <cdr:nvSpPr>
        <cdr:cNvPr id="2" name="Casella di testo 1"/>
        <cdr:cNvSpPr txBox="1"/>
      </cdr:nvSpPr>
      <cdr:spPr>
        <a:xfrm xmlns:a="http://schemas.openxmlformats.org/drawingml/2006/main">
          <a:off x="504825" y="152400"/>
          <a:ext cx="28575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b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0.23198</cdr:x>
      <cdr:y>0.06522</cdr:y>
    </cdr:from>
    <cdr:to>
      <cdr:x>0.3282</cdr:x>
      <cdr:y>0.17105</cdr:y>
    </cdr:to>
    <cdr:sp macro="" textlink="">
      <cdr:nvSpPr>
        <cdr:cNvPr id="3" name="Casella di testo 1"/>
        <cdr:cNvSpPr txBox="1"/>
      </cdr:nvSpPr>
      <cdr:spPr>
        <a:xfrm xmlns:a="http://schemas.openxmlformats.org/drawingml/2006/main">
          <a:off x="688971" y="193682"/>
          <a:ext cx="285763" cy="314304"/>
        </a:xfrm>
        <a:prstGeom xmlns:a="http://schemas.openxmlformats.org/drawingml/2006/main" prst="rect">
          <a:avLst/>
        </a:prstGeom>
      </cdr:spPr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C1885-77C1-44C8-8BB2-953B34B0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for Electronic Submission to ACS Journals</Template>
  <TotalTime>106</TotalTime>
  <Pages>5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1972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HP</dc:creator>
  <cp:keywords/>
  <cp:lastModifiedBy>Lorenzo Stratta</cp:lastModifiedBy>
  <cp:revision>26</cp:revision>
  <cp:lastPrinted>2008-06-11T21:33:00Z</cp:lastPrinted>
  <dcterms:created xsi:type="dcterms:W3CDTF">2021-05-24T10:08:00Z</dcterms:created>
  <dcterms:modified xsi:type="dcterms:W3CDTF">2022-05-16T22:31:00Z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http://www.zotero.org/styles/the-journal-of-physical-chemistry-letters</vt:lpwstr>
  </property>
  <property fmtid="{D5CDD505-2E9C-101B-9397-08002B2CF9AE}" pid="4" name="Mendeley Unique User Id_1">
    <vt:lpwstr>8d6a04cd-5abe-3973-97f2-3e1c2335e240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7th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 6th edition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8th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http://www.zotero.org/styles/processes</vt:lpwstr>
  </property>
  <property fmtid="{D5CDD505-2E9C-101B-9397-08002B2CF9AE}" pid="22" name="Mendeley Recent Style Name 8_1">
    <vt:lpwstr>Processes</vt:lpwstr>
  </property>
  <property fmtid="{D5CDD505-2E9C-101B-9397-08002B2CF9AE}" pid="23" name="Mendeley Recent Style Id 9_1">
    <vt:lpwstr>http://www.zotero.org/styles/the-journal-of-physical-chemistry-letters</vt:lpwstr>
  </property>
  <property fmtid="{D5CDD505-2E9C-101B-9397-08002B2CF9AE}" pid="24" name="Mendeley Recent Style Name 9_1">
    <vt:lpwstr>The Journal of Physical Chemistry Letters</vt:lpwstr>
  </property>
</Properties>
</file>