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 Bold" w:hAnsi="Times New Roman Bold" w:eastAsia="仿宋_GB2312" w:cs="Times New Roman Bold"/>
          <w:b/>
          <w:bCs/>
          <w:color w:val="000000"/>
          <w:sz w:val="32"/>
          <w:szCs w:val="32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 w:val="32"/>
          <w:szCs w:val="32"/>
        </w:rPr>
        <w:t>S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 w:val="32"/>
          <w:szCs w:val="32"/>
        </w:rPr>
        <w:t>u</w:t>
      </w:r>
      <w:r>
        <w:rPr>
          <w:rFonts w:ascii="Times New Roman Bold" w:hAnsi="Times New Roman Bold" w:eastAsia="仿宋_GB2312" w:cs="Times New Roman Bold"/>
          <w:b/>
          <w:bCs/>
          <w:color w:val="000000"/>
          <w:sz w:val="32"/>
          <w:szCs w:val="32"/>
        </w:rPr>
        <w:t>pplementary Materials</w:t>
      </w:r>
    </w:p>
    <w:p>
      <w:pPr>
        <w:adjustRightInd w:val="0"/>
        <w:snapToGrid w:val="0"/>
        <w:spacing w:line="360" w:lineRule="auto"/>
        <w:rPr>
          <w:rFonts w:ascii="Times New Roman Bold" w:hAnsi="Times New Roman Bold" w:cs="Times New Roman Bold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Times New Roman Bold" w:hAnsi="Times New Roman Bold" w:cs="Times New Roman Bold"/>
          <w:b/>
          <w:bCs/>
          <w:sz w:val="32"/>
          <w:szCs w:val="32"/>
        </w:rPr>
      </w:pP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>KAT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 xml:space="preserve">8 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>promotes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 xml:space="preserve">the 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>resistance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 xml:space="preserve"> of 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>human NSCLC cells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 xml:space="preserve"> to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>m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 xml:space="preserve">iR-7 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</w:rPr>
        <w:t>intervention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 xml:space="preserve"> </w:t>
      </w:r>
      <w:r>
        <w:rPr>
          <w:rFonts w:ascii="Times New Roman Bold" w:hAnsi="Times New Roman Bold" w:cs="Times New Roman Bold"/>
          <w:b/>
          <w:bCs/>
          <w:i/>
          <w:iCs/>
          <w:sz w:val="32"/>
          <w:szCs w:val="32"/>
        </w:rPr>
        <w:t xml:space="preserve">via </w:t>
      </w:r>
      <w:r>
        <w:rPr>
          <w:rFonts w:ascii="Times New Roman Bold" w:hAnsi="Times New Roman Bold" w:eastAsia="宋体" w:cs="Times New Roman Bold"/>
          <w:b/>
          <w:bCs/>
          <w:i w:val="0"/>
          <w:iCs w:val="0"/>
          <w:sz w:val="32"/>
          <w:szCs w:val="32"/>
        </w:rPr>
        <w:t>the</w:t>
      </w:r>
      <w:r>
        <w:rPr>
          <w:rFonts w:ascii="Times New Roman Bold" w:hAnsi="Times New Roman Bold" w:eastAsia="宋体" w:cs="Times New Roman Bold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 Bold" w:hAnsi="Times New Roman Bold" w:cs="Times New Roman Bold"/>
          <w:b/>
          <w:bCs/>
          <w:sz w:val="32"/>
          <w:szCs w:val="32"/>
        </w:rPr>
        <w:t>H4K16/PAX6 axis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eastAsia="zh-CN"/>
        </w:rPr>
        <w:t>Jing Yang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Xu Zhao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Dongmei Li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Lin Tang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Wen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Zheng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FF0000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Longqinq Chen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Jing Chen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Chao Chen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Ming Qin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Mengmeng Guo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, Ya Zhou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1"/>
          <w:szCs w:val="21"/>
        </w:rPr>
        <w:t>, Juanjuan Zhao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, Lin Xu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,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b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>Key Laboratory of Gene Detection and Treatment of Guizhou province, Guizhou Zunyi, 563000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vertAlign w:val="superscript"/>
        </w:rPr>
        <w:t xml:space="preserve">2 </w:t>
      </w:r>
      <w:r>
        <w:rPr>
          <w:rFonts w:hint="default" w:ascii="Times New Roman" w:hAnsi="Times New Roman" w:cs="Times New Roman"/>
          <w:sz w:val="21"/>
          <w:szCs w:val="21"/>
        </w:rPr>
        <w:t xml:space="preserve">Department of Immunology, Zunyi Medical 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University</w:t>
      </w:r>
      <w:r>
        <w:rPr>
          <w:rFonts w:hint="default" w:ascii="Times New Roman" w:hAnsi="Times New Roman" w:cs="Times New Roman"/>
          <w:sz w:val="21"/>
          <w:szCs w:val="21"/>
        </w:rPr>
        <w:t xml:space="preserve">, Guizhou, 563000 China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3</w:t>
      </w:r>
      <w:r>
        <w:rPr>
          <w:rFonts w:hint="default" w:ascii="Times New Roman" w:hAnsi="Times New Roman" w:cs="Times New Roman"/>
          <w:sz w:val="21"/>
          <w:szCs w:val="21"/>
        </w:rPr>
        <w:t xml:space="preserve"> Department of Medical physics, Zunyi Medical 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University</w:t>
      </w:r>
      <w:r>
        <w:rPr>
          <w:rFonts w:hint="default" w:ascii="Times New Roman" w:hAnsi="Times New Roman" w:cs="Times New Roman"/>
          <w:sz w:val="21"/>
          <w:szCs w:val="21"/>
        </w:rPr>
        <w:t>, Guizhou, 563000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vertAlign w:val="superscript"/>
          <w:lang w:val="en-US" w:eastAsia="zh-CN"/>
        </w:rPr>
        <w:t>#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vertAlign w:val="baseline"/>
          <w:lang w:val="en-US" w:eastAsia="zh-CN"/>
        </w:rPr>
        <w:t>These authors contributed equally to this work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cs="Times New Roman"/>
          <w:b/>
          <w:bCs w:val="0"/>
          <w:sz w:val="24"/>
          <w:szCs w:val="24"/>
          <w:vertAlign w:val="superscrip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Correspondence to: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Style w:val="5"/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Dr. Lin Xu, Department of immunology, Zunyi Medical 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University</w:t>
      </w:r>
      <w:r>
        <w:rPr>
          <w:rFonts w:hint="default" w:ascii="Times New Roman" w:hAnsi="Times New Roman" w:cs="Times New Roman"/>
          <w:sz w:val="21"/>
          <w:szCs w:val="21"/>
        </w:rPr>
        <w:t xml:space="preserve">, GuiZhou Province, 563003 P.R.China, Email: 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"mailto:xulinzhouya@163.com"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Style w:val="5"/>
          <w:rFonts w:hint="default" w:ascii="Times New Roman" w:hAnsi="Times New Roman" w:cs="Times New Roman"/>
          <w:color w:val="auto"/>
          <w:sz w:val="21"/>
          <w:szCs w:val="21"/>
        </w:rPr>
        <w:t>xulinzhouya@163.com</w:t>
      </w:r>
      <w:r>
        <w:rPr>
          <w:rStyle w:val="5"/>
          <w:rFonts w:hint="default" w:ascii="Times New Roman" w:hAnsi="Times New Roman" w:cs="Times New Roman"/>
          <w:color w:val="auto"/>
          <w:sz w:val="21"/>
          <w:szCs w:val="21"/>
        </w:rPr>
        <w:fldChar w:fldCharType="end"/>
      </w:r>
    </w:p>
    <w:p>
      <w:pPr>
        <w:rPr>
          <w:rFonts w:ascii="Times New Roman Bold" w:hAnsi="Times New Roman Bold" w:cs="Times New Roman Bold"/>
          <w:b/>
          <w:bCs/>
          <w:sz w:val="32"/>
          <w:szCs w:val="32"/>
        </w:rPr>
      </w:pPr>
      <w:r>
        <w:rPr>
          <w:rFonts w:ascii="Times New Roman Bold" w:hAnsi="Times New Roman Bold" w:cs="Times New Roman Bold"/>
          <w:b/>
          <w:bCs/>
          <w:sz w:val="32"/>
          <w:szCs w:val="32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7325" cy="4908550"/>
            <wp:effectExtent l="0" t="0" r="15875" b="19050"/>
            <wp:docPr id="11" name="图片 11" descr="/Users/yangjing/Desktop/molecular cancer/组图/sfig1.tifs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/Users/yangjing/Desktop/molecular cancer/组图/sfig1.tifsfi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Figure S1. Human NSCLC cells are resistant to 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21"/>
        </w:rPr>
        <w:t>miR-7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 intervention.</w:t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 Bold" w:hAnsi="Times New Roman Bold" w:cs="Times New Roman Bold"/>
          <w:b/>
          <w:bCs/>
        </w:rPr>
        <w:t>(A)</w:t>
      </w:r>
      <w:r>
        <w:rPr>
          <w:rFonts w:ascii="Times New Roman" w:hAnsi="Times New Roman" w:cs="Times New Roman"/>
        </w:rPr>
        <w:t xml:space="preserve"> Schematic diagram. H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uman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NSCLC cells were transiently transfected with p-Cont/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p-miR-7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vector (2.5 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>μ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g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) in 24-well plates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using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Lipofectamine 3000 reagent </w:t>
      </w:r>
      <w:r>
        <w:rPr>
          <w:rFonts w:ascii="Times New Roman Bold Italic" w:hAnsi="Times New Roman Bold Italic" w:eastAsia="仿宋_GB2312" w:cs="Times New Roman Bold Italic"/>
          <w:i/>
          <w:iCs/>
          <w:color w:val="000000"/>
          <w:szCs w:val="21"/>
        </w:rPr>
        <w:t>in vitro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, once every t</w:t>
      </w:r>
      <w:r>
        <w:rPr>
          <w:rFonts w:ascii="Times New Roman" w:hAnsi="Times New Roman" w:eastAsia="仿宋_GB2312" w:cs="Times New Roman"/>
          <w:color w:val="000000"/>
          <w:szCs w:val="21"/>
        </w:rPr>
        <w:t>wo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 xml:space="preserve"> days, three times in total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. 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>(B)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000000"/>
          <w:szCs w:val="21"/>
        </w:rPr>
        <w:t>T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he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expression level of miR-7 in (A) was detected by real-time PCR.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(C)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The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re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pression ratio of miR-7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in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(A) was detected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and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quan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titated by CCK8. 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>(D)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>T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Hans"/>
        </w:rPr>
        <w:t>he</w:t>
      </w:r>
      <w:r>
        <w:rPr>
          <w:rFonts w:hint="default" w:ascii="Times New Roman" w:hAnsi="Times New Roman" w:eastAsia="仿宋_GB2312" w:cs="Times New Roman"/>
          <w:color w:val="000000"/>
          <w:szCs w:val="21"/>
          <w:lang w:eastAsia="zh-Hans"/>
        </w:rPr>
        <w:t xml:space="preserve"> expression of miR-7 </w:t>
      </w:r>
      <w:r>
        <w:rPr>
          <w:rFonts w:ascii="Times New Roman" w:hAnsi="Times New Roman" w:eastAsia="仿宋_GB2312" w:cs="Times New Roman"/>
          <w:color w:val="000000"/>
          <w:szCs w:val="21"/>
        </w:rPr>
        <w:t>in (A) was detected by real-time PCR.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000000"/>
          <w:szCs w:val="21"/>
        </w:rPr>
        <w:t xml:space="preserve">(E)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Schematic diagram. miR-7-resistant human NSCLC cells were transiently transfected with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miR-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30b mimics (2.5 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>μ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g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) in 24-well plates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using</w:t>
      </w:r>
      <w:r>
        <w:rPr>
          <w:rFonts w:ascii="Times New Roman" w:hAnsi="Times New Roman" w:eastAsia="仿宋_GB2312" w:cs="Times New Roman"/>
          <w:color w:val="000000"/>
          <w:szCs w:val="18"/>
        </w:rPr>
        <w:t xml:space="preserve"> Lipofectamine 3000 reagent for 48 h. </w:t>
      </w:r>
      <w:r>
        <w:rPr>
          <w:rFonts w:ascii="Times New Roman" w:hAnsi="Times New Roman" w:eastAsia="仿宋_GB2312" w:cs="Times New Roman"/>
          <w:b/>
          <w:bCs/>
          <w:color w:val="000000"/>
          <w:szCs w:val="18"/>
        </w:rPr>
        <w:t>(</w:t>
      </w:r>
      <w:r>
        <w:rPr>
          <w:rFonts w:hint="default" w:ascii="Times New Roman" w:hAnsi="Times New Roman" w:eastAsia="仿宋_GB2312" w:cs="Times New Roman"/>
          <w:b/>
          <w:bCs/>
          <w:color w:val="000000"/>
          <w:szCs w:val="18"/>
        </w:rPr>
        <w:t>F</w:t>
      </w:r>
      <w:r>
        <w:rPr>
          <w:rFonts w:ascii="Times New Roman" w:hAnsi="Times New Roman" w:eastAsia="仿宋_GB2312" w:cs="Times New Roman"/>
          <w:b/>
          <w:bCs/>
          <w:color w:val="000000"/>
          <w:szCs w:val="18"/>
        </w:rPr>
        <w:t>)</w:t>
      </w:r>
      <w:r>
        <w:rPr>
          <w:rFonts w:ascii="Times New Roman" w:hAnsi="Times New Roman" w:eastAsia="仿宋_GB2312" w:cs="Times New Roman"/>
          <w:color w:val="000000"/>
          <w:szCs w:val="18"/>
        </w:rPr>
        <w:t xml:space="preserve"> The proliferation of (D) detected by CCK8 assay.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>(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Cs w:val="18"/>
        </w:rPr>
        <w:t>G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Schematic diagram. </w:t>
      </w:r>
      <w:r>
        <w:rPr>
          <w:rFonts w:ascii="Times New Roman" w:hAnsi="Times New Roman" w:eastAsia="宋体" w:cs="Times New Roman"/>
          <w:szCs w:val="21"/>
        </w:rPr>
        <w:t xml:space="preserve">Human </w:t>
      </w:r>
      <w:r>
        <w:rPr>
          <w:rFonts w:ascii="Times New Roman" w:hAnsi="Times New Roman" w:cs="Times New Roman"/>
          <w:szCs w:val="21"/>
        </w:rPr>
        <w:t xml:space="preserve">NSCLC cells </w:t>
      </w:r>
      <w:r>
        <w:rPr>
          <w:rFonts w:ascii="Times New Roman" w:hAnsi="Times New Roman" w:eastAsia="宋体" w:cs="Times New Roman"/>
          <w:szCs w:val="21"/>
        </w:rPr>
        <w:t xml:space="preserve">were cultured </w:t>
      </w:r>
      <w:r>
        <w:rPr>
          <w:rFonts w:ascii="Times New Roman" w:hAnsi="Times New Roman" w:cs="Times New Roman"/>
          <w:szCs w:val="21"/>
        </w:rPr>
        <w:t xml:space="preserve">normally for 5 days </w:t>
      </w:r>
      <w:r>
        <w:rPr>
          <w:rFonts w:hint="eastAsia"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fter </w:t>
      </w:r>
      <w:r>
        <w:rPr>
          <w:rStyle w:val="4"/>
          <w:rFonts w:ascii="Times New Roman" w:hAnsi="Times New Roman" w:eastAsia="宋体" w:cs="Times New Roman"/>
          <w:i w:val="0"/>
          <w:iCs w:val="0"/>
          <w:szCs w:val="21"/>
          <w:shd w:val="clear" w:color="auto" w:fill="FFFFFF"/>
        </w:rPr>
        <w:t>consecutive</w:t>
      </w:r>
      <w:r>
        <w:rPr>
          <w:rFonts w:hint="eastAsia" w:ascii="Times New Roman Regular" w:hAnsi="Times New Roman Regular" w:cs="Times New Roman Regular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miR-7 intervention</w:t>
      </w:r>
      <w:r>
        <w:rPr>
          <w:rFonts w:ascii="Times New Roman" w:hAnsi="Times New Roman" w:eastAsia="宋体" w:cs="Times New Roman"/>
          <w:szCs w:val="21"/>
        </w:rPr>
        <w:t xml:space="preserve"> and were</w:t>
      </w:r>
      <w:r>
        <w:rPr>
          <w:rFonts w:ascii="Times New Roman" w:hAnsi="Times New Roman" w:cs="Times New Roman"/>
          <w:szCs w:val="21"/>
        </w:rPr>
        <w:t xml:space="preserve"> then retransfected </w:t>
      </w:r>
      <w:r>
        <w:rPr>
          <w:rFonts w:ascii="Times New Roman" w:hAnsi="Times New Roman" w:eastAsia="宋体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miR-7. </w:t>
      </w:r>
      <w:r>
        <w:rPr>
          <w:rFonts w:ascii="Times New Roman Bold" w:hAnsi="Times New Roman Bold" w:cs="Times New Roman Bold"/>
          <w:b/>
          <w:bCs/>
          <w:szCs w:val="21"/>
        </w:rPr>
        <w:t>(</w:t>
      </w:r>
      <w:r>
        <w:rPr>
          <w:rFonts w:hint="default" w:ascii="Times New Roman Bold" w:hAnsi="Times New Roman Bold" w:cs="Times New Roman Bold"/>
          <w:b/>
          <w:bCs/>
          <w:szCs w:val="21"/>
        </w:rPr>
        <w:t>H</w:t>
      </w:r>
      <w:r>
        <w:rPr>
          <w:rFonts w:ascii="Times New Roman Bold" w:hAnsi="Times New Roman Bold" w:cs="Times New Roman Bold"/>
          <w:b/>
          <w:bCs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Forty-eight hours</w:t>
      </w:r>
      <w:r>
        <w:rPr>
          <w:rFonts w:ascii="Times New Roman" w:hAnsi="Times New Roman" w:cs="Times New Roman"/>
          <w:szCs w:val="21"/>
        </w:rPr>
        <w:t xml:space="preserve"> later, the proliferation of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(F) was detected by CCK8 assay. Representative data from three independent experiments are shown. </w:t>
      </w:r>
      <w:r>
        <w:rPr>
          <w:rFonts w:ascii="Times New Roman" w:hAnsi="Times New Roman" w:eastAsia="仿宋_GB2312" w:cs="Times New Roman"/>
          <w:i/>
          <w:iCs/>
          <w:color w:val="000000"/>
          <w:szCs w:val="18"/>
        </w:rPr>
        <w:t>*p&lt;0.05, **p&lt;0.01.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8595" cy="6387465"/>
            <wp:effectExtent l="0" t="0" r="14605" b="13335"/>
            <wp:docPr id="10" name="图片 10" descr="s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fig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 Italic" w:hAnsi="Times New Roman Bold Italic" w:eastAsia="仿宋_GB2312" w:cs="Times New Roman Bold Italic"/>
          <w:b/>
          <w:i/>
          <w:i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Figure S2. </w:t>
      </w:r>
      <w:r>
        <w:rPr>
          <w:rFonts w:hint="eastAsia" w:ascii="Times New Roman Bold" w:hAnsi="Times New Roman Bold" w:eastAsia="仿宋_GB2312" w:cs="Times New Roman Bold"/>
          <w:b/>
          <w:color w:val="000000"/>
          <w:szCs w:val="21"/>
        </w:rPr>
        <w:t>The</w:t>
      </w:r>
      <w:r>
        <w:rPr>
          <w:rFonts w:ascii="Times New Roman Bold" w:hAnsi="Times New Roman Bold" w:eastAsia="仿宋_GB2312" w:cs="Times New Roman Bold"/>
          <w:b/>
          <w:color w:val="000000"/>
          <w:szCs w:val="21"/>
        </w:rPr>
        <w:t xml:space="preserve"> </w:t>
      </w:r>
      <w:r>
        <w:rPr>
          <w:rFonts w:hint="eastAsia" w:ascii="Times New Roman Bold" w:hAnsi="Times New Roman Bold" w:eastAsia="仿宋_GB2312" w:cs="Times New Roman Bold"/>
          <w:b/>
          <w:color w:val="000000"/>
          <w:szCs w:val="21"/>
        </w:rPr>
        <w:t>pr</w:t>
      </w:r>
      <w:r>
        <w:rPr>
          <w:rFonts w:ascii="Times New Roman Bold" w:hAnsi="Times New Roman Bold" w:eastAsia="仿宋_GB2312" w:cs="Times New Roman Bold"/>
          <w:b/>
          <w:color w:val="000000"/>
          <w:szCs w:val="21"/>
        </w:rPr>
        <w:t xml:space="preserve">oliferation and migration </w:t>
      </w:r>
      <w:r>
        <w:rPr>
          <w:rFonts w:hint="eastAsia" w:ascii="Times New Roman Bold" w:hAnsi="Times New Roman Bold" w:eastAsia="仿宋_GB2312" w:cs="Times New Roman Bold"/>
          <w:b/>
          <w:color w:val="000000"/>
          <w:szCs w:val="21"/>
        </w:rPr>
        <w:t xml:space="preserve">of </w:t>
      </w:r>
      <w:r>
        <w:rPr>
          <w:rFonts w:ascii="Times New Roman Bold" w:hAnsi="Times New Roman Bold" w:eastAsia="仿宋_GB2312" w:cs="Times New Roman Bold"/>
          <w:b/>
          <w:color w:val="000000"/>
          <w:szCs w:val="21"/>
        </w:rPr>
        <w:t xml:space="preserve">miR-7-resistant </w:t>
      </w:r>
      <w:r>
        <w:rPr>
          <w:rFonts w:hint="eastAsia" w:ascii="Times New Roman Bold" w:hAnsi="Times New Roman Bold" w:eastAsia="仿宋_GB2312" w:cs="Times New Roman Bold"/>
          <w:b/>
          <w:color w:val="000000"/>
          <w:szCs w:val="21"/>
        </w:rPr>
        <w:t>human</w:t>
      </w:r>
      <w:r>
        <w:rPr>
          <w:rFonts w:ascii="Times New Roman Bold" w:hAnsi="Times New Roman Bold" w:eastAsia="仿宋_GB2312" w:cs="Times New Roman Bold"/>
          <w:b/>
          <w:color w:val="000000"/>
          <w:szCs w:val="21"/>
        </w:rPr>
        <w:t xml:space="preserve"> NSCLC cells</w:t>
      </w:r>
      <w:r>
        <w:rPr>
          <w:rFonts w:ascii="Times New Roman Bold Italic" w:hAnsi="Times New Roman Bold Italic" w:eastAsia="仿宋_GB2312" w:cs="Times New Roman Bold Italic"/>
          <w:b/>
          <w:i/>
          <w:iCs/>
          <w:color w:val="000000"/>
          <w:szCs w:val="21"/>
        </w:rPr>
        <w:t xml:space="preserve"> in v</w:t>
      </w:r>
      <w:r>
        <w:rPr>
          <w:rFonts w:hint="eastAsia" w:ascii="Times New Roman Bold Italic" w:hAnsi="Times New Roman Bold Italic" w:eastAsia="仿宋_GB2312" w:cs="Times New Roman Bold Italic"/>
          <w:b/>
          <w:i/>
          <w:iCs/>
          <w:color w:val="000000"/>
          <w:szCs w:val="21"/>
        </w:rPr>
        <w:t>i</w:t>
      </w:r>
      <w:r>
        <w:rPr>
          <w:rFonts w:ascii="Times New Roman Bold Italic" w:hAnsi="Times New Roman Bold Italic" w:eastAsia="仿宋_GB2312" w:cs="Times New Roman Bold Italic"/>
          <w:b/>
          <w:i/>
          <w:iCs/>
          <w:color w:val="000000"/>
          <w:szCs w:val="21"/>
        </w:rPr>
        <w:t xml:space="preserve">tro </w:t>
      </w:r>
      <w:r>
        <w:rPr>
          <w:rFonts w:ascii="Times New Roman Bold" w:hAnsi="Times New Roman Bold" w:eastAsia="仿宋_GB2312" w:cs="Times New Roman Bold"/>
          <w:b/>
          <w:color w:val="000000"/>
          <w:szCs w:val="21"/>
        </w:rPr>
        <w:t xml:space="preserve">and </w:t>
      </w:r>
      <w:r>
        <w:rPr>
          <w:rFonts w:ascii="Times New Roman Bold Italic" w:hAnsi="Times New Roman Bold Italic" w:eastAsia="仿宋_GB2312" w:cs="Times New Roman Bold Italic"/>
          <w:b/>
          <w:i/>
          <w:iCs/>
          <w:color w:val="000000"/>
          <w:szCs w:val="21"/>
        </w:rPr>
        <w:t>in vivo.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b/>
          <w:bCs/>
          <w:color w:val="000000"/>
          <w:szCs w:val="21"/>
        </w:rPr>
      </w:pP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(A)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expression levels of Ki-67 in miR-7-resistant human NSCLC cells and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the</w:t>
      </w:r>
      <w:r>
        <w:rPr>
          <w:rFonts w:ascii="Times New Roman" w:hAnsi="Times New Roman" w:eastAsia="仿宋_GB2312" w:cs="Times New Roman"/>
          <w:color w:val="000000"/>
          <w:szCs w:val="21"/>
        </w:rPr>
        <w:t>ir corresponding control cells were analyzed by immunofluorescence (50×).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 (B-C)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cell migration and invasion abilities of these cells were detected by transwell assays.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(D-E)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KEGG enrichment (left) and heatmaps (right) were used to analyze the Wnt and Ras signaling pathways in 95D/miR-7 cells and 95D/Cont cells.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(F) </w:t>
      </w:r>
      <w:r>
        <w:rPr>
          <w:rFonts w:ascii="Times New Roman" w:hAnsi="Times New Roman" w:eastAsia="仿宋_GB2312" w:cs="Times New Roman"/>
          <w:color w:val="000000"/>
          <w:szCs w:val="21"/>
        </w:rPr>
        <w:t>The expression levels of the PI3K/A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kt</w:t>
      </w:r>
      <w:r>
        <w:rPr>
          <w:rFonts w:ascii="Times New Roman" w:hAnsi="Times New Roman" w:eastAsia="仿宋_GB2312" w:cs="Times New Roman"/>
          <w:color w:val="000000"/>
          <w:szCs w:val="21"/>
        </w:rPr>
        <w:t>- and MAPK-related molecul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e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s PI3K,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p-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PI3K, AKT,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p-</w:t>
      </w:r>
      <w:r>
        <w:rPr>
          <w:rFonts w:ascii="Times New Roman" w:hAnsi="Times New Roman" w:eastAsia="仿宋_GB2312" w:cs="Times New Roman"/>
          <w:color w:val="000000"/>
          <w:szCs w:val="21"/>
        </w:rPr>
        <w:t>AKT, ERK1/2, p-ERK1/2, R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as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and PDK1 in 95D/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miR-7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cells and 95D/Cont cells were analyzed by west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e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rn blotting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and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calculated.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(G-H)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The mRNA levels of the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cell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-related proteins CDK1, CDK2, CDK4, and CDK6 and the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metastatic genes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MMP2, MMP9 and CXCR4 were detected in tumor tissues by real-time PCR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and calculated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. </w:t>
      </w:r>
      <w:r>
        <w:rPr>
          <w:rFonts w:ascii="Times New Roman" w:hAnsi="Times New Roman" w:eastAsia="仿宋_GB2312" w:cs="Times New Roman"/>
          <w:i/>
          <w:iCs/>
          <w:color w:val="000000"/>
          <w:szCs w:val="18"/>
        </w:rPr>
        <w:t xml:space="preserve">*p&lt;0.05. </w:t>
      </w:r>
      <w:r>
        <w:rPr>
          <w:rFonts w:ascii="Times New Roman" w:hAnsi="Times New Roman" w:eastAsia="仿宋_GB2312" w:cs="Times New Roman"/>
          <w:color w:val="000000"/>
          <w:szCs w:val="21"/>
        </w:rPr>
        <w:t>N=3 in each group. Representative genes of each category are displayed.</w:t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</w:p>
    <w:p>
      <w:pP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7960" cy="2318385"/>
            <wp:effectExtent l="0" t="0" r="15240" b="18415"/>
            <wp:docPr id="9" name="图片 9" descr="s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fig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Figure S3. 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18"/>
        </w:rPr>
        <w:t>miR-7 target molecule expression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 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18"/>
        </w:rPr>
        <w:t>in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 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18"/>
        </w:rPr>
        <w:t>miR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 xml:space="preserve">-7-resistant human NSCLC 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18"/>
        </w:rPr>
        <w:t>c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18"/>
        </w:rPr>
        <w:t>ells.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18"/>
        </w:rPr>
      </w:pPr>
      <w:bookmarkStart w:id="0" w:name="_GoBack"/>
      <w:r>
        <w:rPr>
          <w:rFonts w:ascii="Times New Roman" w:hAnsi="Times New Roman" w:eastAsia="仿宋_GB2312" w:cs="Times New Roman"/>
          <w:color w:val="000000"/>
          <w:szCs w:val="21"/>
        </w:rPr>
        <w:t xml:space="preserve">Total RNA was extracted from miR-7-resistant human NSCLC cells and their corresponding control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cells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. 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(A-B)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expression of 8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repre</w:t>
      </w:r>
      <w:r>
        <w:rPr>
          <w:rFonts w:ascii="Times New Roman" w:hAnsi="Times New Roman" w:eastAsia="仿宋_GB2312" w:cs="Times New Roman"/>
          <w:color w:val="000000"/>
          <w:szCs w:val="21"/>
        </w:rPr>
        <w:t>sentative targets,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miR-7 TGFBR2, NDUFA4, PAK2, PARP1, EGFR, PAX6, MAPK6 and YY1,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 xml:space="preserve">in </w:t>
      </w:r>
      <w:r>
        <w:rPr>
          <w:rFonts w:ascii="Times New Roman" w:hAnsi="Times New Roman" w:eastAsia="仿宋_GB2312" w:cs="Times New Roman"/>
          <w:color w:val="000000"/>
          <w:szCs w:val="21"/>
        </w:rPr>
        <w:t>these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cells was detected by RNA-seq and real-time PCR. Representative data from three independent experiments are shown. </w:t>
      </w:r>
      <w:bookmarkEnd w:id="0"/>
      <w:r>
        <w:rPr>
          <w:rFonts w:ascii="Times New Roman Italic" w:hAnsi="Times New Roman Italic" w:eastAsia="仿宋_GB2312" w:cs="Times New Roman Italic"/>
          <w:i/>
          <w:iCs/>
          <w:color w:val="000000"/>
          <w:szCs w:val="21"/>
        </w:rPr>
        <w:t>NS, no significance,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i/>
          <w:iCs/>
          <w:color w:val="000000"/>
          <w:szCs w:val="18"/>
        </w:rPr>
        <w:t>*p&lt;0.05.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18"/>
        </w:rPr>
      </w:pPr>
    </w:p>
    <w:p>
      <w:pP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br w:type="page"/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i/>
          <w:iCs/>
          <w:color w:val="000000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8595" cy="3775075"/>
            <wp:effectExtent l="0" t="0" r="14605" b="9525"/>
            <wp:wrapTight wrapText="bothSides">
              <wp:wrapPolygon>
                <wp:start x="0" y="0"/>
                <wp:lineTo x="0" y="21509"/>
                <wp:lineTo x="21452" y="21509"/>
                <wp:lineTo x="21452" y="0"/>
                <wp:lineTo x="0" y="0"/>
              </wp:wrapPolygon>
            </wp:wrapTight>
            <wp:docPr id="1" name="图片 1" descr="s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ig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Figure S4. PAX6 is upregulated in miR-7-resistant human NSCLC cells.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(A)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mRNA level of PAX6 in 95D/miR-7 cells and its corresponding control cells was detected by real-time PCR.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(B-C)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The protein level of PAX6 in 95D/miR-7 cells and the corresponding control cells was detected by western blotting and calculated.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(D-E)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expression level of PAX6 in 95D/miR-7 cells and the corresponding control cells was detected by immunofluorescence and quantitated. Representative data from three independent experiments are shown. </w:t>
      </w: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t>*p&lt;0.05.</w:t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</w:p>
    <w:p>
      <w:pP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7325" cy="4283710"/>
            <wp:effectExtent l="0" t="0" r="15875" b="8890"/>
            <wp:docPr id="7" name="图片 7" descr="/Users/yangjing/Desktop/molecular cancer/组图/sfig5 .tifsfig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yangjing/Desktop/molecular cancer/组图/sfig5 .tifsfig5 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Figure S5. The effect of PAX6 downregulation on the growth and metastasis of 95D/miR-7 cells.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(A-B) </w:t>
      </w:r>
      <w:r>
        <w:rPr>
          <w:rFonts w:ascii="Times New Roman" w:hAnsi="Times New Roman" w:eastAsia="仿宋_GB2312" w:cs="Times New Roman"/>
          <w:color w:val="000000"/>
          <w:szCs w:val="21"/>
        </w:rPr>
        <w:t>95D/miR-7 cells were transiently transfected with PAX6-siRNA/NC-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s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iRNA (2.5 nM) in 24-well plates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using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Lipofectamine 3000 reagent. Forty-eight hours later,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migration of miR-7-resistant NSCLC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cells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was assessed by scratch assay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and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cal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culated. 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 xml:space="preserve">(C-D)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Immunofluorescence was performed to detect the expression of PAX6 and Ki-67 in (A) (600×). </w:t>
      </w:r>
      <w:r>
        <w:rPr>
          <w:rFonts w:ascii="Times New Roman" w:hAnsi="Times New Roman" w:eastAsia="仿宋_GB2312" w:cs="Times New Roman"/>
          <w:b/>
          <w:bCs/>
          <w:color w:val="000000"/>
          <w:szCs w:val="21"/>
        </w:rPr>
        <w:t>(E-F)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The expression levels of PAX6, PI3K,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p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-AKT, AKT, ERK1/2,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p</w:t>
      </w:r>
      <w:r>
        <w:rPr>
          <w:rFonts w:ascii="Times New Roman" w:hAnsi="Times New Roman" w:eastAsia="仿宋_GB2312" w:cs="Times New Roman"/>
          <w:color w:val="000000"/>
          <w:szCs w:val="21"/>
        </w:rPr>
        <w:t>-ERK1/2 and E-cadherin in (A) were det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e</w:t>
      </w:r>
      <w:r>
        <w:rPr>
          <w:rFonts w:ascii="Times New Roman" w:hAnsi="Times New Roman" w:eastAsia="仿宋_GB2312" w:cs="Times New Roman"/>
          <w:color w:val="000000"/>
          <w:szCs w:val="21"/>
        </w:rPr>
        <w:t>cted by western blotting and calculated. Representative data from three independent experiments are shown.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 Italic" w:hAnsi="Times New Roman Italic" w:eastAsia="仿宋_GB2312" w:cs="Times New Roman Italic"/>
          <w:i/>
          <w:iCs/>
          <w:color w:val="000000"/>
          <w:szCs w:val="21"/>
        </w:rPr>
        <w:t>NS, no significance,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t>*p&lt;0.05.</w:t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</w:p>
    <w:p>
      <w:pP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71770" cy="2659380"/>
            <wp:effectExtent l="0" t="0" r="11430" b="7620"/>
            <wp:docPr id="6" name="图片 6" descr="sfi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fig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Figure S6. The sequence variation in miR-7 putative binding sites in the 3’UTR of PAX6 mRNA.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 xml:space="preserve">The DNA of miR-7-resistant human NSCLC cells was extracted, </w:t>
      </w:r>
      <w:r>
        <w:rPr>
          <w:rFonts w:hint="eastAsia" w:ascii="Times New Roman" w:hAnsi="Times New Roman" w:eastAsia="仿宋_GB2312" w:cs="Times New Roman"/>
          <w:color w:val="000000"/>
          <w:szCs w:val="21"/>
        </w:rPr>
        <w:t>t</w:t>
      </w:r>
      <w:r>
        <w:rPr>
          <w:rFonts w:ascii="Times New Roman" w:hAnsi="Times New Roman" w:eastAsia="仿宋_GB2312" w:cs="Times New Roman"/>
          <w:color w:val="000000"/>
          <w:szCs w:val="21"/>
        </w:rPr>
        <w:t>he two binding sites of PAX6 and miR-7 were amplified by reverse transcription with specific primers, and the gene mutations were analyzed by sequencing. Representative data from three independent experiments are shown.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color w:val="000000"/>
          <w:szCs w:val="21"/>
        </w:rPr>
      </w:pPr>
    </w:p>
    <w:p>
      <w:pP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71770" cy="7431405"/>
            <wp:effectExtent l="0" t="0" r="11430" b="10795"/>
            <wp:docPr id="5" name="图片 5" descr="sfi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fig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Figure S7. CpG methylation levels of the PAX6 promoter in miR-7-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21"/>
        </w:rPr>
        <w:t>resistan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t human NSCLC cells.</w:t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>The DNA of miR-7-resistant human NSCLC cells and their corresponding control cells was extracted.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 (A)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The CpG island in the promoter of PAX6 was predicted by Emboss.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(B-C)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Methylation levels of CpG sites in the PAX6 promoter were analyzed by mass spectrometry. </w:t>
      </w:r>
      <w:r>
        <w:rPr>
          <w:rFonts w:ascii="Times New Roman" w:hAnsi="Times New Roman" w:eastAsia="等线" w:cs="Times New Roman"/>
        </w:rPr>
        <w:t>Representative</w:t>
      </w:r>
      <w:r>
        <w:rPr>
          <w:rFonts w:hint="eastAsia" w:ascii="Times New Roman" w:hAnsi="Times New Roman" w:cs="Times New Roman"/>
        </w:rPr>
        <w:t xml:space="preserve"> data </w:t>
      </w:r>
      <w:r>
        <w:rPr>
          <w:rFonts w:ascii="Times New Roman" w:hAnsi="Times New Roman" w:cs="Times New Roman"/>
        </w:rPr>
        <w:t>from</w:t>
      </w:r>
      <w:r>
        <w:rPr>
          <w:rFonts w:hint="eastAsia" w:ascii="Times New Roman" w:hAnsi="Times New Roman" w:cs="Times New Roman"/>
        </w:rPr>
        <w:t xml:space="preserve"> three independent experiments </w:t>
      </w:r>
      <w:r>
        <w:rPr>
          <w:rFonts w:ascii="Times New Roman" w:hAnsi="Times New Roman" w:eastAsia="宋体" w:cs="Times New Roman"/>
        </w:rPr>
        <w:t>are</w:t>
      </w:r>
      <w:r>
        <w:rPr>
          <w:rFonts w:hint="eastAsia" w:ascii="Times New Roman" w:hAnsi="Times New Roman" w:cs="Times New Roman"/>
        </w:rPr>
        <w:t xml:space="preserve"> shown.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8595" cy="1666240"/>
            <wp:effectExtent l="0" t="0" r="14605" b="10160"/>
            <wp:docPr id="4" name="图片 4" descr="sfi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ig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</w:pP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Figure S8. T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Cs w:val="21"/>
        </w:rPr>
        <w:t>he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 expression levels of acetyltransferase and deacetylase in miR-7-resistant human NSCLC cells.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</w:pPr>
      <w:r>
        <w:rPr>
          <w:rFonts w:hint="default" w:ascii="Times New Roman Regular" w:hAnsi="Times New Roman Regular" w:cs="Times New Roman Regular"/>
          <w:b/>
          <w:bCs/>
        </w:rPr>
        <w:t xml:space="preserve">(A) </w:t>
      </w:r>
      <w:r>
        <w:rPr>
          <w:rFonts w:ascii="Times New Roman Regular" w:hAnsi="Times New Roman Regular" w:cs="Times New Roman Regular"/>
        </w:rPr>
        <w:t>Schematic diagram of</w:t>
      </w:r>
      <w:r>
        <w:rPr>
          <w:rFonts w:ascii="Times New Roman Regular" w:hAnsi="Times New Roman Regular" w:eastAsia="宋体" w:cs="Times New Roman Regular"/>
        </w:rPr>
        <w:t xml:space="preserve"> the extraction of</w:t>
      </w:r>
      <w:r>
        <w:rPr>
          <w:rFonts w:ascii="Times New Roman Regular" w:hAnsi="Times New Roman Regular" w:cs="Times New Roman Regular"/>
        </w:rPr>
        <w:t xml:space="preserve"> nuclear </w:t>
      </w:r>
      <w:r>
        <w:rPr>
          <w:rFonts w:ascii="Times New Roman Regular" w:hAnsi="Times New Roman Regular" w:eastAsia="宋体" w:cs="Times New Roman Regular"/>
        </w:rPr>
        <w:t>proteins from</w:t>
      </w:r>
      <w:r>
        <w:rPr>
          <w:rFonts w:ascii="Times New Roman Regular" w:hAnsi="Times New Roman Regular" w:cs="Times New Roman Regular"/>
        </w:rPr>
        <w:t xml:space="preserve"> A549/</w:t>
      </w:r>
      <w:r>
        <w:rPr>
          <w:rFonts w:hint="eastAsia" w:ascii="Times New Roman Regular" w:hAnsi="Times New Roman Regular" w:cs="Times New Roman Regular"/>
        </w:rPr>
        <w:t>mi</w:t>
      </w:r>
      <w:r>
        <w:rPr>
          <w:rFonts w:ascii="Times New Roman Regular" w:hAnsi="Times New Roman Regular" w:cs="Times New Roman Regular"/>
        </w:rPr>
        <w:t>R-7 and A549/Cont cell</w:t>
      </w:r>
      <w:r>
        <w:rPr>
          <w:rFonts w:hint="eastAsia" w:ascii="Times New Roman Regular" w:hAnsi="Times New Roman Regular" w:cs="Times New Roman Regular"/>
        </w:rPr>
        <w:t>s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 xml:space="preserve">(B) </w:t>
      </w:r>
      <w:r>
        <w:rPr>
          <w:rFonts w:ascii="Times New Roman" w:hAnsi="Times New Roman" w:eastAsia="仿宋_GB2312" w:cs="Times New Roman"/>
          <w:color w:val="000000"/>
          <w:szCs w:val="21"/>
        </w:rPr>
        <w:t>The protein acetylation levels of (A)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 were determined by western blotting and calculated. </w:t>
      </w:r>
      <w:r>
        <w:rPr>
          <w:rFonts w:ascii="Times New Roman Bold" w:hAnsi="Times New Roman Bold" w:eastAsia="仿宋_GB2312" w:cs="Times New Roman Bold"/>
          <w:b/>
          <w:bCs/>
          <w:color w:val="000000"/>
          <w:szCs w:val="21"/>
        </w:rPr>
        <w:t>(C)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 T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he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 protein levels of MEAF6, NAA20, and KAT8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 xml:space="preserve"> 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in 95D/Cont 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and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 95D/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miR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 xml:space="preserve">-7 </w:t>
      </w:r>
      <w:r>
        <w:rPr>
          <w:rFonts w:hint="eastAsia" w:ascii="Times New Roman Regular" w:hAnsi="Times New Roman Regular" w:eastAsia="仿宋_GB2312" w:cs="Times New Roman Regular"/>
          <w:color w:val="000000"/>
          <w:szCs w:val="21"/>
        </w:rPr>
        <w:t>cell</w:t>
      </w:r>
      <w:r>
        <w:rPr>
          <w:rFonts w:ascii="Times New Roman Regular" w:hAnsi="Times New Roman Regular" w:eastAsia="仿宋_GB2312" w:cs="Times New Roman Regular"/>
          <w:color w:val="000000"/>
          <w:szCs w:val="21"/>
        </w:rPr>
        <w:t>s were determined by western blotting and calculated.</w:t>
      </w: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  <w:r>
        <w:rPr>
          <w:rFonts w:ascii="Times New Roman" w:hAnsi="Times New Roman" w:eastAsia="等线" w:cs="Times New Roman"/>
        </w:rPr>
        <w:t>Representative</w:t>
      </w:r>
      <w:r>
        <w:rPr>
          <w:rFonts w:hint="eastAsia" w:ascii="Times New Roman" w:hAnsi="Times New Roman" w:cs="Times New Roman"/>
        </w:rPr>
        <w:t xml:space="preserve"> data </w:t>
      </w:r>
      <w:r>
        <w:rPr>
          <w:rFonts w:ascii="Times New Roman" w:hAnsi="Times New Roman" w:cs="Times New Roman"/>
        </w:rPr>
        <w:t>from</w:t>
      </w:r>
      <w:r>
        <w:rPr>
          <w:rFonts w:hint="eastAsia" w:ascii="Times New Roman" w:hAnsi="Times New Roman" w:cs="Times New Roman"/>
        </w:rPr>
        <w:t xml:space="preserve"> three independent experiments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are</w:t>
      </w:r>
      <w:r>
        <w:rPr>
          <w:rFonts w:hint="eastAsia" w:ascii="Times New Roman" w:hAnsi="Times New Roman" w:cs="Times New Roman"/>
        </w:rPr>
        <w:t xml:space="preserve"> shown.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t>*p&lt;0.05.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/>
          <w:iCs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73675" cy="3460115"/>
            <wp:effectExtent l="0" t="0" r="9525" b="19685"/>
            <wp:docPr id="3" name="图片 3" descr="sfi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ig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i/>
          <w:iCs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</w:pP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>Figure S9. T</w:t>
      </w:r>
      <w:r>
        <w:rPr>
          <w:rFonts w:hint="eastAsia" w:ascii="Times New Roman Bold" w:hAnsi="Times New Roman Bold" w:eastAsia="仿宋_GB2312" w:cs="Times New Roman Bold"/>
          <w:b/>
          <w:bCs/>
          <w:color w:val="000000"/>
          <w:sz w:val="21"/>
          <w:szCs w:val="21"/>
          <w:lang w:val="en-US" w:eastAsia="zh-Hans"/>
        </w:rPr>
        <w:t>he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 effects of KAT8 downregulation on growth and metastatic capacity of miR-7-resistant human NSCLC cells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仿宋_GB2312" w:cs="Times New Roman"/>
          <w:color w:val="000000"/>
          <w:sz w:val="21"/>
          <w:szCs w:val="18"/>
          <w:highlight w:val="none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</w:rPr>
        <w:t>(A)</w:t>
      </w:r>
      <w:r>
        <w:rPr>
          <w:rFonts w:hint="default" w:ascii="Times New Roman Regular" w:hAnsi="Times New Roman Regular" w:cs="Times New Roman Regular"/>
          <w:color w:val="auto"/>
        </w:rPr>
        <w:t xml:space="preserve"> Schematic diagram. </w:t>
      </w:r>
      <w:r>
        <w:rPr>
          <w:rFonts w:ascii="Times New Roman" w:hAnsi="Times New Roman" w:cs="Times New Roman"/>
          <w:color w:val="auto"/>
        </w:rPr>
        <w:t>A549/miR-7 cells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was transiently transfected with si-KAT8 or si-NC(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2.5 nM) in 24 well plates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using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Lipofectamine 3000 reagent </w:t>
      </w:r>
      <w:r>
        <w:rPr>
          <w:rFonts w:hint="default" w:ascii="Times New Roman Italic" w:hAnsi="Times New Roman Italic" w:eastAsia="仿宋_GB2312" w:cs="Times New Roman Italic"/>
          <w:b w:val="0"/>
          <w:bCs w:val="0"/>
          <w:i/>
          <w:iCs/>
          <w:color w:val="000000"/>
          <w:sz w:val="21"/>
          <w:szCs w:val="21"/>
          <w:lang w:eastAsia="zh-Hans"/>
        </w:rPr>
        <w:t>in vitro.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(B-C)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48h later, the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cell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proliferation of (A) 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was performed by colony formation assay and calculated. 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(D-E)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The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cell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migration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of (A) </w:t>
      </w:r>
      <w:r>
        <w:rPr>
          <w:rFonts w:ascii="Times New Roman" w:hAnsi="Times New Roman" w:eastAsia="仿宋_GB2312" w:cs="Times New Roman"/>
          <w:color w:val="000000"/>
          <w:szCs w:val="21"/>
        </w:rPr>
        <w:t>was assessed by scratch assay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 and calculated. 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(F)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The mRNA levels of cell-cycle related proteins CDK1, CDK2, CDK4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and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CDK6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a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nd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metas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tasis-related proteins MMP2, MMP9 and CXCR4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in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(A)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 were performed by 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val="en-US" w:eastAsia="zh-Hans"/>
        </w:rPr>
        <w:t>r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eal-time PCR </w:t>
      </w:r>
      <w:r>
        <w:rPr>
          <w:rFonts w:hint="eastAsia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val="en-US" w:eastAsia="zh-Hans"/>
        </w:rPr>
        <w:t>and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 quantitated. </w:t>
      </w:r>
      <w:r>
        <w:rPr>
          <w:rFonts w:ascii="Times New Roman" w:hAnsi="Times New Roman" w:eastAsia="等线" w:cs="Times New Roman"/>
          <w:color w:val="auto"/>
        </w:rPr>
        <w:t>Representative</w:t>
      </w:r>
      <w:r>
        <w:rPr>
          <w:rFonts w:hint="eastAsia" w:ascii="Times New Roman" w:hAnsi="Times New Roman" w:cs="Times New Roman"/>
          <w:color w:val="auto"/>
        </w:rPr>
        <w:t xml:space="preserve"> data </w:t>
      </w:r>
      <w:r>
        <w:rPr>
          <w:rFonts w:hint="default" w:ascii="Times New Roman" w:hAnsi="Times New Roman" w:cs="Times New Roman"/>
          <w:color w:val="auto"/>
        </w:rPr>
        <w:t>from</w:t>
      </w:r>
      <w:r>
        <w:rPr>
          <w:rFonts w:hint="eastAsia" w:ascii="Times New Roman" w:hAnsi="Times New Roman" w:cs="Times New Roman"/>
          <w:color w:val="auto"/>
        </w:rPr>
        <w:t xml:space="preserve"> three independent experiments </w:t>
      </w:r>
      <w:r>
        <w:rPr>
          <w:rFonts w:hint="default" w:ascii="Times New Roman" w:hAnsi="Times New Roman" w:cs="Times New Roman"/>
          <w:color w:val="auto"/>
        </w:rPr>
        <w:t>are</w:t>
      </w:r>
      <w:r>
        <w:rPr>
          <w:rFonts w:hint="eastAsia" w:ascii="Times New Roman" w:hAnsi="Times New Roman" w:cs="Times New Roman"/>
          <w:color w:val="auto"/>
        </w:rPr>
        <w:t xml:space="preserve"> shown.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eastAsia="仿宋_GB2312" w:cs="Times New Roman"/>
          <w:i/>
          <w:iCs/>
          <w:color w:val="000000"/>
          <w:sz w:val="21"/>
          <w:szCs w:val="21"/>
          <w:highlight w:val="none"/>
          <w:lang w:eastAsia="zh-Hans"/>
        </w:rPr>
        <w:t>*p&lt;0.05.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i/>
          <w:iCs/>
          <w:color w:val="000000"/>
          <w:szCs w:val="21"/>
        </w:rPr>
      </w:pPr>
    </w:p>
    <w:p>
      <w:pP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</w:pP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</w:pPr>
      <w:r>
        <w:rPr>
          <w:rFonts w:ascii="Times New Roman" w:hAnsi="Times New Roman" w:eastAsia="仿宋_GB2312" w:cs="Times New Roman"/>
          <w:i/>
          <w:iCs/>
          <w:color w:val="000000"/>
          <w:szCs w:val="21"/>
        </w:rPr>
        <w:drawing>
          <wp:inline distT="0" distB="0" distL="114300" distR="114300">
            <wp:extent cx="5267325" cy="2305685"/>
            <wp:effectExtent l="0" t="0" r="15875" b="5715"/>
            <wp:docPr id="2" name="图片 2" descr="sfi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fig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>Figure S10.</w:t>
      </w:r>
      <w:r>
        <w:rPr>
          <w:rFonts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default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I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ntervention </w:t>
      </w:r>
      <w:r>
        <w:rPr>
          <w:rFonts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of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default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PAX6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 expression improves the inhibitory effect of </w:t>
      </w:r>
      <w:r>
        <w:rPr>
          <w:rFonts w:hint="default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miR-7</w:t>
      </w:r>
      <w:r>
        <w:rPr>
          <w:rFonts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on </w:t>
      </w:r>
      <w:r>
        <w:rPr>
          <w:rFonts w:hint="default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human 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 xml:space="preserve">NSCLC </w:t>
      </w:r>
      <w:r>
        <w:rPr>
          <w:rFonts w:hint="default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cells</w:t>
      </w:r>
      <w:r>
        <w:rPr>
          <w:rFonts w:hint="eastAsia" w:ascii="Times New Roman Bold" w:hAnsi="Times New Roman Bold" w:eastAsia="仿宋_GB2312" w:cs="Times New Roman Bold"/>
          <w:b/>
          <w:bCs/>
          <w:i w:val="0"/>
          <w:iCs w:val="0"/>
          <w:color w:val="000000"/>
          <w:sz w:val="21"/>
          <w:szCs w:val="21"/>
          <w:lang w:eastAsia="zh-Hans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 Bold" w:hAnsi="Times New Roman Bold" w:cs="Times New Roman Bold"/>
          <w:b/>
          <w:bCs/>
          <w:sz w:val="24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H</w:t>
      </w:r>
      <w:r>
        <w:rPr>
          <w:rFonts w:ascii="Times New Roman" w:hAnsi="Times New Roman" w:cs="Times New Roman"/>
          <w:color w:val="auto"/>
        </w:rPr>
        <w:t xml:space="preserve">uman NSCLC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A549 </w:t>
      </w:r>
      <w:r>
        <w:rPr>
          <w:rFonts w:hint="eastAsia" w:ascii="Times New Roman" w:hAnsi="Times New Roman" w:cs="Times New Roman"/>
          <w:color w:val="auto"/>
          <w:lang w:val="en-US" w:eastAsia="zh-Hans"/>
        </w:rPr>
        <w:t>cell</w:t>
      </w:r>
      <w:r>
        <w:rPr>
          <w:rFonts w:hint="default" w:ascii="Times New Roman" w:hAnsi="Times New Roman" w:cs="Times New Roman"/>
          <w:color w:val="auto"/>
          <w:lang w:eastAsia="zh-Hans"/>
        </w:rPr>
        <w:t xml:space="preserve">s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was transiently transfected with miR-7 (2.5 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val="en-US" w:eastAsia="zh-Hans"/>
        </w:rPr>
        <w:t>μg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) or miR-7 (2.5 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val="en-US" w:eastAsia="zh-Hans"/>
        </w:rPr>
        <w:t>μg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) plus PAX6-siRNA (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2.5 nM) in 24 well plates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using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Lipofectamine 3000 reagent for 48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h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. </w:t>
      </w:r>
      <w:r>
        <w:rPr>
          <w:rFonts w:ascii="Times New Roman" w:hAnsi="Times New Roman" w:cs="Times New Roman"/>
          <w:b/>
          <w:bCs/>
          <w:color w:val="auto"/>
        </w:rPr>
        <w:t>(A-B)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The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cell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migration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of 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000000"/>
          <w:sz w:val="21"/>
          <w:szCs w:val="21"/>
          <w:lang w:eastAsia="zh-Hans"/>
        </w:rPr>
        <w:t xml:space="preserve">was performed by scratch assay and calculated. 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(C-D)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WB analysis was performed to detect the protein levels of PAX6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and metastasis related molecul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e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Vimentin and PI3K/AKT, MAPK pathway-related molecules PI3K,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p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-PI3K, R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as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, ERK1/2,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p-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ERK1/2, PDK1, AKT,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p-AKT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and calculated</w:t>
      </w:r>
      <w:r>
        <w:rPr>
          <w:rFonts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. (E)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The transcription level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s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of PAX6 and cell-cycle related CDK1, CDK2, CDK4 and CDK6, as well as metastasis related molecul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e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s MMP2, MMP9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and CXCR4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were detected by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r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eal-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Hans"/>
        </w:rPr>
        <w:t>time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 xml:space="preserve"> PCR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CN"/>
        </w:rPr>
        <w:t>quantitated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1"/>
          <w:szCs w:val="21"/>
          <w:lang w:eastAsia="zh-Hans"/>
        </w:rPr>
        <w:t>.</w:t>
      </w:r>
      <w:r>
        <w:rPr>
          <w:rFonts w:hint="default" w:ascii="Times New Roman Bold" w:hAnsi="Times New Roman Bold" w:eastAsia="仿宋_GB2312" w:cs="Times New Roman Bold"/>
          <w:b/>
          <w:bCs/>
          <w:color w:val="000000"/>
          <w:sz w:val="21"/>
          <w:szCs w:val="21"/>
          <w:lang w:eastAsia="zh-Hans"/>
        </w:rPr>
        <w:t xml:space="preserve"> </w:t>
      </w:r>
      <w:r>
        <w:rPr>
          <w:rFonts w:ascii="Times New Roman" w:hAnsi="Times New Roman" w:eastAsia="等线" w:cs="Times New Roman"/>
          <w:color w:val="auto"/>
        </w:rPr>
        <w:t>Representative</w:t>
      </w:r>
      <w:r>
        <w:rPr>
          <w:rFonts w:hint="eastAsia" w:ascii="Times New Roman" w:hAnsi="Times New Roman" w:cs="Times New Roman"/>
          <w:color w:val="auto"/>
        </w:rPr>
        <w:t xml:space="preserve"> data </w:t>
      </w:r>
      <w:r>
        <w:rPr>
          <w:rFonts w:hint="default" w:ascii="Times New Roman" w:hAnsi="Times New Roman" w:cs="Times New Roman"/>
          <w:color w:val="auto"/>
        </w:rPr>
        <w:t>from</w:t>
      </w:r>
      <w:r>
        <w:rPr>
          <w:rFonts w:hint="eastAsia" w:ascii="Times New Roman" w:hAnsi="Times New Roman" w:cs="Times New Roman"/>
          <w:color w:val="auto"/>
        </w:rPr>
        <w:t xml:space="preserve"> three independent experiments </w:t>
      </w:r>
      <w:r>
        <w:rPr>
          <w:rFonts w:hint="default" w:ascii="Times New Roman" w:hAnsi="Times New Roman" w:cs="Times New Roman"/>
          <w:color w:val="auto"/>
        </w:rPr>
        <w:t>are</w:t>
      </w:r>
      <w:r>
        <w:rPr>
          <w:rFonts w:hint="eastAsia" w:ascii="Times New Roman" w:hAnsi="Times New Roman" w:cs="Times New Roman"/>
          <w:color w:val="auto"/>
        </w:rPr>
        <w:t xml:space="preserve"> shown. </w:t>
      </w:r>
      <w:r>
        <w:rPr>
          <w:rFonts w:hint="default" w:ascii="Times New Roman Italic" w:hAnsi="Times New Roman Italic" w:cs="Times New Roman Italic"/>
          <w:i/>
          <w:iCs/>
          <w:color w:val="auto"/>
        </w:rPr>
        <w:t>NS, no significance,* P&lt;0.05</w:t>
      </w:r>
    </w:p>
    <w:p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swiss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B2F0"/>
    <w:rsid w:val="5CFFCC5D"/>
    <w:rsid w:val="6FFD9719"/>
    <w:rsid w:val="777FFF3A"/>
    <w:rsid w:val="FBDFB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Office_4.2.0.6720_F1E327BC-269C-435d-A152-05C5408002CA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2022-05-05T08:59:00Z</dcterms:created>
  <dc:creator>mixx</dc:creator>
  <cp:lastModifiedBy>mixx</cp:lastModifiedBy>
  <dcterms:modified xsi:type="dcterms:W3CDTF">2022-05-10T21:55:47Z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2052-4.2.0.6720</vt:lpwstr>
  </property>
  <property fmtid="{D5CDD505-2E9C-101B-9397-08002B2CF9AE}" pid="3" name="ICV">
    <vt:lpwstr>4ADE702D09A3A1385F4072624596B520</vt:lpwstr>
  </property>
</Properties>
</file>