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0EDE" w14:textId="77777777" w:rsidR="00533783" w:rsidRDefault="00533783" w:rsidP="00533783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Figure 1:</w:t>
      </w:r>
      <w:r>
        <w:rPr>
          <w:rFonts w:ascii="Arial" w:hAnsi="Arial" w:cs="Arial"/>
          <w:b/>
          <w:bCs/>
        </w:rPr>
        <w:tab/>
      </w:r>
      <w:r w:rsidRPr="00355719">
        <w:rPr>
          <w:rFonts w:ascii="Arial" w:hAnsi="Arial" w:cs="Arial"/>
          <w:b/>
          <w:bCs/>
        </w:rPr>
        <w:t xml:space="preserve">Antibodies used and </w:t>
      </w:r>
      <w:proofErr w:type="spellStart"/>
      <w:r w:rsidRPr="00355719">
        <w:rPr>
          <w:rFonts w:ascii="Arial" w:hAnsi="Arial" w:cs="Arial"/>
          <w:b/>
          <w:bCs/>
          <w:color w:val="000000" w:themeColor="text1"/>
        </w:rPr>
        <w:t>Cytek</w:t>
      </w:r>
      <w:proofErr w:type="spellEnd"/>
      <w:r w:rsidRPr="00355719">
        <w:rPr>
          <w:rFonts w:ascii="Arial" w:hAnsi="Arial" w:cs="Arial"/>
          <w:b/>
          <w:bCs/>
          <w:color w:val="000000" w:themeColor="text1"/>
        </w:rPr>
        <w:t>®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355719">
        <w:rPr>
          <w:rFonts w:ascii="Arial" w:hAnsi="Arial" w:cs="Arial"/>
          <w:b/>
          <w:bCs/>
          <w:color w:val="000000" w:themeColor="text1"/>
        </w:rPr>
        <w:t>Full Spectrum Viewer showing calculated similarity indi</w:t>
      </w:r>
      <w:r>
        <w:rPr>
          <w:rFonts w:ascii="Arial" w:hAnsi="Arial" w:cs="Arial"/>
          <w:b/>
          <w:bCs/>
          <w:color w:val="000000" w:themeColor="text1"/>
        </w:rPr>
        <w:t>ces</w:t>
      </w:r>
      <w:r w:rsidRPr="00355719">
        <w:rPr>
          <w:rFonts w:ascii="Arial" w:hAnsi="Arial" w:cs="Arial"/>
          <w:b/>
          <w:bCs/>
          <w:color w:val="000000" w:themeColor="text1"/>
        </w:rPr>
        <w:t>.</w:t>
      </w:r>
    </w:p>
    <w:p w14:paraId="269C273A" w14:textId="77777777" w:rsidR="00533783" w:rsidRDefault="00533783" w:rsidP="00533783">
      <w:pPr>
        <w:spacing w:line="480" w:lineRule="auto"/>
        <w:rPr>
          <w:rFonts w:ascii="Arial" w:hAnsi="Arial" w:cs="Arial"/>
          <w:b/>
          <w:bCs/>
        </w:rPr>
      </w:pPr>
    </w:p>
    <w:p w14:paraId="4F99A7F9" w14:textId="77777777" w:rsidR="00533783" w:rsidRPr="006230EF" w:rsidRDefault="00533783" w:rsidP="0053378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Figure 2:</w:t>
      </w:r>
      <w:r>
        <w:rPr>
          <w:rFonts w:ascii="Arial" w:hAnsi="Arial" w:cs="Arial"/>
          <w:b/>
          <w:bCs/>
        </w:rPr>
        <w:tab/>
        <w:t xml:space="preserve">Morphology and proliferation of lactotroph, somatotroph and gonadotroph </w:t>
      </w:r>
      <w:proofErr w:type="spellStart"/>
      <w:r>
        <w:rPr>
          <w:rFonts w:ascii="Arial" w:hAnsi="Arial" w:cs="Arial"/>
          <w:b/>
          <w:bCs/>
        </w:rPr>
        <w:t>hPITOs</w:t>
      </w:r>
      <w:proofErr w:type="spellEnd"/>
      <w:r>
        <w:rPr>
          <w:rFonts w:ascii="Arial" w:hAnsi="Arial" w:cs="Arial"/>
          <w:b/>
          <w:bCs/>
        </w:rPr>
        <w:t xml:space="preserve">.  (a) </w:t>
      </w:r>
      <w:r>
        <w:rPr>
          <w:rFonts w:ascii="Arial" w:hAnsi="Arial" w:cs="Arial"/>
        </w:rPr>
        <w:t xml:space="preserve">Brightfield images, and </w:t>
      </w:r>
      <w:r>
        <w:rPr>
          <w:rFonts w:ascii="Arial" w:hAnsi="Arial" w:cs="Arial"/>
          <w:b/>
          <w:bCs/>
        </w:rPr>
        <w:t xml:space="preserve">(b) </w:t>
      </w:r>
      <w:r>
        <w:rPr>
          <w:rFonts w:ascii="Arial" w:hAnsi="Arial" w:cs="Arial"/>
        </w:rPr>
        <w:t xml:space="preserve">immunofluorescence staining using antibodies specific for </w:t>
      </w:r>
      <w:proofErr w:type="spellStart"/>
      <w:r>
        <w:rPr>
          <w:rFonts w:ascii="Arial" w:hAnsi="Arial" w:cs="Arial"/>
        </w:rPr>
        <w:t>EdU</w:t>
      </w:r>
      <w:proofErr w:type="spellEnd"/>
      <w:r>
        <w:rPr>
          <w:rFonts w:ascii="Arial" w:hAnsi="Arial" w:cs="Arial"/>
        </w:rPr>
        <w:t xml:space="preserve"> (magenta) of organoid cultures generated from patients diagnosed </w:t>
      </w:r>
      <w:r w:rsidRPr="005C70DA">
        <w:rPr>
          <w:rFonts w:ascii="Arial" w:hAnsi="Arial" w:cs="Arial"/>
        </w:rPr>
        <w:t>with lactotroph, somatotroph and gonadotroph adenomas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b/>
          <w:bCs/>
        </w:rPr>
        <w:t xml:space="preserve">(c) </w:t>
      </w:r>
      <w:r>
        <w:rPr>
          <w:rFonts w:ascii="Arial" w:hAnsi="Arial" w:cs="Arial"/>
        </w:rPr>
        <w:t>Quantification of %</w:t>
      </w:r>
      <w:proofErr w:type="spellStart"/>
      <w:r>
        <w:rPr>
          <w:rFonts w:ascii="Arial" w:hAnsi="Arial" w:cs="Arial"/>
        </w:rPr>
        <w:t>EdU</w:t>
      </w:r>
      <w:proofErr w:type="spellEnd"/>
      <w:r>
        <w:rPr>
          <w:rFonts w:ascii="Arial" w:hAnsi="Arial" w:cs="Arial"/>
        </w:rPr>
        <w:t xml:space="preserve"> positive cells/ total cell number is shown and compared to</w:t>
      </w:r>
      <w:r w:rsidRPr="009A2ABB">
        <w:rPr>
          <w:rFonts w:ascii="Arial" w:hAnsi="Arial" w:cs="Arial"/>
          <w:color w:val="000000" w:themeColor="text1"/>
        </w:rPr>
        <w:t xml:space="preserve"> the Ki67 score given in the pathology report.</w:t>
      </w:r>
    </w:p>
    <w:p w14:paraId="54CDD55F" w14:textId="77777777" w:rsidR="00533783" w:rsidRDefault="00533783" w:rsidP="00533783">
      <w:pPr>
        <w:spacing w:line="480" w:lineRule="auto"/>
        <w:rPr>
          <w:rFonts w:ascii="Arial" w:hAnsi="Arial" w:cs="Arial"/>
          <w:b/>
          <w:bCs/>
        </w:rPr>
      </w:pPr>
    </w:p>
    <w:p w14:paraId="777F7626" w14:textId="77777777" w:rsidR="00533783" w:rsidRPr="007B1A54" w:rsidRDefault="00533783" w:rsidP="00533783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Figure 3:</w:t>
      </w:r>
      <w:r>
        <w:rPr>
          <w:rFonts w:ascii="Arial" w:hAnsi="Arial" w:cs="Arial"/>
          <w:b/>
          <w:bCs/>
        </w:rPr>
        <w:tab/>
      </w:r>
      <w:proofErr w:type="spellStart"/>
      <w:r w:rsidRPr="00521088">
        <w:rPr>
          <w:rFonts w:ascii="Arial" w:hAnsi="Arial" w:cs="Arial"/>
          <w:b/>
          <w:bCs/>
        </w:rPr>
        <w:t>KaryoStat</w:t>
      </w:r>
      <w:proofErr w:type="spellEnd"/>
      <w:r w:rsidRPr="00521088">
        <w:rPr>
          <w:rFonts w:ascii="Arial" w:hAnsi="Arial" w:cs="Arial"/>
          <w:b/>
          <w:bCs/>
        </w:rPr>
        <w:t>™ analysis</w:t>
      </w:r>
      <w:r>
        <w:rPr>
          <w:rFonts w:ascii="Arial" w:hAnsi="Arial" w:cs="Arial"/>
          <w:b/>
          <w:bCs/>
        </w:rPr>
        <w:t xml:space="preserve"> of (a) iPSC</w:t>
      </w:r>
      <w:r w:rsidRPr="00521088">
        <w:rPr>
          <w:rFonts w:ascii="Arial" w:hAnsi="Arial" w:cs="Arial"/>
          <w:b/>
          <w:bCs/>
          <w:vertAlign w:val="superscript"/>
        </w:rPr>
        <w:t>CDH23</w:t>
      </w:r>
      <w:r>
        <w:rPr>
          <w:rFonts w:ascii="Arial" w:hAnsi="Arial" w:cs="Arial"/>
          <w:b/>
          <w:bCs/>
        </w:rPr>
        <w:t xml:space="preserve"> and (b) iPSC</w:t>
      </w:r>
      <w:r w:rsidRPr="00521088">
        <w:rPr>
          <w:rFonts w:ascii="Arial" w:hAnsi="Arial" w:cs="Arial"/>
          <w:b/>
          <w:bCs/>
          <w:vertAlign w:val="superscript"/>
        </w:rPr>
        <w:t>MEN1</w:t>
      </w:r>
      <w:r>
        <w:rPr>
          <w:rFonts w:ascii="Arial" w:hAnsi="Arial" w:cs="Arial"/>
          <w:b/>
          <w:bCs/>
        </w:rPr>
        <w:t xml:space="preserve"> lines. </w:t>
      </w:r>
      <w:r w:rsidRPr="002B781C">
        <w:rPr>
          <w:rFonts w:ascii="Arial" w:hAnsi="Arial" w:cs="Arial"/>
        </w:rPr>
        <w:t xml:space="preserve">No chromosomal aberrations were found </w:t>
      </w:r>
      <w:r>
        <w:rPr>
          <w:rFonts w:ascii="Arial" w:hAnsi="Arial" w:cs="Arial"/>
        </w:rPr>
        <w:t xml:space="preserve">in either line </w:t>
      </w:r>
      <w:r w:rsidRPr="002B781C">
        <w:rPr>
          <w:rFonts w:ascii="Arial" w:hAnsi="Arial" w:cs="Arial"/>
        </w:rPr>
        <w:t>when comparing against the reference dataset.</w:t>
      </w:r>
    </w:p>
    <w:p w14:paraId="6FE48B6F" w14:textId="77777777" w:rsidR="00533783" w:rsidRDefault="00533783" w:rsidP="00533783">
      <w:pPr>
        <w:spacing w:line="480" w:lineRule="auto"/>
        <w:rPr>
          <w:rFonts w:ascii="Arial" w:hAnsi="Arial" w:cs="Arial"/>
          <w:b/>
          <w:bCs/>
        </w:rPr>
      </w:pPr>
    </w:p>
    <w:p w14:paraId="2DC61670" w14:textId="77777777" w:rsidR="00533783" w:rsidRPr="009A145B" w:rsidRDefault="00533783" w:rsidP="00533783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Figure 4:</w:t>
      </w:r>
      <w:r>
        <w:rPr>
          <w:rFonts w:ascii="Arial" w:hAnsi="Arial" w:cs="Arial"/>
          <w:b/>
          <w:bCs/>
        </w:rPr>
        <w:tab/>
      </w:r>
      <w:r w:rsidRPr="009A145B">
        <w:rPr>
          <w:rFonts w:ascii="Arial" w:hAnsi="Arial" w:cs="Arial"/>
          <w:b/>
          <w:bCs/>
        </w:rPr>
        <w:t xml:space="preserve">Differentiation schedule for the generation of pituitary organoids derived from iPSCs.  </w:t>
      </w:r>
      <w:r w:rsidRPr="009A145B">
        <w:rPr>
          <w:rFonts w:ascii="Arial" w:hAnsi="Arial" w:cs="Arial"/>
        </w:rPr>
        <w:t xml:space="preserve">Pituitary organoids were generated based on the outlined schedule using iPSCs generated from PBMCs collected from CD patients, or </w:t>
      </w:r>
      <w:r>
        <w:rPr>
          <w:rFonts w:ascii="Arial" w:hAnsi="Arial" w:cs="Arial"/>
        </w:rPr>
        <w:t>a healthy individual</w:t>
      </w:r>
      <w:r w:rsidRPr="009A145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Pr="009A145B">
        <w:rPr>
          <w:rFonts w:ascii="Arial" w:hAnsi="Arial" w:cs="Arial"/>
        </w:rPr>
        <w:t xml:space="preserve">Bright field images demonstrating morphological variation is observed between </w:t>
      </w:r>
      <w:proofErr w:type="spellStart"/>
      <w:r w:rsidRPr="009A145B">
        <w:rPr>
          <w:rFonts w:ascii="Arial" w:hAnsi="Arial" w:cs="Arial"/>
        </w:rPr>
        <w:t>iPSC</w:t>
      </w:r>
      <w:r w:rsidRPr="009A145B">
        <w:rPr>
          <w:rFonts w:ascii="Arial" w:hAnsi="Arial" w:cs="Arial"/>
          <w:vertAlign w:val="superscript"/>
        </w:rPr>
        <w:t>ctrl</w:t>
      </w:r>
      <w:proofErr w:type="spellEnd"/>
      <w:r>
        <w:rPr>
          <w:rFonts w:ascii="Arial" w:hAnsi="Arial" w:cs="Arial"/>
        </w:rPr>
        <w:t xml:space="preserve"> and iPSC</w:t>
      </w:r>
      <w:r w:rsidRPr="009A145B">
        <w:rPr>
          <w:rFonts w:ascii="Arial" w:hAnsi="Arial" w:cs="Arial"/>
          <w:vertAlign w:val="superscript"/>
        </w:rPr>
        <w:t>CDH23</w:t>
      </w:r>
      <w:r w:rsidRPr="009A145B">
        <w:rPr>
          <w:rFonts w:ascii="Arial" w:hAnsi="Arial" w:cs="Arial"/>
        </w:rPr>
        <w:t xml:space="preserve"> lines and organoids.</w:t>
      </w:r>
    </w:p>
    <w:p w14:paraId="23579CEF" w14:textId="77777777" w:rsidR="00533783" w:rsidRPr="009A145B" w:rsidRDefault="00533783" w:rsidP="0053378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32C32EB" w14:textId="77777777" w:rsidR="00533783" w:rsidRPr="009A2ABB" w:rsidRDefault="00533783" w:rsidP="00533783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9A2ABB">
        <w:rPr>
          <w:rFonts w:ascii="Arial" w:hAnsi="Arial" w:cs="Arial"/>
          <w:b/>
          <w:bCs/>
          <w:color w:val="000000" w:themeColor="text1"/>
        </w:rPr>
        <w:t>Supplemental Figure 5:</w:t>
      </w:r>
      <w:r w:rsidRPr="009A2ABB"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b/>
          <w:bCs/>
          <w:color w:val="000000" w:themeColor="text1"/>
        </w:rPr>
        <w:t>F</w:t>
      </w:r>
      <w:r w:rsidRPr="009A2ABB">
        <w:rPr>
          <w:rFonts w:ascii="Arial" w:hAnsi="Arial" w:cs="Arial"/>
          <w:b/>
          <w:bCs/>
          <w:color w:val="000000" w:themeColor="text1"/>
        </w:rPr>
        <w:t xml:space="preserve">amilial germline mutations found in </w:t>
      </w:r>
      <w:r>
        <w:rPr>
          <w:rFonts w:ascii="Arial" w:hAnsi="Arial" w:cs="Arial"/>
          <w:b/>
          <w:bCs/>
          <w:color w:val="000000" w:themeColor="text1"/>
        </w:rPr>
        <w:t>CD</w:t>
      </w:r>
      <w:r w:rsidRPr="009A2ABB">
        <w:rPr>
          <w:rFonts w:ascii="Arial" w:hAnsi="Arial" w:cs="Arial"/>
          <w:b/>
          <w:bCs/>
          <w:color w:val="000000" w:themeColor="text1"/>
        </w:rPr>
        <w:t xml:space="preserve"> patients</w:t>
      </w:r>
      <w:r>
        <w:rPr>
          <w:rFonts w:ascii="Arial" w:hAnsi="Arial" w:cs="Arial"/>
          <w:b/>
          <w:bCs/>
          <w:color w:val="000000" w:themeColor="text1"/>
        </w:rPr>
        <w:t xml:space="preserve"> for the generation of iPSC lines</w:t>
      </w:r>
      <w:r w:rsidRPr="009A2ABB">
        <w:rPr>
          <w:rFonts w:ascii="Arial" w:hAnsi="Arial" w:cs="Arial"/>
          <w:b/>
          <w:bCs/>
          <w:color w:val="000000" w:themeColor="text1"/>
        </w:rPr>
        <w:t>.</w:t>
      </w:r>
      <w:r w:rsidRPr="009A2ABB">
        <w:rPr>
          <w:rFonts w:ascii="Arial" w:hAnsi="Arial" w:cs="Arial"/>
          <w:color w:val="000000" w:themeColor="text1"/>
        </w:rPr>
        <w:t xml:space="preserve"> </w:t>
      </w:r>
      <w:r w:rsidRPr="009A2ABB">
        <w:rPr>
          <w:rFonts w:ascii="Arial" w:hAnsi="Arial" w:cs="Arial"/>
          <w:b/>
          <w:bCs/>
          <w:color w:val="000000" w:themeColor="text1"/>
        </w:rPr>
        <w:t>(</w:t>
      </w:r>
      <w:r>
        <w:rPr>
          <w:rFonts w:ascii="Arial" w:hAnsi="Arial" w:cs="Arial"/>
          <w:b/>
          <w:bCs/>
          <w:color w:val="000000" w:themeColor="text1"/>
        </w:rPr>
        <w:t>a</w:t>
      </w:r>
      <w:r w:rsidRPr="009A2ABB">
        <w:rPr>
          <w:rFonts w:ascii="Arial" w:hAnsi="Arial" w:cs="Arial"/>
          <w:b/>
          <w:bCs/>
          <w:color w:val="000000" w:themeColor="text1"/>
        </w:rPr>
        <w:t xml:space="preserve">) </w:t>
      </w:r>
      <w:r w:rsidRPr="009A2ABB">
        <w:rPr>
          <w:rFonts w:ascii="Arial" w:hAnsi="Arial" w:cs="Arial"/>
          <w:color w:val="000000" w:themeColor="text1"/>
        </w:rPr>
        <w:t xml:space="preserve">Amino acid and nucleotide sequence for the germline MEN1 L444P mutation, in exon 9. Also shown are the gene coordinates in the whole </w:t>
      </w:r>
      <w:r w:rsidRPr="009A2ABB">
        <w:rPr>
          <w:rFonts w:ascii="Arial" w:hAnsi="Arial" w:cs="Arial"/>
          <w:color w:val="000000" w:themeColor="text1"/>
        </w:rPr>
        <w:lastRenderedPageBreak/>
        <w:t xml:space="preserve">MEN1 gene for the subsequence present. </w:t>
      </w:r>
      <w:r>
        <w:rPr>
          <w:rFonts w:ascii="Arial" w:hAnsi="Arial" w:cs="Arial"/>
          <w:color w:val="000000" w:themeColor="text1"/>
        </w:rPr>
        <w:t xml:space="preserve"> </w:t>
      </w:r>
      <w:r w:rsidRPr="009A2ABB">
        <w:rPr>
          <w:rFonts w:ascii="Arial" w:hAnsi="Arial" w:cs="Arial"/>
          <w:b/>
          <w:bCs/>
          <w:color w:val="000000" w:themeColor="text1"/>
        </w:rPr>
        <w:t>(b)</w:t>
      </w:r>
      <w:r w:rsidRPr="009A2ABB">
        <w:rPr>
          <w:rFonts w:ascii="Arial" w:hAnsi="Arial" w:cs="Arial"/>
          <w:color w:val="000000" w:themeColor="text1"/>
        </w:rPr>
        <w:t xml:space="preserve"> Restriction Fragment Length Polymorphism (RFLP) validation to confirm that iPSC</w:t>
      </w:r>
      <w:r w:rsidRPr="009A2ABB">
        <w:rPr>
          <w:rFonts w:ascii="Arial" w:hAnsi="Arial" w:cs="Arial"/>
          <w:color w:val="000000" w:themeColor="text1"/>
          <w:vertAlign w:val="superscript"/>
        </w:rPr>
        <w:t>MEN1</w:t>
      </w:r>
      <w:r w:rsidRPr="009A2ABB">
        <w:rPr>
          <w:rFonts w:ascii="Arial" w:hAnsi="Arial" w:cs="Arial"/>
          <w:color w:val="000000" w:themeColor="text1"/>
        </w:rPr>
        <w:t xml:space="preserve"> harbored the correct mutation compared to control. Gel images compared undigested (U) DNA to samples digested with the restriction enzyme </w:t>
      </w:r>
      <w:proofErr w:type="spellStart"/>
      <w:r w:rsidRPr="009A2ABB">
        <w:rPr>
          <w:rFonts w:ascii="Arial" w:hAnsi="Arial" w:cs="Arial"/>
          <w:color w:val="000000" w:themeColor="text1"/>
        </w:rPr>
        <w:t>EcoRII</w:t>
      </w:r>
      <w:proofErr w:type="spellEnd"/>
      <w:r w:rsidRPr="009A2ABB">
        <w:rPr>
          <w:rFonts w:ascii="Arial" w:hAnsi="Arial" w:cs="Arial"/>
          <w:color w:val="000000" w:themeColor="text1"/>
        </w:rPr>
        <w:t xml:space="preserve"> (E). The MEN1 mutation introduced 2 new </w:t>
      </w:r>
      <w:proofErr w:type="spellStart"/>
      <w:r w:rsidRPr="009A2ABB">
        <w:rPr>
          <w:rFonts w:ascii="Arial" w:hAnsi="Arial" w:cs="Arial"/>
          <w:color w:val="000000" w:themeColor="text1"/>
        </w:rPr>
        <w:t>EcoRII</w:t>
      </w:r>
      <w:proofErr w:type="spellEnd"/>
      <w:r w:rsidRPr="009A2ABB">
        <w:rPr>
          <w:rFonts w:ascii="Arial" w:hAnsi="Arial" w:cs="Arial"/>
          <w:color w:val="000000" w:themeColor="text1"/>
        </w:rPr>
        <w:t xml:space="preserve"> sites, which is present in the iPSC</w:t>
      </w:r>
      <w:r w:rsidRPr="009A2ABB">
        <w:rPr>
          <w:rFonts w:ascii="Arial" w:hAnsi="Arial" w:cs="Arial"/>
          <w:color w:val="000000" w:themeColor="text1"/>
          <w:vertAlign w:val="superscript"/>
        </w:rPr>
        <w:t>MEN1</w:t>
      </w:r>
      <w:r w:rsidRPr="009A2ABB">
        <w:rPr>
          <w:rFonts w:ascii="Arial" w:hAnsi="Arial" w:cs="Arial"/>
          <w:color w:val="000000" w:themeColor="text1"/>
        </w:rPr>
        <w:t xml:space="preserve"> gel. </w:t>
      </w:r>
      <w:proofErr w:type="spellStart"/>
      <w:proofErr w:type="gramStart"/>
      <w:r w:rsidRPr="009A2ABB">
        <w:rPr>
          <w:rFonts w:ascii="Arial" w:hAnsi="Arial" w:cs="Arial"/>
          <w:color w:val="000000" w:themeColor="text1"/>
        </w:rPr>
        <w:t>iPSC</w:t>
      </w:r>
      <w:r w:rsidRPr="009A2ABB">
        <w:rPr>
          <w:rFonts w:ascii="Arial" w:hAnsi="Arial" w:cs="Arial"/>
          <w:color w:val="000000" w:themeColor="text1"/>
          <w:vertAlign w:val="superscript"/>
        </w:rPr>
        <w:t>Ctrl</w:t>
      </w:r>
      <w:proofErr w:type="spellEnd"/>
      <w:r w:rsidRPr="009A2ABB">
        <w:rPr>
          <w:rFonts w:ascii="Arial" w:hAnsi="Arial" w:cs="Arial"/>
          <w:color w:val="000000" w:themeColor="text1"/>
        </w:rPr>
        <w:t xml:space="preserve">  displayed</w:t>
      </w:r>
      <w:proofErr w:type="gramEnd"/>
      <w:r w:rsidRPr="009A2ABB">
        <w:rPr>
          <w:rFonts w:ascii="Arial" w:hAnsi="Arial" w:cs="Arial"/>
          <w:color w:val="000000" w:themeColor="text1"/>
        </w:rPr>
        <w:t xml:space="preserve"> no separation of bands in digested versus undigested samples. 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(c)</w:t>
      </w:r>
      <w:r w:rsidRPr="009A2ABB">
        <w:rPr>
          <w:rFonts w:ascii="Arial" w:hAnsi="Arial" w:cs="Arial"/>
          <w:color w:val="000000" w:themeColor="text1"/>
        </w:rPr>
        <w:t xml:space="preserve"> Amino acid and nucleotide sequence for two germline CDH23 mutations, G490A (exon 15) and A1222T (exon 31) observed in iPSC</w:t>
      </w:r>
      <w:r w:rsidRPr="009A2ABB">
        <w:rPr>
          <w:rFonts w:ascii="Arial" w:hAnsi="Arial" w:cs="Arial"/>
          <w:color w:val="000000" w:themeColor="text1"/>
          <w:vertAlign w:val="superscript"/>
        </w:rPr>
        <w:t>CDH23</w:t>
      </w:r>
      <w:r w:rsidRPr="009A2ABB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 xml:space="preserve"> </w:t>
      </w:r>
      <w:r w:rsidRPr="009A2ABB">
        <w:rPr>
          <w:rFonts w:ascii="Arial" w:hAnsi="Arial" w:cs="Arial"/>
          <w:color w:val="000000" w:themeColor="text1"/>
        </w:rPr>
        <w:t>Also shown are</w:t>
      </w:r>
      <w:r w:rsidRPr="009A2ABB">
        <w:rPr>
          <w:rFonts w:ascii="Arial" w:hAnsi="Arial" w:cs="Arial"/>
          <w:b/>
          <w:bCs/>
          <w:color w:val="000000" w:themeColor="text1"/>
        </w:rPr>
        <w:t xml:space="preserve"> </w:t>
      </w:r>
      <w:r w:rsidRPr="009A2ABB">
        <w:rPr>
          <w:rFonts w:ascii="Arial" w:hAnsi="Arial" w:cs="Arial"/>
          <w:color w:val="000000" w:themeColor="text1"/>
        </w:rPr>
        <w:t>the gene coordinates in the entire CDH23 gene for the subsections present.</w:t>
      </w:r>
    </w:p>
    <w:p w14:paraId="01AA671F" w14:textId="77777777" w:rsidR="00533783" w:rsidRDefault="00533783" w:rsidP="00533783">
      <w:pPr>
        <w:spacing w:line="480" w:lineRule="auto"/>
        <w:rPr>
          <w:rFonts w:ascii="Arial" w:hAnsi="Arial" w:cs="Arial"/>
          <w:b/>
          <w:bCs/>
        </w:rPr>
      </w:pPr>
    </w:p>
    <w:p w14:paraId="0142CC95" w14:textId="77777777" w:rsidR="00533783" w:rsidRDefault="00533783" w:rsidP="00533783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</w:rPr>
        <w:t xml:space="preserve">Supplemental </w:t>
      </w:r>
      <w:r w:rsidRPr="00A454D1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/>
          <w:b/>
          <w:bCs/>
        </w:rPr>
        <w:t>6</w:t>
      </w:r>
      <w:r w:rsidRPr="00A454D1">
        <w:rPr>
          <w:rFonts w:ascii="Arial" w:hAnsi="Arial" w:cs="Arial"/>
          <w:b/>
          <w:bCs/>
        </w:rPr>
        <w:t>:</w:t>
      </w:r>
      <w:r w:rsidRPr="00A454D1">
        <w:rPr>
          <w:rFonts w:ascii="Arial" w:hAnsi="Arial" w:cs="Arial"/>
          <w:b/>
          <w:bCs/>
        </w:rPr>
        <w:tab/>
      </w:r>
      <w:r w:rsidRPr="00A454D1">
        <w:rPr>
          <w:rFonts w:ascii="Arial" w:hAnsi="Arial" w:cs="Arial"/>
          <w:b/>
          <w:bCs/>
          <w:color w:val="000000" w:themeColor="text1"/>
        </w:rPr>
        <w:t xml:space="preserve">Expression pattern of major hormone-producing cell lineages in iPSCs differentiated to pituitary </w:t>
      </w:r>
      <w:r>
        <w:rPr>
          <w:rFonts w:ascii="Arial" w:hAnsi="Arial" w:cs="Arial"/>
          <w:b/>
          <w:bCs/>
          <w:color w:val="000000" w:themeColor="text1"/>
        </w:rPr>
        <w:t>organoids</w:t>
      </w:r>
      <w:r w:rsidRPr="00A454D1">
        <w:rPr>
          <w:rFonts w:ascii="Arial" w:hAnsi="Arial" w:cs="Arial"/>
          <w:b/>
          <w:bCs/>
          <w:color w:val="000000" w:themeColor="text1"/>
        </w:rPr>
        <w:t xml:space="preserve">.  </w:t>
      </w:r>
      <w:r w:rsidRPr="00A454D1">
        <w:rPr>
          <w:rFonts w:ascii="Arial" w:hAnsi="Arial" w:cs="Arial"/>
          <w:color w:val="000000" w:themeColor="text1"/>
        </w:rPr>
        <w:t>Expression of PIT-1 (green), ACTH (green), GH (red), FSH (red), LH (green), PRL (red) and synaptophysin (</w:t>
      </w:r>
      <w:proofErr w:type="spellStart"/>
      <w:r w:rsidRPr="00A454D1">
        <w:rPr>
          <w:rFonts w:ascii="Arial" w:hAnsi="Arial" w:cs="Arial"/>
          <w:color w:val="000000" w:themeColor="text1"/>
        </w:rPr>
        <w:t>synapto</w:t>
      </w:r>
      <w:proofErr w:type="spellEnd"/>
      <w:r w:rsidRPr="00A454D1">
        <w:rPr>
          <w:rFonts w:ascii="Arial" w:hAnsi="Arial" w:cs="Arial"/>
          <w:color w:val="000000" w:themeColor="text1"/>
        </w:rPr>
        <w:t>, green) with co-stain Hoechst (nuclei, blue)</w:t>
      </w:r>
      <w:r w:rsidRPr="00A454D1">
        <w:rPr>
          <w:rFonts w:ascii="Arial" w:hAnsi="Arial" w:cs="Arial"/>
          <w:b/>
          <w:bCs/>
          <w:color w:val="000000" w:themeColor="text1"/>
        </w:rPr>
        <w:t xml:space="preserve"> </w:t>
      </w:r>
      <w:r w:rsidRPr="00A454D1">
        <w:rPr>
          <w:rFonts w:ascii="Arial" w:hAnsi="Arial" w:cs="Arial"/>
          <w:color w:val="000000" w:themeColor="text1"/>
        </w:rPr>
        <w:t>was measured by immunofluorescence using chamber slides collected at day 15 (D15) of the differentiation schedule of control iPSCs (</w:t>
      </w:r>
      <w:proofErr w:type="spellStart"/>
      <w:r>
        <w:rPr>
          <w:rFonts w:ascii="Arial" w:hAnsi="Arial" w:cs="Arial"/>
          <w:color w:val="000000" w:themeColor="text1"/>
        </w:rPr>
        <w:t>iPSC</w:t>
      </w:r>
      <w:r w:rsidRPr="00A454D1">
        <w:rPr>
          <w:rFonts w:ascii="Arial" w:hAnsi="Arial" w:cs="Arial"/>
          <w:color w:val="000000" w:themeColor="text1"/>
          <w:vertAlign w:val="superscript"/>
        </w:rPr>
        <w:t>ctrl</w:t>
      </w:r>
      <w:proofErr w:type="spellEnd"/>
      <w:r w:rsidRPr="00A454D1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b/>
          <w:bCs/>
          <w:color w:val="000000" w:themeColor="text1"/>
        </w:rPr>
        <w:t>a, b</w:t>
      </w:r>
      <w:r w:rsidRPr="00A454D1">
        <w:rPr>
          <w:rFonts w:ascii="Arial" w:hAnsi="Arial" w:cs="Arial"/>
          <w:color w:val="000000" w:themeColor="text1"/>
        </w:rPr>
        <w:t xml:space="preserve">) and iPSCs expressing the </w:t>
      </w:r>
      <w:r>
        <w:rPr>
          <w:rFonts w:ascii="Arial" w:hAnsi="Arial" w:cs="Arial"/>
          <w:color w:val="000000" w:themeColor="text1"/>
        </w:rPr>
        <w:t xml:space="preserve">MEN1 </w:t>
      </w:r>
      <w:r w:rsidRPr="00A454D1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iPSC</w:t>
      </w:r>
      <w:r>
        <w:rPr>
          <w:rFonts w:ascii="Arial" w:hAnsi="Arial" w:cs="Arial"/>
          <w:color w:val="000000" w:themeColor="text1"/>
          <w:vertAlign w:val="superscript"/>
        </w:rPr>
        <w:t>MEN1</w:t>
      </w:r>
      <w:r w:rsidRPr="00A454D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c, d</w:t>
      </w:r>
      <w:r w:rsidRPr="00A454D1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 xml:space="preserve"> and CDH23 </w:t>
      </w:r>
      <w:r w:rsidRPr="00A454D1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iPSC</w:t>
      </w:r>
      <w:r>
        <w:rPr>
          <w:rFonts w:ascii="Arial" w:hAnsi="Arial" w:cs="Arial"/>
          <w:color w:val="000000" w:themeColor="text1"/>
          <w:vertAlign w:val="superscript"/>
        </w:rPr>
        <w:t>CDH23</w:t>
      </w:r>
      <w:r w:rsidRPr="00A454D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e, f</w:t>
      </w:r>
      <w:r w:rsidRPr="00A454D1">
        <w:rPr>
          <w:rFonts w:ascii="Arial" w:hAnsi="Arial" w:cs="Arial"/>
          <w:color w:val="000000" w:themeColor="text1"/>
        </w:rPr>
        <w:t>) mutation</w:t>
      </w:r>
      <w:r>
        <w:rPr>
          <w:rFonts w:ascii="Arial" w:hAnsi="Arial" w:cs="Arial"/>
          <w:color w:val="000000" w:themeColor="text1"/>
        </w:rPr>
        <w:t>s</w:t>
      </w:r>
      <w:r w:rsidRPr="00A454D1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Pr="00A454D1">
        <w:rPr>
          <w:rFonts w:ascii="Arial" w:hAnsi="Arial" w:cs="Arial"/>
          <w:color w:val="000000" w:themeColor="text1"/>
        </w:rPr>
        <w:t xml:space="preserve">Red arrows </w:t>
      </w:r>
      <w:proofErr w:type="gramStart"/>
      <w:r w:rsidRPr="00A454D1">
        <w:rPr>
          <w:rFonts w:ascii="Arial" w:hAnsi="Arial" w:cs="Arial"/>
          <w:color w:val="000000" w:themeColor="text1"/>
        </w:rPr>
        <w:t>highlight  the</w:t>
      </w:r>
      <w:proofErr w:type="gramEnd"/>
      <w:r w:rsidRPr="00A454D1">
        <w:rPr>
          <w:rFonts w:ascii="Arial" w:hAnsi="Arial" w:cs="Arial"/>
          <w:color w:val="000000" w:themeColor="text1"/>
        </w:rPr>
        <w:t xml:space="preserve"> increased expression of ACTH and synaptophysin with the concomitant loss of PIT1, GH, FSH, LH and PRL in </w:t>
      </w:r>
      <w:proofErr w:type="spellStart"/>
      <w:r w:rsidRPr="00A454D1">
        <w:rPr>
          <w:rFonts w:ascii="Arial" w:hAnsi="Arial" w:cs="Arial"/>
          <w:color w:val="000000" w:themeColor="text1"/>
        </w:rPr>
        <w:t>iPCSs</w:t>
      </w:r>
      <w:proofErr w:type="spellEnd"/>
      <w:r w:rsidRPr="00A454D1">
        <w:rPr>
          <w:rFonts w:ascii="Arial" w:hAnsi="Arial" w:cs="Arial"/>
          <w:color w:val="000000" w:themeColor="text1"/>
        </w:rPr>
        <w:t xml:space="preserve"> expressing mutated </w:t>
      </w:r>
      <w:r>
        <w:rPr>
          <w:rFonts w:ascii="Arial" w:hAnsi="Arial" w:cs="Arial"/>
          <w:color w:val="000000" w:themeColor="text1"/>
        </w:rPr>
        <w:t>MEN1</w:t>
      </w:r>
      <w:r w:rsidRPr="00A454D1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 xml:space="preserve"> </w:t>
      </w:r>
      <w:r w:rsidRPr="00A454D1">
        <w:rPr>
          <w:rFonts w:ascii="Arial" w:hAnsi="Arial" w:cs="Arial"/>
          <w:color w:val="000000" w:themeColor="text1"/>
        </w:rPr>
        <w:t xml:space="preserve">Inset in </w:t>
      </w:r>
      <w:r w:rsidRPr="00F91618">
        <w:rPr>
          <w:rFonts w:ascii="Arial" w:hAnsi="Arial" w:cs="Arial"/>
          <w:b/>
          <w:bCs/>
          <w:color w:val="000000" w:themeColor="text1"/>
        </w:rPr>
        <w:t>c</w:t>
      </w:r>
      <w:r w:rsidRPr="00A454D1">
        <w:rPr>
          <w:rFonts w:ascii="Arial" w:hAnsi="Arial" w:cs="Arial"/>
          <w:color w:val="000000" w:themeColor="text1"/>
        </w:rPr>
        <w:t xml:space="preserve"> is a higher magnification of synaptophysin.</w:t>
      </w:r>
    </w:p>
    <w:p w14:paraId="7AAF2C12" w14:textId="77777777" w:rsidR="00533783" w:rsidRDefault="00533783" w:rsidP="00533783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578624B7" w14:textId="2D3AAB5D" w:rsidR="0070751D" w:rsidRDefault="00533783" w:rsidP="00533783">
      <w:r>
        <w:rPr>
          <w:rFonts w:ascii="Arial" w:hAnsi="Arial" w:cs="Arial"/>
          <w:b/>
          <w:bCs/>
          <w:color w:val="000000" w:themeColor="text1"/>
        </w:rPr>
        <w:t>Supplemental Figure 7:</w:t>
      </w:r>
      <w:r>
        <w:rPr>
          <w:rFonts w:ascii="Arial" w:hAnsi="Arial" w:cs="Arial"/>
          <w:b/>
          <w:bCs/>
          <w:color w:val="000000" w:themeColor="text1"/>
        </w:rPr>
        <w:tab/>
        <w:t xml:space="preserve">Single cell analysis of </w:t>
      </w:r>
      <w:proofErr w:type="spellStart"/>
      <w:r>
        <w:rPr>
          <w:rFonts w:ascii="Arial" w:hAnsi="Arial" w:cs="Arial"/>
          <w:b/>
          <w:bCs/>
          <w:color w:val="000000" w:themeColor="text1"/>
        </w:rPr>
        <w:t>iPSC</w:t>
      </w:r>
      <w:r w:rsidRPr="00280567">
        <w:rPr>
          <w:rFonts w:ascii="Arial" w:hAnsi="Arial" w:cs="Arial"/>
          <w:b/>
          <w:bCs/>
          <w:color w:val="000000" w:themeColor="text1"/>
          <w:vertAlign w:val="superscript"/>
        </w:rPr>
        <w:t>ctrl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and iPSC</w:t>
      </w:r>
      <w:r w:rsidRPr="00280567">
        <w:rPr>
          <w:rFonts w:ascii="Arial" w:hAnsi="Arial" w:cs="Arial"/>
          <w:b/>
          <w:bCs/>
          <w:color w:val="000000" w:themeColor="text1"/>
          <w:vertAlign w:val="superscript"/>
        </w:rPr>
        <w:t>CDH23</w:t>
      </w:r>
      <w:r>
        <w:rPr>
          <w:rFonts w:ascii="Arial" w:hAnsi="Arial" w:cs="Arial"/>
          <w:b/>
          <w:bCs/>
          <w:color w:val="000000" w:themeColor="text1"/>
        </w:rPr>
        <w:t xml:space="preserve"> cultures 15 days post-directed differentiation.  </w:t>
      </w:r>
      <w:r>
        <w:rPr>
          <w:rFonts w:ascii="Arial" w:hAnsi="Arial" w:cs="Arial"/>
          <w:b/>
          <w:bCs/>
        </w:rPr>
        <w:t xml:space="preserve">(a) </w:t>
      </w:r>
      <w:r w:rsidRPr="00AB7720">
        <w:rPr>
          <w:rFonts w:ascii="Arial" w:hAnsi="Arial" w:cs="Arial"/>
        </w:rPr>
        <w:t>An ELISA was performed using conditioned media collected</w:t>
      </w:r>
      <w:r>
        <w:rPr>
          <w:rFonts w:ascii="Arial" w:hAnsi="Arial" w:cs="Arial"/>
        </w:rPr>
        <w:t xml:space="preserve"> during the differentiation schedule</w:t>
      </w:r>
      <w:r w:rsidRPr="00AB7720">
        <w:rPr>
          <w:rFonts w:ascii="Arial" w:hAnsi="Arial" w:cs="Arial"/>
        </w:rPr>
        <w:t xml:space="preserve"> from </w:t>
      </w:r>
      <w:proofErr w:type="spellStart"/>
      <w:r w:rsidRPr="00AB7720">
        <w:rPr>
          <w:rFonts w:ascii="Arial" w:hAnsi="Arial" w:cs="Arial"/>
        </w:rPr>
        <w:t>iPSC</w:t>
      </w:r>
      <w:r w:rsidRPr="00AB7720">
        <w:rPr>
          <w:rFonts w:ascii="Arial" w:hAnsi="Arial" w:cs="Arial"/>
          <w:vertAlign w:val="superscript"/>
        </w:rPr>
        <w:t>ctrl</w:t>
      </w:r>
      <w:proofErr w:type="spellEnd"/>
      <w:r w:rsidRPr="00AB7720">
        <w:rPr>
          <w:rFonts w:ascii="Arial" w:hAnsi="Arial" w:cs="Arial"/>
        </w:rPr>
        <w:t xml:space="preserve"> and iPSC</w:t>
      </w:r>
      <w:r w:rsidRPr="00AB7720">
        <w:rPr>
          <w:rFonts w:ascii="Arial" w:hAnsi="Arial" w:cs="Arial"/>
          <w:vertAlign w:val="superscript"/>
        </w:rPr>
        <w:t>CDH23</w:t>
      </w:r>
      <w:r w:rsidRPr="00AB7720">
        <w:rPr>
          <w:rFonts w:ascii="Arial" w:hAnsi="Arial" w:cs="Arial"/>
        </w:rPr>
        <w:t xml:space="preserve"> cultures for the measurement of ACTH secretion (</w:t>
      </w:r>
      <w:proofErr w:type="spellStart"/>
      <w:r w:rsidRPr="00AB7720">
        <w:rPr>
          <w:rFonts w:ascii="Arial" w:hAnsi="Arial" w:cs="Arial"/>
        </w:rPr>
        <w:t>pg</w:t>
      </w:r>
      <w:proofErr w:type="spellEnd"/>
      <w:r w:rsidRPr="00AB7720">
        <w:rPr>
          <w:rFonts w:ascii="Arial" w:hAnsi="Arial" w:cs="Arial"/>
        </w:rPr>
        <w:t>/ml).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 xml:space="preserve">(b) </w:t>
      </w:r>
      <w:r w:rsidRPr="00AE501B">
        <w:rPr>
          <w:rFonts w:ascii="Arial" w:hAnsi="Arial" w:cs="Arial"/>
        </w:rPr>
        <w:t xml:space="preserve">Bar plots showing differentially enriched KEGG pathways </w:t>
      </w:r>
      <w:r>
        <w:rPr>
          <w:rFonts w:ascii="Arial" w:hAnsi="Arial" w:cs="Arial"/>
        </w:rPr>
        <w:t xml:space="preserve">upregulated in </w:t>
      </w:r>
      <w:r w:rsidRPr="00AE501B">
        <w:rPr>
          <w:rFonts w:ascii="Arial" w:hAnsi="Arial" w:cs="Arial"/>
          <w:color w:val="000000" w:themeColor="text1"/>
        </w:rPr>
        <w:t>iPSC</w:t>
      </w:r>
      <w:r w:rsidRPr="00AE501B">
        <w:rPr>
          <w:rFonts w:ascii="Arial" w:hAnsi="Arial" w:cs="Arial"/>
          <w:color w:val="000000" w:themeColor="text1"/>
          <w:vertAlign w:val="superscript"/>
        </w:rPr>
        <w:t>CDH23</w:t>
      </w:r>
      <w:r w:rsidRPr="00AE501B">
        <w:rPr>
          <w:rFonts w:ascii="Arial" w:hAnsi="Arial" w:cs="Arial"/>
          <w:color w:val="000000" w:themeColor="text1"/>
        </w:rPr>
        <w:t xml:space="preserve"> cultures 15 days post-directed differentiation</w:t>
      </w:r>
      <w:r w:rsidRPr="00AE501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AE501B">
        <w:rPr>
          <w:rFonts w:ascii="Arial" w:hAnsi="Arial" w:cs="Arial"/>
        </w:rPr>
        <w:t>Representative genes in each pathway are shown.</w:t>
      </w:r>
    </w:p>
    <w:sectPr w:rsidR="00707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83"/>
    <w:rsid w:val="00533783"/>
    <w:rsid w:val="0070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A72F"/>
  <w15:chartTrackingRefBased/>
  <w15:docId w15:val="{087D587E-E08C-49FB-A09C-466A9B51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2022-06-08T16:07:00Z</dcterms:created>
  <dcterms:modified xsi:type="dcterms:W3CDTF">2022-06-08T16:07:00Z</dcterms:modified>
</cp:coreProperties>
</file>