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2F9EA" w14:textId="34FA809B" w:rsidR="00E85D1E" w:rsidRPr="00E85D1E" w:rsidRDefault="00E85D1E" w:rsidP="007618A5">
      <w:pPr>
        <w:pStyle w:val="Heading1"/>
      </w:pPr>
      <w:r w:rsidRPr="00E85D1E">
        <w:t>Magma ascent velocities</w:t>
      </w:r>
      <w:r w:rsidR="007618A5">
        <w:t>: Methodology</w:t>
      </w:r>
    </w:p>
    <w:p w14:paraId="3CC38D9E" w14:textId="77777777" w:rsidR="00E85D1E" w:rsidRDefault="00E85D1E" w:rsidP="00045820">
      <w:pPr>
        <w:jc w:val="both"/>
      </w:pPr>
    </w:p>
    <w:p w14:paraId="06ADCFE5" w14:textId="03044D92" w:rsidR="005248A3" w:rsidRDefault="00854D9F" w:rsidP="00045820">
      <w:pPr>
        <w:jc w:val="both"/>
      </w:pPr>
      <w:r>
        <w:t xml:space="preserve">Magma ascent velocities </w:t>
      </w:r>
      <w:r w:rsidR="00E04F04">
        <w:t xml:space="preserve">were calculated </w:t>
      </w:r>
      <w:r w:rsidR="007F5389">
        <w:t>assuming an</w:t>
      </w:r>
      <w:r w:rsidR="00E04F04">
        <w:t xml:space="preserve"> incompressible magma </w:t>
      </w:r>
      <w:r w:rsidR="007F5389">
        <w:t xml:space="preserve">and </w:t>
      </w:r>
      <w:r w:rsidR="00E04F04">
        <w:t>using the</w:t>
      </w:r>
      <w:r w:rsidR="007F5389">
        <w:t xml:space="preserve"> </w:t>
      </w:r>
      <w:r w:rsidR="00E04F04" w:rsidRPr="00DD5690">
        <w:t>magma-driven model of</w:t>
      </w:r>
      <w:r w:rsidR="002E7316">
        <w:t xml:space="preserve"> </w:t>
      </w:r>
      <w:r w:rsidR="002E7316">
        <w:fldChar w:fldCharType="begin" w:fldLock="1"/>
      </w:r>
      <w:r w:rsidR="00C22E0D">
        <w:instrText>ADDIN CSL_CITATION {"citationItems":[{"id":"ITEM-1","itemData":{"DOI":"10.1029/93jb01391","ISSN":"01480227","abstract":"Field observations indicate that zones of inelastic deformation produced at the tips of propagating dikes can be much larger than those produced at the tips of tensile cracks in laboratory experiments. This is in direct conflict with the concept that fracture toughness and fracture energy are rock properties, independent of crack size and loading configuration. For a propagating dike, the near-tip stress field is dominated by the large suction acting within a small (~several meter) cavity at the tip generated by viscous flow of magma within the dike. Perturbations to the ambient stress are on the order of the cavity suction and act over regions on the order of the cavity length. The tip cavity pressure may be maintained be exsolution of magmatic volatiles or by influx of host rock pore fluids; inelastic deformation is enhanced by the latter. Shear stresses scale with the cavity suction and may produce shear failure off the dike plane. -from Author","author":[{"dropping-particle":"","family":"Rubin","given":"A. M.","non-dropping-particle":"","parse-names":false,"suffix":""}],"container-title":"Journal of Geophysical Research","id":"ITEM-1","issue":"B9","issued":{"date-parts":[["1993"]]},"page":"919-935","title":"Tensile fracture of rock at high confining pressure: implications for dike propagation","type":"article-journal","volume":"98"},"uris":["http://www.mendeley.com/documents/?uuid=d9dc9fcb-5134-4595-92be-2181b71845d0"]}],"mendeley":{"formattedCitation":"(Rubin, 1993)","manualFormatting":"Rubin (1993)","plainTextFormattedCitation":"(Rubin, 1993)","previouslyFormattedCitation":"(Rubin, 1993)"},"properties":{"noteIndex":0},"schema":"https://github.com/citation-style-language/schema/raw/master/csl-citation.json"}</w:instrText>
      </w:r>
      <w:r w:rsidR="002E7316">
        <w:fldChar w:fldCharType="separate"/>
      </w:r>
      <w:r w:rsidR="007422E9" w:rsidRPr="007422E9">
        <w:rPr>
          <w:noProof/>
        </w:rPr>
        <w:t xml:space="preserve">Rubin </w:t>
      </w:r>
      <w:r w:rsidR="006E57BF">
        <w:rPr>
          <w:noProof/>
        </w:rPr>
        <w:t>(</w:t>
      </w:r>
      <w:r w:rsidR="007422E9" w:rsidRPr="007422E9">
        <w:rPr>
          <w:noProof/>
        </w:rPr>
        <w:t>1993)</w:t>
      </w:r>
      <w:r w:rsidR="002E7316">
        <w:fldChar w:fldCharType="end"/>
      </w:r>
      <w:r w:rsidR="00E04F04" w:rsidRPr="00DD5690">
        <w:t xml:space="preserve"> </w:t>
      </w:r>
      <w:r w:rsidR="0063444A" w:rsidRPr="0063444A">
        <w:t xml:space="preserve">as described </w:t>
      </w:r>
      <w:r w:rsidR="0063444A" w:rsidRPr="00606986">
        <w:t xml:space="preserve">in equation </w:t>
      </w:r>
      <w:r w:rsidR="00F90EAD" w:rsidRPr="00606986">
        <w:t>1</w:t>
      </w:r>
      <w:r w:rsidR="00E04F04" w:rsidRPr="00606986">
        <w:t>:</w:t>
      </w:r>
    </w:p>
    <w:p w14:paraId="66BFBCF2" w14:textId="64C088C5" w:rsidR="00AA6901" w:rsidRDefault="00AA6901" w:rsidP="00045820">
      <w:pPr>
        <w:jc w:val="both"/>
      </w:pPr>
    </w:p>
    <w:p w14:paraId="494BED3E" w14:textId="15C76960" w:rsidR="00AA6901" w:rsidRPr="00045820" w:rsidRDefault="003E2459" w:rsidP="00BD7476">
      <w:pPr>
        <w:jc w:val="center"/>
        <w:rPr>
          <w:rFonts w:eastAsiaTheme="minorEastAsia"/>
        </w:rPr>
      </w:pPr>
      <m:oMath>
        <m:r>
          <w:rPr>
            <w:rFonts w:ascii="Cambria Math" w:hAnsi="Cambria Math"/>
          </w:rPr>
          <m:t>ν=</m:t>
        </m:r>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excess</m:t>
                </m:r>
              </m:sub>
            </m:sSub>
          </m:num>
          <m:den>
            <m:r>
              <w:rPr>
                <w:rFonts w:ascii="Cambria Math" w:hAnsi="Cambria Math"/>
              </w:rPr>
              <m:t>3η</m:t>
            </m:r>
          </m:den>
        </m:f>
        <m:r>
          <w:rPr>
            <w:rFonts w:ascii="Cambria Math" w:hAnsi="Cambria Math"/>
          </w:rPr>
          <m:t xml:space="preserve"> </m:t>
        </m:r>
        <m:f>
          <m:fPr>
            <m:ctrlPr>
              <w:rPr>
                <w:rFonts w:ascii="Cambria Math" w:hAnsi="Cambria Math"/>
                <w:i/>
              </w:rPr>
            </m:ctrlPr>
          </m:fPr>
          <m:num>
            <m:sSup>
              <m:sSupPr>
                <m:ctrlPr>
                  <w:rPr>
                    <w:rFonts w:ascii="Cambria Math" w:hAnsi="Cambria Math"/>
                    <w:i/>
                  </w:rPr>
                </m:ctrlPr>
              </m:sSupPr>
              <m:e>
                <m:r>
                  <w:rPr>
                    <w:rFonts w:ascii="Cambria Math" w:hAnsi="Cambria Math"/>
                  </w:rPr>
                  <m:t>h</m:t>
                </m:r>
              </m:e>
              <m:sup>
                <m:r>
                  <w:rPr>
                    <w:rFonts w:ascii="Cambria Math" w:hAnsi="Cambria Math"/>
                  </w:rPr>
                  <m:t>2</m:t>
                </m:r>
              </m:sup>
            </m:sSup>
          </m:num>
          <m:den>
            <m:r>
              <w:rPr>
                <w:rFonts w:ascii="Cambria Math" w:hAnsi="Cambria Math"/>
              </w:rPr>
              <m:t>a</m:t>
            </m:r>
          </m:den>
        </m:f>
      </m:oMath>
      <w:r w:rsidR="00BD7476">
        <w:rPr>
          <w:rFonts w:eastAsiaTheme="minorEastAsia"/>
        </w:rPr>
        <w:t xml:space="preserve">   </w:t>
      </w:r>
      <w:r w:rsidR="00BD7476" w:rsidRPr="00606986">
        <w:rPr>
          <w:rFonts w:eastAsiaTheme="minorEastAsia"/>
        </w:rPr>
        <w:t>(1)</w:t>
      </w:r>
    </w:p>
    <w:p w14:paraId="409E1B96" w14:textId="77777777" w:rsidR="00045820" w:rsidRPr="003E2459" w:rsidRDefault="00045820" w:rsidP="00045820">
      <w:pPr>
        <w:jc w:val="both"/>
        <w:rPr>
          <w:rFonts w:eastAsiaTheme="minorEastAsia"/>
        </w:rPr>
      </w:pPr>
    </w:p>
    <w:p w14:paraId="720D0F7B" w14:textId="6BD7CE28" w:rsidR="003E2459" w:rsidRDefault="003E2459" w:rsidP="00045820">
      <w:pPr>
        <w:jc w:val="both"/>
        <w:rPr>
          <w:rFonts w:eastAsiaTheme="minorEastAsia"/>
        </w:rPr>
      </w:pPr>
      <w:r>
        <w:rPr>
          <w:rFonts w:eastAsiaTheme="minorEastAsia"/>
        </w:rPr>
        <w:t>Where</w:t>
      </w:r>
      <w:r w:rsidR="00910CF7">
        <w:rPr>
          <w:rFonts w:eastAsiaTheme="minorEastAsia"/>
        </w:rPr>
        <w:t xml:space="preserve"> </w:t>
      </w:r>
      <m:oMath>
        <m:r>
          <w:rPr>
            <w:rFonts w:ascii="Cambria Math" w:hAnsi="Cambria Math"/>
          </w:rPr>
          <m:t>ν</m:t>
        </m:r>
      </m:oMath>
      <w:r>
        <w:rPr>
          <w:rFonts w:eastAsiaTheme="minorEastAsia"/>
        </w:rPr>
        <w:t xml:space="preserve"> </w:t>
      </w:r>
      <w:r w:rsidR="00910CF7">
        <w:rPr>
          <w:rFonts w:eastAsiaTheme="minorEastAsia"/>
        </w:rPr>
        <w:t xml:space="preserve">is the propagation velocity of the magma, </w:t>
      </w:r>
      <m:oMath>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excess</m:t>
            </m:r>
          </m:sub>
        </m:sSub>
      </m:oMath>
      <w:r w:rsidR="00910CF7">
        <w:rPr>
          <w:rFonts w:eastAsiaTheme="minorEastAsia"/>
        </w:rPr>
        <w:t xml:space="preserve"> is the uniform excess pressure</w:t>
      </w:r>
      <w:r w:rsidR="00045820">
        <w:rPr>
          <w:rFonts w:eastAsiaTheme="minorEastAsia"/>
        </w:rPr>
        <w:t>,</w:t>
      </w:r>
      <w:r w:rsidR="00045820" w:rsidRPr="00045820">
        <w:rPr>
          <w:rFonts w:ascii="Cambria Math" w:hAnsi="Cambria Math"/>
          <w:i/>
        </w:rPr>
        <w:t xml:space="preserve"> </w:t>
      </w:r>
      <m:oMath>
        <m:r>
          <w:rPr>
            <w:rFonts w:ascii="Cambria Math" w:hAnsi="Cambria Math"/>
          </w:rPr>
          <m:t>η</m:t>
        </m:r>
      </m:oMath>
      <w:r w:rsidR="00045820">
        <w:rPr>
          <w:rFonts w:eastAsiaTheme="minorEastAsia"/>
        </w:rPr>
        <w:t xml:space="preserve"> is the magma viscosity, </w:t>
      </w:r>
      <m:oMath>
        <m:r>
          <w:rPr>
            <w:rFonts w:ascii="Cambria Math" w:eastAsiaTheme="minorEastAsia" w:hAnsi="Cambria Math"/>
          </w:rPr>
          <m:t>a</m:t>
        </m:r>
      </m:oMath>
      <w:r w:rsidR="00045820">
        <w:rPr>
          <w:rFonts w:eastAsiaTheme="minorEastAsia"/>
        </w:rPr>
        <w:t xml:space="preserve"> is the dike </w:t>
      </w:r>
      <w:r w:rsidR="009A1C22">
        <w:rPr>
          <w:rFonts w:eastAsiaTheme="minorEastAsia"/>
        </w:rPr>
        <w:t xml:space="preserve">half-length and </w:t>
      </w:r>
      <m:oMath>
        <m:r>
          <w:rPr>
            <w:rFonts w:ascii="Cambria Math" w:hAnsi="Cambria Math"/>
          </w:rPr>
          <m:t>h</m:t>
        </m:r>
      </m:oMath>
      <w:r w:rsidR="009A1C22">
        <w:rPr>
          <w:rFonts w:eastAsiaTheme="minorEastAsia"/>
        </w:rPr>
        <w:t xml:space="preserve"> the dike thickness that is calculated as: </w:t>
      </w:r>
    </w:p>
    <w:p w14:paraId="6ECA1138" w14:textId="77777777" w:rsidR="00E646CE" w:rsidRDefault="00E646CE" w:rsidP="00045820">
      <w:pPr>
        <w:jc w:val="both"/>
      </w:pPr>
    </w:p>
    <w:p w14:paraId="77E77EFB" w14:textId="65695AA5" w:rsidR="00E04F04" w:rsidRPr="00907E85" w:rsidRDefault="00C14004" w:rsidP="00BD7476">
      <w:pPr>
        <w:jc w:val="center"/>
        <w:rPr>
          <w:rFonts w:eastAsiaTheme="minorEastAsia"/>
        </w:rPr>
      </w:pPr>
      <m:oMath>
        <m:r>
          <w:rPr>
            <w:rFonts w:ascii="Cambria Math" w:hAnsi="Cambria Math"/>
          </w:rPr>
          <m:t>h=</m:t>
        </m:r>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excess</m:t>
                </m:r>
              </m:sub>
            </m:sSub>
          </m:num>
          <m:den>
            <m:r>
              <w:rPr>
                <w:rFonts w:ascii="Cambria Math" w:hAnsi="Cambria Math"/>
              </w:rPr>
              <m:t>μ/(1-υ)</m:t>
            </m:r>
          </m:den>
        </m:f>
        <m:r>
          <w:rPr>
            <w:rFonts w:ascii="Cambria Math" w:hAnsi="Cambria Math"/>
          </w:rPr>
          <m:t xml:space="preserve"> a</m:t>
        </m:r>
      </m:oMath>
      <w:r w:rsidR="00BD7476">
        <w:rPr>
          <w:rFonts w:eastAsiaTheme="minorEastAsia"/>
        </w:rPr>
        <w:t xml:space="preserve">  </w:t>
      </w:r>
      <w:r w:rsidR="00BD7476" w:rsidRPr="00606986">
        <w:rPr>
          <w:rFonts w:eastAsiaTheme="minorEastAsia"/>
        </w:rPr>
        <w:t>(2)</w:t>
      </w:r>
    </w:p>
    <w:p w14:paraId="6A74E31F" w14:textId="77777777" w:rsidR="00907E85" w:rsidRPr="00907E85" w:rsidRDefault="00907E85">
      <w:pPr>
        <w:rPr>
          <w:rFonts w:eastAsiaTheme="minorEastAsia"/>
        </w:rPr>
      </w:pPr>
    </w:p>
    <w:p w14:paraId="5E282D50" w14:textId="33D6FF04" w:rsidR="00E646CE" w:rsidRPr="00404BDE" w:rsidRDefault="00404BDE" w:rsidP="008F78B0">
      <w:pPr>
        <w:pStyle w:val="Caption"/>
        <w:keepNext/>
        <w:rPr>
          <w:rFonts w:eastAsiaTheme="minorEastAsia"/>
          <w:i w:val="0"/>
          <w:iCs w:val="0"/>
          <w:color w:val="auto"/>
          <w:sz w:val="24"/>
          <w:szCs w:val="24"/>
        </w:rPr>
      </w:pPr>
      <w:r>
        <w:rPr>
          <w:rFonts w:eastAsiaTheme="minorEastAsia"/>
          <w:i w:val="0"/>
          <w:iCs w:val="0"/>
          <w:color w:val="auto"/>
          <w:sz w:val="24"/>
          <w:szCs w:val="24"/>
        </w:rPr>
        <w:t xml:space="preserve">The </w:t>
      </w:r>
      <w:r w:rsidR="00AE4AAF">
        <w:rPr>
          <w:rFonts w:eastAsiaTheme="minorEastAsia"/>
          <w:i w:val="0"/>
          <w:iCs w:val="0"/>
          <w:color w:val="auto"/>
          <w:sz w:val="24"/>
          <w:szCs w:val="24"/>
        </w:rPr>
        <w:t>physical parameter</w:t>
      </w:r>
      <w:r>
        <w:rPr>
          <w:rFonts w:eastAsiaTheme="minorEastAsia"/>
          <w:i w:val="0"/>
          <w:iCs w:val="0"/>
          <w:color w:val="auto"/>
          <w:sz w:val="24"/>
          <w:szCs w:val="24"/>
        </w:rPr>
        <w:t xml:space="preserve"> used </w:t>
      </w:r>
      <w:r w:rsidR="00AE4AAF">
        <w:rPr>
          <w:rFonts w:eastAsiaTheme="minorEastAsia"/>
          <w:i w:val="0"/>
          <w:iCs w:val="0"/>
          <w:color w:val="auto"/>
          <w:sz w:val="24"/>
          <w:szCs w:val="24"/>
        </w:rPr>
        <w:t xml:space="preserve">in the modelling </w:t>
      </w:r>
      <w:r>
        <w:rPr>
          <w:rFonts w:eastAsiaTheme="minorEastAsia"/>
          <w:i w:val="0"/>
          <w:iCs w:val="0"/>
          <w:color w:val="auto"/>
          <w:sz w:val="24"/>
          <w:szCs w:val="24"/>
        </w:rPr>
        <w:t xml:space="preserve">are listed in </w:t>
      </w:r>
      <w:r w:rsidRPr="00A50A3A">
        <w:rPr>
          <w:rFonts w:eastAsiaTheme="minorEastAsia"/>
          <w:i w:val="0"/>
          <w:iCs w:val="0"/>
          <w:color w:val="auto"/>
          <w:sz w:val="24"/>
          <w:szCs w:val="24"/>
        </w:rPr>
        <w:t xml:space="preserve">table </w:t>
      </w:r>
      <w:r w:rsidR="00A50A3A" w:rsidRPr="00A50A3A">
        <w:rPr>
          <w:rFonts w:eastAsiaTheme="minorEastAsia"/>
          <w:i w:val="0"/>
          <w:iCs w:val="0"/>
          <w:color w:val="auto"/>
          <w:sz w:val="24"/>
          <w:szCs w:val="24"/>
        </w:rPr>
        <w:t>1</w:t>
      </w:r>
      <w:r w:rsidR="00AE4AAF" w:rsidRPr="00A50A3A">
        <w:rPr>
          <w:rFonts w:eastAsiaTheme="minorEastAsia"/>
          <w:i w:val="0"/>
          <w:iCs w:val="0"/>
          <w:color w:val="auto"/>
          <w:sz w:val="24"/>
          <w:szCs w:val="24"/>
        </w:rPr>
        <w:t>.</w:t>
      </w:r>
    </w:p>
    <w:p w14:paraId="4DA66F1E" w14:textId="77777777" w:rsidR="00E646CE" w:rsidRPr="002C1B50" w:rsidRDefault="00E646CE" w:rsidP="008F78B0">
      <w:pPr>
        <w:pStyle w:val="Caption"/>
        <w:keepNext/>
        <w:rPr>
          <w:rFonts w:eastAsiaTheme="minorEastAsia"/>
          <w:b/>
          <w:bCs/>
          <w:i w:val="0"/>
          <w:iCs w:val="0"/>
          <w:color w:val="auto"/>
          <w:sz w:val="20"/>
          <w:szCs w:val="20"/>
          <w:highlight w:val="yellow"/>
        </w:rPr>
      </w:pPr>
    </w:p>
    <w:p w14:paraId="5301B468" w14:textId="1D4C0ADA" w:rsidR="008F78B0" w:rsidRPr="00E646CE" w:rsidRDefault="008F78B0" w:rsidP="008F78B0">
      <w:pPr>
        <w:pStyle w:val="Caption"/>
        <w:keepNext/>
        <w:rPr>
          <w:rFonts w:eastAsiaTheme="minorEastAsia"/>
          <w:i w:val="0"/>
          <w:iCs w:val="0"/>
          <w:color w:val="auto"/>
          <w:sz w:val="20"/>
          <w:szCs w:val="20"/>
          <w:highlight w:val="yellow"/>
        </w:rPr>
      </w:pPr>
      <w:r w:rsidRPr="002C1B50">
        <w:rPr>
          <w:rFonts w:eastAsiaTheme="minorEastAsia"/>
          <w:b/>
          <w:bCs/>
          <w:i w:val="0"/>
          <w:iCs w:val="0"/>
          <w:color w:val="auto"/>
          <w:sz w:val="20"/>
          <w:szCs w:val="20"/>
        </w:rPr>
        <w:t xml:space="preserve">Table </w:t>
      </w:r>
      <w:r w:rsidR="00A50A3A" w:rsidRPr="002C1B50">
        <w:rPr>
          <w:rFonts w:eastAsiaTheme="minorEastAsia"/>
          <w:b/>
          <w:bCs/>
          <w:i w:val="0"/>
          <w:iCs w:val="0"/>
          <w:color w:val="auto"/>
          <w:sz w:val="20"/>
          <w:szCs w:val="20"/>
        </w:rPr>
        <w:t>1</w:t>
      </w:r>
      <w:r w:rsidRPr="00A50A3A">
        <w:rPr>
          <w:rFonts w:eastAsiaTheme="minorEastAsia"/>
          <w:i w:val="0"/>
          <w:iCs w:val="0"/>
          <w:color w:val="auto"/>
          <w:sz w:val="20"/>
          <w:szCs w:val="20"/>
        </w:rPr>
        <w:t>.</w:t>
      </w:r>
      <w:r w:rsidRPr="008F78B0">
        <w:rPr>
          <w:rFonts w:eastAsiaTheme="minorEastAsia"/>
          <w:i w:val="0"/>
          <w:iCs w:val="0"/>
          <w:color w:val="auto"/>
          <w:sz w:val="20"/>
          <w:szCs w:val="20"/>
        </w:rPr>
        <w:t xml:space="preserve"> Physical parameters used in the magma ascent velocities</w:t>
      </w:r>
      <w:r w:rsidR="004144F3">
        <w:rPr>
          <w:rFonts w:eastAsiaTheme="minorEastAsia"/>
          <w:i w:val="0"/>
          <w:iCs w:val="0"/>
          <w:color w:val="auto"/>
          <w:sz w:val="20"/>
          <w:szCs w:val="20"/>
        </w:rPr>
        <w:t xml:space="preserve"> </w:t>
      </w:r>
      <w:r w:rsidR="004144F3" w:rsidRPr="008F78B0">
        <w:rPr>
          <w:rFonts w:eastAsiaTheme="minorEastAsia"/>
          <w:i w:val="0"/>
          <w:iCs w:val="0"/>
          <w:color w:val="auto"/>
          <w:sz w:val="20"/>
          <w:szCs w:val="20"/>
        </w:rPr>
        <w:t>calculations</w:t>
      </w:r>
      <w:r w:rsidRPr="008F78B0">
        <w:rPr>
          <w:rFonts w:eastAsiaTheme="minorEastAsia"/>
          <w:i w:val="0"/>
          <w:iCs w:val="0"/>
          <w:color w:val="auto"/>
          <w:sz w:val="20"/>
          <w:szCs w:val="20"/>
        </w:rPr>
        <w:t>.</w:t>
      </w:r>
    </w:p>
    <w:tbl>
      <w:tblPr>
        <w:tblStyle w:val="PlainTable5"/>
        <w:tblW w:w="0" w:type="auto"/>
        <w:tblLook w:val="04A0" w:firstRow="1" w:lastRow="0" w:firstColumn="1" w:lastColumn="0" w:noHBand="0" w:noVBand="1"/>
      </w:tblPr>
      <w:tblGrid>
        <w:gridCol w:w="3060"/>
        <w:gridCol w:w="1980"/>
        <w:gridCol w:w="2120"/>
        <w:gridCol w:w="2200"/>
      </w:tblGrid>
      <w:tr w:rsidR="00336A05" w14:paraId="70A27202" w14:textId="5F62F97D" w:rsidTr="00336A0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060" w:type="dxa"/>
          </w:tcPr>
          <w:p w14:paraId="432A3BBA" w14:textId="1CA93713" w:rsidR="00336A05" w:rsidRPr="002C1B50" w:rsidRDefault="00336A05" w:rsidP="00426476">
            <w:pPr>
              <w:jc w:val="left"/>
              <w:rPr>
                <w:b/>
                <w:bCs/>
                <w:sz w:val="24"/>
              </w:rPr>
            </w:pPr>
            <w:r w:rsidRPr="002C1B50">
              <w:rPr>
                <w:b/>
                <w:bCs/>
                <w:sz w:val="24"/>
              </w:rPr>
              <w:t>Parameter</w:t>
            </w:r>
          </w:p>
        </w:tc>
        <w:tc>
          <w:tcPr>
            <w:tcW w:w="1980" w:type="dxa"/>
            <w:shd w:val="clear" w:color="auto" w:fill="auto"/>
          </w:tcPr>
          <w:p w14:paraId="65308EF1" w14:textId="529F8F71" w:rsidR="00336A05" w:rsidRPr="002C1B50" w:rsidRDefault="00336A05" w:rsidP="00426476">
            <w:pPr>
              <w:cnfStyle w:val="100000000000" w:firstRow="1" w:lastRow="0" w:firstColumn="0" w:lastColumn="0" w:oddVBand="0" w:evenVBand="0" w:oddHBand="0" w:evenHBand="0" w:firstRowFirstColumn="0" w:firstRowLastColumn="0" w:lastRowFirstColumn="0" w:lastRowLastColumn="0"/>
              <w:rPr>
                <w:b/>
                <w:bCs/>
                <w:sz w:val="24"/>
              </w:rPr>
            </w:pPr>
            <w:r w:rsidRPr="002C1B50">
              <w:rPr>
                <w:b/>
                <w:bCs/>
                <w:sz w:val="24"/>
              </w:rPr>
              <w:t>Symbol</w:t>
            </w:r>
          </w:p>
        </w:tc>
        <w:tc>
          <w:tcPr>
            <w:tcW w:w="2120" w:type="dxa"/>
          </w:tcPr>
          <w:p w14:paraId="46421813" w14:textId="55F9A4B5" w:rsidR="00336A05" w:rsidRPr="002C1B50" w:rsidRDefault="00336A05" w:rsidP="00426476">
            <w:pPr>
              <w:cnfStyle w:val="100000000000" w:firstRow="1" w:lastRow="0" w:firstColumn="0" w:lastColumn="0" w:oddVBand="0" w:evenVBand="0" w:oddHBand="0" w:evenHBand="0" w:firstRowFirstColumn="0" w:firstRowLastColumn="0" w:lastRowFirstColumn="0" w:lastRowLastColumn="0"/>
              <w:rPr>
                <w:b/>
                <w:bCs/>
                <w:sz w:val="24"/>
              </w:rPr>
            </w:pPr>
            <w:r w:rsidRPr="002C1B50">
              <w:rPr>
                <w:b/>
                <w:bCs/>
                <w:sz w:val="24"/>
              </w:rPr>
              <w:t>Value</w:t>
            </w:r>
          </w:p>
        </w:tc>
        <w:tc>
          <w:tcPr>
            <w:tcW w:w="2200" w:type="dxa"/>
          </w:tcPr>
          <w:p w14:paraId="730A09F2" w14:textId="15AB55AF" w:rsidR="00336A05" w:rsidRPr="002C1B50" w:rsidRDefault="00336A05" w:rsidP="00426476">
            <w:pPr>
              <w:cnfStyle w:val="100000000000" w:firstRow="1" w:lastRow="0" w:firstColumn="0" w:lastColumn="0" w:oddVBand="0" w:evenVBand="0" w:oddHBand="0" w:evenHBand="0" w:firstRowFirstColumn="0" w:firstRowLastColumn="0" w:lastRowFirstColumn="0" w:lastRowLastColumn="0"/>
              <w:rPr>
                <w:b/>
                <w:bCs/>
                <w:sz w:val="24"/>
              </w:rPr>
            </w:pPr>
            <w:r w:rsidRPr="002C1B50">
              <w:rPr>
                <w:b/>
                <w:bCs/>
                <w:sz w:val="24"/>
              </w:rPr>
              <w:t>Unit</w:t>
            </w:r>
          </w:p>
        </w:tc>
      </w:tr>
      <w:tr w:rsidR="00336A05" w14:paraId="0F4504DA" w14:textId="632C8B70" w:rsidTr="00336A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14:paraId="22FCA027" w14:textId="27FA513B" w:rsidR="00336A05" w:rsidRPr="00357623" w:rsidRDefault="00336A05" w:rsidP="00340F7B">
            <w:pPr>
              <w:jc w:val="left"/>
              <w:rPr>
                <w:rFonts w:eastAsiaTheme="minorEastAsia"/>
              </w:rPr>
            </w:pPr>
            <w:r w:rsidRPr="00357623">
              <w:rPr>
                <w:rFonts w:eastAsiaTheme="minorEastAsia"/>
              </w:rPr>
              <w:t xml:space="preserve">Poisson ratio </w:t>
            </w:r>
          </w:p>
        </w:tc>
        <w:tc>
          <w:tcPr>
            <w:tcW w:w="1980" w:type="dxa"/>
            <w:shd w:val="clear" w:color="auto" w:fill="auto"/>
          </w:tcPr>
          <w:p w14:paraId="7ED8633F" w14:textId="51C8EF21" w:rsidR="00336A05" w:rsidRPr="00336A05" w:rsidRDefault="00336A05" w:rsidP="00336A05">
            <w:pPr>
              <w:cnfStyle w:val="000000100000" w:firstRow="0" w:lastRow="0" w:firstColumn="0" w:lastColumn="0" w:oddVBand="0" w:evenVBand="0" w:oddHBand="1" w:evenHBand="0" w:firstRowFirstColumn="0" w:firstRowLastColumn="0" w:lastRowFirstColumn="0" w:lastRowLastColumn="0"/>
              <w:rPr>
                <w:lang w:val="it-IT"/>
              </w:rPr>
            </w:pPr>
            <m:oMathPara>
              <m:oMathParaPr>
                <m:jc m:val="left"/>
              </m:oMathParaPr>
              <m:oMath>
                <m:r>
                  <w:rPr>
                    <w:rFonts w:ascii="Cambria Math" w:eastAsiaTheme="minorEastAsia" w:hAnsi="Cambria Math"/>
                  </w:rPr>
                  <m:t>υ</m:t>
                </m:r>
              </m:oMath>
            </m:oMathPara>
          </w:p>
        </w:tc>
        <w:tc>
          <w:tcPr>
            <w:tcW w:w="2120" w:type="dxa"/>
            <w:shd w:val="clear" w:color="auto" w:fill="auto"/>
          </w:tcPr>
          <w:p w14:paraId="5098C186" w14:textId="12E88F91" w:rsidR="00336A05" w:rsidRDefault="00336A05" w:rsidP="00426476">
            <w:pPr>
              <w:cnfStyle w:val="000000100000" w:firstRow="0" w:lastRow="0" w:firstColumn="0" w:lastColumn="0" w:oddVBand="0" w:evenVBand="0" w:oddHBand="1" w:evenHBand="0" w:firstRowFirstColumn="0" w:firstRowLastColumn="0" w:lastRowFirstColumn="0" w:lastRowLastColumn="0"/>
            </w:pPr>
            <w:r w:rsidRPr="00C32B80">
              <w:rPr>
                <w:lang w:val="it-IT"/>
              </w:rPr>
              <w:t>0.26</w:t>
            </w:r>
          </w:p>
        </w:tc>
        <w:tc>
          <w:tcPr>
            <w:tcW w:w="2200" w:type="dxa"/>
            <w:shd w:val="clear" w:color="auto" w:fill="auto"/>
          </w:tcPr>
          <w:p w14:paraId="3EEE31B6" w14:textId="74F728C7" w:rsidR="00336A05" w:rsidRPr="00C32B80" w:rsidRDefault="00336A05" w:rsidP="00426476">
            <w:pPr>
              <w:cnfStyle w:val="000000100000" w:firstRow="0" w:lastRow="0" w:firstColumn="0" w:lastColumn="0" w:oddVBand="0" w:evenVBand="0" w:oddHBand="1" w:evenHBand="0" w:firstRowFirstColumn="0" w:firstRowLastColumn="0" w:lastRowFirstColumn="0" w:lastRowLastColumn="0"/>
              <w:rPr>
                <w:lang w:val="it-IT"/>
              </w:rPr>
            </w:pPr>
            <w:r>
              <w:rPr>
                <w:lang w:val="it-IT"/>
              </w:rPr>
              <w:t>-</w:t>
            </w:r>
          </w:p>
        </w:tc>
      </w:tr>
      <w:tr w:rsidR="00336A05" w14:paraId="289D7B27" w14:textId="52F5EDC8" w:rsidTr="00336A05">
        <w:tc>
          <w:tcPr>
            <w:cnfStyle w:val="001000000000" w:firstRow="0" w:lastRow="0" w:firstColumn="1" w:lastColumn="0" w:oddVBand="0" w:evenVBand="0" w:oddHBand="0" w:evenHBand="0" w:firstRowFirstColumn="0" w:firstRowLastColumn="0" w:lastRowFirstColumn="0" w:lastRowLastColumn="0"/>
            <w:tcW w:w="3060" w:type="dxa"/>
          </w:tcPr>
          <w:p w14:paraId="65D7EA7F" w14:textId="2BB09F5F" w:rsidR="00336A05" w:rsidRPr="00357623" w:rsidRDefault="00336A05" w:rsidP="00340F7B">
            <w:pPr>
              <w:jc w:val="left"/>
              <w:rPr>
                <w:rFonts w:eastAsiaTheme="minorEastAsia"/>
              </w:rPr>
            </w:pPr>
            <w:r>
              <w:rPr>
                <w:rFonts w:eastAsiaTheme="minorEastAsia"/>
              </w:rPr>
              <w:t>Uniform excess pressure</w:t>
            </w:r>
          </w:p>
        </w:tc>
        <w:tc>
          <w:tcPr>
            <w:tcW w:w="1980" w:type="dxa"/>
            <w:shd w:val="clear" w:color="auto" w:fill="auto"/>
          </w:tcPr>
          <w:p w14:paraId="7C3F3494" w14:textId="759FD550" w:rsidR="00336A05" w:rsidRPr="00336A05" w:rsidRDefault="00336A05" w:rsidP="00336A05">
            <w:pPr>
              <w:cnfStyle w:val="000000000000" w:firstRow="0" w:lastRow="0" w:firstColumn="0" w:lastColumn="0" w:oddVBand="0" w:evenVBand="0" w:oddHBand="0" w:evenHBand="0" w:firstRowFirstColumn="0" w:firstRowLastColumn="0" w:lastRowFirstColumn="0" w:lastRowLastColumn="0"/>
            </w:pPr>
            <m:oMathPara>
              <m:oMathParaPr>
                <m:jc m:val="left"/>
              </m:oMathParaPr>
              <m:oMath>
                <m: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P</m:t>
                    </m:r>
                  </m:e>
                  <m:sub>
                    <m:r>
                      <w:rPr>
                        <w:rFonts w:ascii="Cambria Math" w:eastAsiaTheme="minorEastAsia" w:hAnsi="Cambria Math"/>
                      </w:rPr>
                      <m:t>excess</m:t>
                    </m:r>
                  </m:sub>
                </m:sSub>
              </m:oMath>
            </m:oMathPara>
          </w:p>
        </w:tc>
        <w:tc>
          <w:tcPr>
            <w:tcW w:w="2120" w:type="dxa"/>
            <w:shd w:val="clear" w:color="auto" w:fill="auto"/>
          </w:tcPr>
          <w:p w14:paraId="274BF908" w14:textId="4E646338" w:rsidR="00336A05" w:rsidRPr="00E805B2" w:rsidRDefault="00336A05" w:rsidP="00426476">
            <w:pPr>
              <w:cnfStyle w:val="000000000000" w:firstRow="0" w:lastRow="0" w:firstColumn="0" w:lastColumn="0" w:oddVBand="0" w:evenVBand="0" w:oddHBand="0" w:evenHBand="0" w:firstRowFirstColumn="0" w:firstRowLastColumn="0" w:lastRowFirstColumn="0" w:lastRowLastColumn="0"/>
              <w:rPr>
                <w:highlight w:val="yellow"/>
              </w:rPr>
            </w:pPr>
            <w:r w:rsidRPr="00EE48AB">
              <w:t>5-10-50</w:t>
            </w:r>
          </w:p>
        </w:tc>
        <w:tc>
          <w:tcPr>
            <w:tcW w:w="2200" w:type="dxa"/>
            <w:shd w:val="clear" w:color="auto" w:fill="auto"/>
          </w:tcPr>
          <w:p w14:paraId="3FAFE341" w14:textId="6902E80C" w:rsidR="00336A05" w:rsidRPr="007175D0" w:rsidRDefault="00336A05" w:rsidP="00426476">
            <w:pPr>
              <w:cnfStyle w:val="000000000000" w:firstRow="0" w:lastRow="0" w:firstColumn="0" w:lastColumn="0" w:oddVBand="0" w:evenVBand="0" w:oddHBand="0" w:evenHBand="0" w:firstRowFirstColumn="0" w:firstRowLastColumn="0" w:lastRowFirstColumn="0" w:lastRowLastColumn="0"/>
              <w:rPr>
                <w:lang w:val="it-IT"/>
              </w:rPr>
            </w:pPr>
            <w:proofErr w:type="spellStart"/>
            <w:r>
              <w:rPr>
                <w:lang w:val="it-IT"/>
              </w:rPr>
              <w:t>MPa</w:t>
            </w:r>
            <w:proofErr w:type="spellEnd"/>
          </w:p>
        </w:tc>
      </w:tr>
      <w:tr w:rsidR="00336A05" w14:paraId="70CF6A7C" w14:textId="59AE0708" w:rsidTr="00336A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14:paraId="3C8A5971" w14:textId="17A36EFA" w:rsidR="00336A05" w:rsidRPr="00357623" w:rsidRDefault="00336A05" w:rsidP="00340F7B">
            <w:pPr>
              <w:jc w:val="left"/>
              <w:rPr>
                <w:rFonts w:eastAsiaTheme="minorEastAsia"/>
              </w:rPr>
            </w:pPr>
            <w:r w:rsidRPr="00357623">
              <w:rPr>
                <w:rFonts w:eastAsiaTheme="minorEastAsia"/>
              </w:rPr>
              <w:t xml:space="preserve">Elastic shear modulus </w:t>
            </w:r>
          </w:p>
        </w:tc>
        <w:tc>
          <w:tcPr>
            <w:tcW w:w="1980" w:type="dxa"/>
            <w:shd w:val="clear" w:color="auto" w:fill="auto"/>
          </w:tcPr>
          <w:p w14:paraId="3496B2CD" w14:textId="79937855" w:rsidR="00336A05" w:rsidRPr="00336A05" w:rsidRDefault="00336A05" w:rsidP="00336A05">
            <w:pPr>
              <w:cnfStyle w:val="000000100000" w:firstRow="0" w:lastRow="0" w:firstColumn="0" w:lastColumn="0" w:oddVBand="0" w:evenVBand="0" w:oddHBand="1" w:evenHBand="0" w:firstRowFirstColumn="0" w:firstRowLastColumn="0" w:lastRowFirstColumn="0" w:lastRowLastColumn="0"/>
              <w:rPr>
                <w:lang w:val="it-IT"/>
              </w:rPr>
            </w:pPr>
            <m:oMathPara>
              <m:oMathParaPr>
                <m:jc m:val="left"/>
              </m:oMathParaPr>
              <m:oMath>
                <m:r>
                  <w:rPr>
                    <w:rFonts w:ascii="Cambria Math" w:eastAsiaTheme="minorEastAsia" w:hAnsi="Cambria Math"/>
                  </w:rPr>
                  <m:t>μ</m:t>
                </m:r>
              </m:oMath>
            </m:oMathPara>
          </w:p>
        </w:tc>
        <w:tc>
          <w:tcPr>
            <w:tcW w:w="2120" w:type="dxa"/>
            <w:shd w:val="clear" w:color="auto" w:fill="auto"/>
          </w:tcPr>
          <w:p w14:paraId="22960876" w14:textId="1FD11EC8" w:rsidR="00336A05" w:rsidRPr="00EE48AB" w:rsidRDefault="00336A05" w:rsidP="00426476">
            <w:pPr>
              <w:cnfStyle w:val="000000100000" w:firstRow="0" w:lastRow="0" w:firstColumn="0" w:lastColumn="0" w:oddVBand="0" w:evenVBand="0" w:oddHBand="1" w:evenHBand="0" w:firstRowFirstColumn="0" w:firstRowLastColumn="0" w:lastRowFirstColumn="0" w:lastRowLastColumn="0"/>
            </w:pPr>
            <w:r w:rsidRPr="00EE48AB">
              <w:rPr>
                <w:lang w:val="it-IT"/>
              </w:rPr>
              <w:t>30</w:t>
            </w:r>
          </w:p>
        </w:tc>
        <w:tc>
          <w:tcPr>
            <w:tcW w:w="2200" w:type="dxa"/>
            <w:shd w:val="clear" w:color="auto" w:fill="auto"/>
          </w:tcPr>
          <w:p w14:paraId="0450B69F" w14:textId="3756E914" w:rsidR="00336A05" w:rsidRDefault="00336A05" w:rsidP="00426476">
            <w:pPr>
              <w:cnfStyle w:val="000000100000" w:firstRow="0" w:lastRow="0" w:firstColumn="0" w:lastColumn="0" w:oddVBand="0" w:evenVBand="0" w:oddHBand="1" w:evenHBand="0" w:firstRowFirstColumn="0" w:firstRowLastColumn="0" w:lastRowFirstColumn="0" w:lastRowLastColumn="0"/>
            </w:pPr>
            <w:proofErr w:type="spellStart"/>
            <w:r>
              <w:t>GPa</w:t>
            </w:r>
            <w:proofErr w:type="spellEnd"/>
          </w:p>
        </w:tc>
      </w:tr>
      <w:tr w:rsidR="00336A05" w14:paraId="01247842" w14:textId="378B7DDF" w:rsidTr="00336A05">
        <w:trPr>
          <w:trHeight w:val="49"/>
        </w:trPr>
        <w:tc>
          <w:tcPr>
            <w:cnfStyle w:val="001000000000" w:firstRow="0" w:lastRow="0" w:firstColumn="1" w:lastColumn="0" w:oddVBand="0" w:evenVBand="0" w:oddHBand="0" w:evenHBand="0" w:firstRowFirstColumn="0" w:firstRowLastColumn="0" w:lastRowFirstColumn="0" w:lastRowLastColumn="0"/>
            <w:tcW w:w="3060" w:type="dxa"/>
          </w:tcPr>
          <w:p w14:paraId="6148BBE1" w14:textId="24791A07" w:rsidR="00336A05" w:rsidRPr="00357623" w:rsidRDefault="00336A05" w:rsidP="00340F7B">
            <w:pPr>
              <w:jc w:val="left"/>
              <w:rPr>
                <w:rFonts w:eastAsiaTheme="minorEastAsia"/>
              </w:rPr>
            </w:pPr>
            <w:r w:rsidRPr="00357623">
              <w:rPr>
                <w:rFonts w:eastAsiaTheme="minorEastAsia"/>
              </w:rPr>
              <w:t xml:space="preserve">Dike length </w:t>
            </w:r>
          </w:p>
        </w:tc>
        <w:tc>
          <w:tcPr>
            <w:tcW w:w="1980" w:type="dxa"/>
            <w:shd w:val="clear" w:color="auto" w:fill="auto"/>
          </w:tcPr>
          <w:p w14:paraId="4B3ABBE6" w14:textId="2300EB22" w:rsidR="00336A05" w:rsidRDefault="00336A05" w:rsidP="00336A05">
            <w:pPr>
              <w:cnfStyle w:val="000000000000" w:firstRow="0" w:lastRow="0" w:firstColumn="0" w:lastColumn="0" w:oddVBand="0" w:evenVBand="0" w:oddHBand="0" w:evenHBand="0" w:firstRowFirstColumn="0" w:firstRowLastColumn="0" w:lastRowFirstColumn="0" w:lastRowLastColumn="0"/>
            </w:pPr>
            <w:r w:rsidRPr="00357623">
              <w:rPr>
                <w:rFonts w:eastAsiaTheme="minorEastAsia"/>
                <w:i/>
                <w:iCs/>
              </w:rPr>
              <w:t>2</w:t>
            </w:r>
            <m:oMath>
              <m:r>
                <w:rPr>
                  <w:rFonts w:ascii="Cambria Math" w:eastAsiaTheme="minorEastAsia" w:hAnsi="Cambria Math"/>
                </w:rPr>
                <m:t>a</m:t>
              </m:r>
            </m:oMath>
          </w:p>
        </w:tc>
        <w:tc>
          <w:tcPr>
            <w:tcW w:w="2120" w:type="dxa"/>
            <w:shd w:val="clear" w:color="auto" w:fill="auto"/>
          </w:tcPr>
          <w:p w14:paraId="3E5C9748" w14:textId="14563BA4" w:rsidR="00336A05" w:rsidRDefault="00336A05" w:rsidP="00426476">
            <w:pPr>
              <w:cnfStyle w:val="000000000000" w:firstRow="0" w:lastRow="0" w:firstColumn="0" w:lastColumn="0" w:oddVBand="0" w:evenVBand="0" w:oddHBand="0" w:evenHBand="0" w:firstRowFirstColumn="0" w:firstRowLastColumn="0" w:lastRowFirstColumn="0" w:lastRowLastColumn="0"/>
            </w:pPr>
            <w:r>
              <w:t>9</w:t>
            </w:r>
          </w:p>
        </w:tc>
        <w:tc>
          <w:tcPr>
            <w:tcW w:w="2200" w:type="dxa"/>
            <w:shd w:val="clear" w:color="auto" w:fill="auto"/>
          </w:tcPr>
          <w:p w14:paraId="7D68A6A7" w14:textId="6FABFDD5" w:rsidR="00336A05" w:rsidRDefault="00336A05" w:rsidP="00426476">
            <w:pPr>
              <w:cnfStyle w:val="000000000000" w:firstRow="0" w:lastRow="0" w:firstColumn="0" w:lastColumn="0" w:oddVBand="0" w:evenVBand="0" w:oddHBand="0" w:evenHBand="0" w:firstRowFirstColumn="0" w:firstRowLastColumn="0" w:lastRowFirstColumn="0" w:lastRowLastColumn="0"/>
            </w:pPr>
            <w:r>
              <w:t>Km</w:t>
            </w:r>
          </w:p>
        </w:tc>
      </w:tr>
    </w:tbl>
    <w:p w14:paraId="77A40BF3" w14:textId="77777777" w:rsidR="00B94990" w:rsidRPr="00943C58" w:rsidRDefault="00B94990">
      <w:pPr>
        <w:rPr>
          <w:lang w:val="es-ES"/>
        </w:rPr>
      </w:pPr>
    </w:p>
    <w:p w14:paraId="3A6687B1" w14:textId="77777777" w:rsidR="00E04F04" w:rsidRPr="00943C58" w:rsidRDefault="00E04F04">
      <w:pPr>
        <w:rPr>
          <w:lang w:val="es-ES"/>
        </w:rPr>
      </w:pPr>
    </w:p>
    <w:p w14:paraId="47F9CA4A" w14:textId="58EDA28E" w:rsidR="000409F4" w:rsidRDefault="008B50E9" w:rsidP="006D13C4">
      <w:pPr>
        <w:jc w:val="both"/>
      </w:pPr>
      <w:r>
        <w:t>The viscosity</w:t>
      </w:r>
      <w:r w:rsidR="00B36877">
        <w:t xml:space="preserve"> -</w:t>
      </w:r>
      <m:oMath>
        <m:r>
          <w:rPr>
            <w:rFonts w:ascii="Cambria Math" w:hAnsi="Cambria Math"/>
          </w:rPr>
          <m:t>η</m:t>
        </m:r>
      </m:oMath>
      <w:r w:rsidR="00B36877">
        <w:t xml:space="preserve">- </w:t>
      </w:r>
      <w:r>
        <w:t xml:space="preserve">of the magmas </w:t>
      </w:r>
      <w:r w:rsidR="009E1E16">
        <w:t>was</w:t>
      </w:r>
      <w:r>
        <w:t xml:space="preserve"> calculated using the </w:t>
      </w:r>
      <w:r w:rsidRPr="00606986">
        <w:t>equation</w:t>
      </w:r>
      <w:r w:rsidR="00985FB8" w:rsidRPr="00606986">
        <w:t xml:space="preserve"> 3</w:t>
      </w:r>
      <w:r w:rsidR="002E7316">
        <w:t xml:space="preserve"> </w:t>
      </w:r>
      <w:r w:rsidR="002E7316">
        <w:fldChar w:fldCharType="begin" w:fldLock="1"/>
      </w:r>
      <w:r w:rsidR="00C22E0D">
        <w:instrText>ADDIN CSL_CITATION {"citationItems":[{"id":"ITEM-1","itemData":{"DOI":"10.1016/j.jvolgeores.2013.02.014","ISSN":"03770273","abstract":"We consider the current state of our understanding of the rheology of two-phase magmas, that is suspensions of either bubbles or crystals in a viscous silicate melt. The discussion is restricted to strain-rates at which the suspending melt can be considered Newtonian. We start by considering the range of textures found in magmas and the bubble deformation and particle motions caused by shearing. We then review proposed models for suspensions, focussing on those functions of the form ηr=f(φ) or τ=fγ̇ that have been most widely used to describe magmatic systems (ηr is the relative apparent viscosity of the suspension, φ is the volume fraction of the suspended phase, τ is the driving stress, and γ̇ is the strain-rate). Both theoretical and empirical methods are presented and then compared against the available analogue (i.e. non-magmatic) and magmatic data. The paper contains new data and significant re-analysis of previously published data. We present a new semi-empirical constitutive model for bubble-bearing magmas that is valid for steady and unsteady flow and large strains and strain-rates. This equation utilises a new parameter, the capillarity Cx, that encapsulates the combined effect of shearing and unsteadiness on bubble suspensions. We also present a new scheme for dealing with polydispersivity of bubble suspensions. New data on the rheology of particle suspensions undergoing forced-oscillations are presented. These data show that the Cox-Merz rule only holds for dilute particle suspensions φ</w:instrText>
      </w:r>
      <w:r w:rsidR="00C22E0D">
        <w:rPr>
          <w:rFonts w:ascii="Cambria Math" w:hAnsi="Cambria Math" w:cs="Cambria Math"/>
        </w:rPr>
        <w:instrText>≲</w:instrText>
      </w:r>
      <w:r w:rsidR="00C22E0D">
        <w:instrText>0.25. A re-analysis of all available experimental data that relate rheology to particle aspect ratio provides distinct curves of maximum packing as a function of aspect ratio for smooth and rough particles with magmatic data lying on the curve appropriate for rough particles. We analyse several rheological datasets of crystal-bearing basaltic magmas and find that they are in good agreement with the constitutive equations derived from analogue data. By contrast, the same equations do not agree well with data for high-viscosity, haplogranitic melts. This may be an effect of fracturing or viscous dissipation within these samples. The paper concludes with a practical 'rheological recipes' section giving a step-by-step method for calculating a constitutive equation for a two-phase magmatic suspension and assessing its likely accuracy. © 2013 Elsevier B.V.","author":[{"dropping-particle":"","family":"Mader","given":"H. M.","non-dropping-particle":"","parse-names":false,"suffix":""},{"dropping-particle":"","family":"Llewellin","given":"E. W.","non-dropping-particle":"","parse-names":false,"suffix":""},{"dropping-particle":"","family":"Mueller","given":"S. P.","non-dropping-particle":"","parse-names":false,"suffix":""}],"container-title":"Journal of Volcanology and Geothermal Research","id":"ITEM-1","issued":{"date-parts":[["2013"]]},"page":"135-158","publisher":"Elsevier B.V.","title":"The rheology of two-phase magmas: A review and analysis","type":"article-journal","volume":"257"},"uris":["http://www.mendeley.com/documents/?uuid=fa19c0ea-1787-42b2-a2ef-30bc44d05909"]}],"mendeley":{"formattedCitation":"(Mader, Llewellin, &amp; Mueller, 2013)","plainTextFormattedCitation":"(Mader, Llewellin, &amp; Mueller, 2013)","previouslyFormattedCitation":"(Mader, Llewellin, &amp; Mueller, 2013)"},"properties":{"noteIndex":0},"schema":"https://github.com/citation-style-language/schema/raw/master/csl-citation.json"}</w:instrText>
      </w:r>
      <w:r w:rsidR="002E7316">
        <w:fldChar w:fldCharType="separate"/>
      </w:r>
      <w:r w:rsidR="00000A2B" w:rsidRPr="00000A2B">
        <w:rPr>
          <w:noProof/>
        </w:rPr>
        <w:t>(Mader, Llewellin, &amp; Mueller, 2013)</w:t>
      </w:r>
      <w:r w:rsidR="002E7316">
        <w:fldChar w:fldCharType="end"/>
      </w:r>
      <w:r w:rsidR="002E7316">
        <w:t>:</w:t>
      </w:r>
    </w:p>
    <w:p w14:paraId="2D67DD38" w14:textId="049E7DF8" w:rsidR="008B50E9" w:rsidRDefault="008B50E9" w:rsidP="006D13C4">
      <w:pPr>
        <w:jc w:val="both"/>
      </w:pPr>
    </w:p>
    <w:p w14:paraId="5707EF46" w14:textId="7313C214" w:rsidR="009E1E16" w:rsidRDefault="00211CC6" w:rsidP="00CC23CC">
      <w:pPr>
        <w:jc w:val="center"/>
        <w:rPr>
          <w:rFonts w:eastAsiaTheme="minorEastAsia"/>
        </w:rPr>
      </w:pPr>
      <m:oMath>
        <m:r>
          <w:rPr>
            <w:rFonts w:ascii="Cambria Math" w:hAnsi="Cambria Math"/>
          </w:rPr>
          <m:t>η=</m:t>
        </m:r>
        <m:sSub>
          <m:sSubPr>
            <m:ctrlPr>
              <w:rPr>
                <w:rFonts w:ascii="Cambria Math" w:hAnsi="Cambria Math"/>
                <w:i/>
              </w:rPr>
            </m:ctrlPr>
          </m:sSubPr>
          <m:e>
            <m:sSub>
              <m:sSubPr>
                <m:ctrlPr>
                  <w:rPr>
                    <w:rFonts w:ascii="Cambria Math" w:hAnsi="Cambria Math"/>
                    <w:i/>
                  </w:rPr>
                </m:ctrlPr>
              </m:sSubPr>
              <m:e>
                <m:r>
                  <w:rPr>
                    <w:rFonts w:ascii="Cambria Math" w:hAnsi="Cambria Math"/>
                  </w:rPr>
                  <m:t>η</m:t>
                </m:r>
              </m:e>
              <m:sub>
                <m:r>
                  <w:rPr>
                    <w:rFonts w:ascii="Cambria Math" w:hAnsi="Cambria Math"/>
                  </w:rPr>
                  <m:t xml:space="preserve">r </m:t>
                </m:r>
              </m:sub>
            </m:sSub>
            <m:r>
              <w:rPr>
                <w:rFonts w:ascii="Cambria Math" w:hAnsi="Cambria Math"/>
              </w:rPr>
              <m:t>*μ</m:t>
            </m:r>
          </m:e>
          <m:sub>
            <m:r>
              <w:rPr>
                <w:rFonts w:ascii="Cambria Math" w:hAnsi="Cambria Math"/>
              </w:rPr>
              <m:t>0</m:t>
            </m:r>
          </m:sub>
        </m:sSub>
      </m:oMath>
      <w:r w:rsidR="00985FB8">
        <w:rPr>
          <w:rFonts w:eastAsiaTheme="minorEastAsia"/>
        </w:rPr>
        <w:t xml:space="preserve"> </w:t>
      </w:r>
      <w:r w:rsidR="00985FB8" w:rsidRPr="00606986">
        <w:rPr>
          <w:rFonts w:eastAsiaTheme="minorEastAsia"/>
        </w:rPr>
        <w:t>(3)</w:t>
      </w:r>
    </w:p>
    <w:p w14:paraId="45AE47BB" w14:textId="77777777" w:rsidR="009E1E16" w:rsidRDefault="009E1E16" w:rsidP="006D13C4">
      <w:pPr>
        <w:jc w:val="both"/>
        <w:rPr>
          <w:rFonts w:eastAsiaTheme="minorEastAsia"/>
        </w:rPr>
      </w:pPr>
    </w:p>
    <w:p w14:paraId="17E5F889" w14:textId="15B48676" w:rsidR="00175B4F" w:rsidRDefault="00947136" w:rsidP="006D13C4">
      <w:pPr>
        <w:jc w:val="both"/>
        <w:rPr>
          <w:rFonts w:eastAsiaTheme="minorEastAsia"/>
        </w:rPr>
      </w:pPr>
      <w:r>
        <w:rPr>
          <w:rFonts w:eastAsiaTheme="minorEastAsia"/>
        </w:rPr>
        <w:t>W</w:t>
      </w:r>
      <w:r w:rsidR="00211CC6">
        <w:rPr>
          <w:rFonts w:eastAsiaTheme="minorEastAsia"/>
        </w:rPr>
        <w:t xml:space="preserve">here </w:t>
      </w:r>
      <m:oMath>
        <m:sSub>
          <m:sSubPr>
            <m:ctrlPr>
              <w:rPr>
                <w:rFonts w:ascii="Cambria Math" w:hAnsi="Cambria Math"/>
                <w:i/>
              </w:rPr>
            </m:ctrlPr>
          </m:sSubPr>
          <m:e>
            <m:r>
              <w:rPr>
                <w:rFonts w:ascii="Cambria Math" w:hAnsi="Cambria Math"/>
              </w:rPr>
              <m:t>μ</m:t>
            </m:r>
          </m:e>
          <m:sub>
            <m:r>
              <w:rPr>
                <w:rFonts w:ascii="Cambria Math" w:hAnsi="Cambria Math"/>
              </w:rPr>
              <m:t>0</m:t>
            </m:r>
          </m:sub>
        </m:sSub>
      </m:oMath>
      <w:r w:rsidR="00211CC6">
        <w:rPr>
          <w:rFonts w:eastAsiaTheme="minorEastAsia"/>
        </w:rPr>
        <w:t xml:space="preserve"> is the viscosity of the </w:t>
      </w:r>
      <w:r w:rsidR="009E1E16">
        <w:rPr>
          <w:rFonts w:eastAsiaTheme="minorEastAsia"/>
        </w:rPr>
        <w:t>pure liquid</w:t>
      </w:r>
      <w:r w:rsidR="00211CC6">
        <w:rPr>
          <w:rFonts w:eastAsiaTheme="minorEastAsia"/>
        </w:rPr>
        <w:t xml:space="preserve">, </w:t>
      </w:r>
      <m:oMath>
        <m:sSub>
          <m:sSubPr>
            <m:ctrlPr>
              <w:rPr>
                <w:rFonts w:ascii="Cambria Math" w:hAnsi="Cambria Math"/>
                <w:i/>
              </w:rPr>
            </m:ctrlPr>
          </m:sSubPr>
          <m:e>
            <m:r>
              <w:rPr>
                <w:rFonts w:ascii="Cambria Math" w:hAnsi="Cambria Math"/>
              </w:rPr>
              <m:t>η</m:t>
            </m:r>
          </m:e>
          <m:sub>
            <m:r>
              <w:rPr>
                <w:rFonts w:ascii="Cambria Math" w:hAnsi="Cambria Math"/>
              </w:rPr>
              <m:t>r</m:t>
            </m:r>
          </m:sub>
        </m:sSub>
      </m:oMath>
      <w:r w:rsidR="00DF2BE9">
        <w:rPr>
          <w:rFonts w:eastAsiaTheme="minorEastAsia"/>
          <w:iCs/>
        </w:rPr>
        <w:t xml:space="preserve"> </w:t>
      </w:r>
      <w:r w:rsidR="00DF2BE9" w:rsidRPr="00DF2BE9">
        <w:rPr>
          <w:rFonts w:eastAsiaTheme="minorEastAsia"/>
          <w:iCs/>
        </w:rPr>
        <w:t>is the relative viscosity</w:t>
      </w:r>
      <w:r w:rsidR="00DF2BE9">
        <w:rPr>
          <w:rFonts w:eastAsiaTheme="minorEastAsia"/>
          <w:iCs/>
        </w:rPr>
        <w:t xml:space="preserve"> and</w:t>
      </w:r>
      <w:r w:rsidR="009E1E16">
        <w:rPr>
          <w:rFonts w:eastAsiaTheme="minorEastAsia"/>
          <w:iCs/>
        </w:rPr>
        <w:t xml:space="preserve"> </w:t>
      </w:r>
      <m:oMath>
        <m:r>
          <w:rPr>
            <w:rFonts w:ascii="Cambria Math" w:hAnsi="Cambria Math"/>
          </w:rPr>
          <m:t>η</m:t>
        </m:r>
      </m:oMath>
      <w:r w:rsidR="009E1E16">
        <w:rPr>
          <w:rFonts w:eastAsiaTheme="minorEastAsia"/>
        </w:rPr>
        <w:t xml:space="preserve"> is the apparent viscosity of the suspension. </w:t>
      </w:r>
    </w:p>
    <w:p w14:paraId="7D01ED79" w14:textId="77777777" w:rsidR="00175B4F" w:rsidRDefault="00175B4F" w:rsidP="006D13C4">
      <w:pPr>
        <w:jc w:val="both"/>
        <w:rPr>
          <w:rFonts w:eastAsiaTheme="minorEastAsia"/>
        </w:rPr>
      </w:pPr>
    </w:p>
    <w:p w14:paraId="37963ABC" w14:textId="2DEF7347" w:rsidR="00A25D28" w:rsidRDefault="00175B4F" w:rsidP="006D13C4">
      <w:pPr>
        <w:jc w:val="both"/>
        <w:rPr>
          <w:rFonts w:eastAsiaTheme="minorEastAsia"/>
        </w:rPr>
      </w:pPr>
      <w:r>
        <w:rPr>
          <w:rFonts w:eastAsiaTheme="minorEastAsia"/>
        </w:rPr>
        <w:t>T</w:t>
      </w:r>
      <w:r w:rsidR="00947136">
        <w:rPr>
          <w:rFonts w:eastAsiaTheme="minorEastAsia"/>
        </w:rPr>
        <w:t>he viscosity of the melt</w:t>
      </w:r>
      <w:r>
        <w:rPr>
          <w:rFonts w:eastAsiaTheme="minorEastAsia"/>
        </w:rPr>
        <w:t xml:space="preserve"> (</w:t>
      </w:r>
      <m:oMath>
        <m:sSub>
          <m:sSubPr>
            <m:ctrlPr>
              <w:rPr>
                <w:rFonts w:ascii="Cambria Math" w:hAnsi="Cambria Math"/>
                <w:i/>
              </w:rPr>
            </m:ctrlPr>
          </m:sSubPr>
          <m:e>
            <m:r>
              <w:rPr>
                <w:rFonts w:ascii="Cambria Math" w:hAnsi="Cambria Math"/>
              </w:rPr>
              <m:t>μ</m:t>
            </m:r>
          </m:e>
          <m:sub>
            <m:r>
              <w:rPr>
                <w:rFonts w:ascii="Cambria Math" w:hAnsi="Cambria Math"/>
              </w:rPr>
              <m:t>0</m:t>
            </m:r>
          </m:sub>
        </m:sSub>
      </m:oMath>
      <w:r>
        <w:rPr>
          <w:rFonts w:eastAsiaTheme="minorEastAsia"/>
        </w:rPr>
        <w:t>)</w:t>
      </w:r>
      <w:r w:rsidR="00094928">
        <w:rPr>
          <w:rFonts w:eastAsiaTheme="minorEastAsia"/>
        </w:rPr>
        <w:t xml:space="preserve"> </w:t>
      </w:r>
      <w:r w:rsidR="00947136">
        <w:rPr>
          <w:rFonts w:eastAsiaTheme="minorEastAsia"/>
        </w:rPr>
        <w:t xml:space="preserve">was calculated for the </w:t>
      </w:r>
      <w:r w:rsidR="00786398">
        <w:rPr>
          <w:rFonts w:eastAsiaTheme="minorEastAsia"/>
        </w:rPr>
        <w:t xml:space="preserve">four </w:t>
      </w:r>
      <w:r w:rsidR="00947136">
        <w:rPr>
          <w:rFonts w:eastAsiaTheme="minorEastAsia"/>
        </w:rPr>
        <w:t xml:space="preserve">main compositions of the magma at </w:t>
      </w:r>
      <w:r w:rsidR="00F44865">
        <w:rPr>
          <w:rFonts w:eastAsiaTheme="minorEastAsia"/>
        </w:rPr>
        <w:t xml:space="preserve">Campi </w:t>
      </w:r>
      <w:proofErr w:type="spellStart"/>
      <w:r w:rsidR="00F44865">
        <w:rPr>
          <w:rFonts w:eastAsiaTheme="minorEastAsia"/>
        </w:rPr>
        <w:t>Flegrei</w:t>
      </w:r>
      <w:proofErr w:type="spellEnd"/>
      <w:r w:rsidR="00947136">
        <w:rPr>
          <w:rFonts w:eastAsiaTheme="minorEastAsia"/>
        </w:rPr>
        <w:t>: Trachyte,</w:t>
      </w:r>
      <w:r w:rsidR="00786398">
        <w:rPr>
          <w:rFonts w:eastAsiaTheme="minorEastAsia"/>
        </w:rPr>
        <w:t xml:space="preserve"> phonolite,</w:t>
      </w:r>
      <w:r w:rsidR="00947136">
        <w:rPr>
          <w:rFonts w:eastAsiaTheme="minorEastAsia"/>
        </w:rPr>
        <w:t xml:space="preserve"> latite and shoshonite</w:t>
      </w:r>
      <w:r>
        <w:rPr>
          <w:rFonts w:eastAsiaTheme="minorEastAsia"/>
        </w:rPr>
        <w:t xml:space="preserve"> </w:t>
      </w:r>
      <w:r w:rsidR="00F07F48">
        <w:rPr>
          <w:rFonts w:eastAsiaTheme="minorEastAsia"/>
        </w:rPr>
        <w:t>using the model of</w:t>
      </w:r>
      <w:r w:rsidR="002E7316">
        <w:rPr>
          <w:rFonts w:eastAsiaTheme="minorEastAsia"/>
        </w:rPr>
        <w:t xml:space="preserve"> </w:t>
      </w:r>
      <w:r w:rsidR="002E7316">
        <w:rPr>
          <w:rFonts w:eastAsiaTheme="minorEastAsia"/>
        </w:rPr>
        <w:fldChar w:fldCharType="begin" w:fldLock="1"/>
      </w:r>
      <w:r w:rsidR="00C22E0D">
        <w:rPr>
          <w:rFonts w:eastAsiaTheme="minorEastAsia"/>
        </w:rPr>
        <w:instrText>ADDIN CSL_CITATION {"citationItems":[{"id":"ITEM-1","itemData":{"DOI":"10.1016/j.epsl.2008.03.038","ISSN":"0012821X","abstract":"The viscosity of silicate melts controls magma transport dynamics, eruption style and rates of physicochemical processes (e.g., degassing, crystallization) in natural magmas. Thus a comprehensive viscosity model for magmatic liquids has long been a goal of earth scientists. Here we present a model that predicts the non-Arrhenian Newtonian viscosity of silicate melts as a function of T and melt composition, including the rheologically important volatile constituents H2O and F. Our model is based on &gt; 1770 measurements of viscosity on multicomponent anhydrous and volatile-rich silicate melts. The non-Arrhenian T-dependence of viscosity is accounted for by the VFT equation [log η = A + B / (T(K) - C)]. The optimization assumes a common, high-T limit (A) for silicate melt viscosity and returns a value for this limit of - 4.55 (+ 0.2) (e.g., log η ~ 10- 4.6 Pa s). All compositional dependence is ascribed to the parameters B and C and is accounted for by an additional 17 model coefficients. Our model is continuous in composition- and temperature-space and predicts the viscosity of natural volatile-bearing silicate melts (SiO2, Al2O3, TiO2, FeOtot, CaO, MgO, MnO, Na2O, K2O, P2O5, H2O, F2O- 1) over fifteen log units of viscosity (10- 1- 1014 Pa s). The model for viscosity can also predict other transport properties including glass transition temperatures (Tg) and melt fragility (m). We show strong systematic decreases in Tg and m with increasing volatile content. This pattern has implications for predicting styles of volcanic eruption and understanding silicate melt structure. Our model transforms a quarter-century of experimental study of melt viscosities, into a parameterisation having a predictive capacity that makes it relevant to diverse fields of research including: volcanology, geophysics, petrology and material sciences. © 2008 Elsevier B.V. All rights reserved.","author":[{"dropping-particle":"","family":"Giordano","given":"Daniele","non-dropping-particle":"","parse-names":false,"suffix":""},{"dropping-particle":"","family":"Russell","given":"James K.","non-dropping-particle":"","parse-names":false,"suffix":""},{"dropping-particle":"","family":"Dingwell","given":"Donald B.","non-dropping-particle":"","parse-names":false,"suffix":""}],"container-title":"Earth and Planetary Science Letters","id":"ITEM-1","issue":"1-4","issued":{"date-parts":[["2008"]]},"page":"123-134","title":"Viscosity of magmatic liquids: A model","type":"article-journal","volume":"271"},"uris":["http://www.mendeley.com/documents/?uuid=6571d7ae-dcb4-429f-a720-f460c5c5e0dc"]}],"mendeley":{"formattedCitation":"(Giordano, Russell, &amp; Dingwell, 2008)","plainTextFormattedCitation":"(Giordano, Russell, &amp; Dingwell, 2008)","previouslyFormattedCitation":"(Giordano, Russell, &amp; Dingwell, 2008)"},"properties":{"noteIndex":0},"schema":"https://github.com/citation-style-language/schema/raw/master/csl-citation.json"}</w:instrText>
      </w:r>
      <w:r w:rsidR="002E7316">
        <w:rPr>
          <w:rFonts w:eastAsiaTheme="minorEastAsia"/>
        </w:rPr>
        <w:fldChar w:fldCharType="separate"/>
      </w:r>
      <w:r w:rsidR="00000A2B" w:rsidRPr="00000A2B">
        <w:rPr>
          <w:rFonts w:eastAsiaTheme="minorEastAsia"/>
          <w:noProof/>
        </w:rPr>
        <w:t>(Giordano, Russell, &amp; Dingwell, 2008)</w:t>
      </w:r>
      <w:r w:rsidR="002E7316">
        <w:rPr>
          <w:rFonts w:eastAsiaTheme="minorEastAsia"/>
        </w:rPr>
        <w:fldChar w:fldCharType="end"/>
      </w:r>
      <w:r w:rsidR="002E7316">
        <w:rPr>
          <w:rFonts w:eastAsiaTheme="minorEastAsia"/>
        </w:rPr>
        <w:t xml:space="preserve">. </w:t>
      </w:r>
      <w:r w:rsidR="00786398">
        <w:rPr>
          <w:rFonts w:eastAsiaTheme="minorEastAsia"/>
        </w:rPr>
        <w:t xml:space="preserve">The compositions of the melts were </w:t>
      </w:r>
      <w:r w:rsidR="00E86046">
        <w:rPr>
          <w:rFonts w:eastAsiaTheme="minorEastAsia"/>
        </w:rPr>
        <w:t>compiled</w:t>
      </w:r>
      <w:r w:rsidR="00786398">
        <w:rPr>
          <w:rFonts w:eastAsiaTheme="minorEastAsia"/>
        </w:rPr>
        <w:t xml:space="preserve"> from the</w:t>
      </w:r>
      <w:r w:rsidR="001D5D95">
        <w:rPr>
          <w:rFonts w:eastAsiaTheme="minorEastAsia"/>
        </w:rPr>
        <w:t xml:space="preserve"> </w:t>
      </w:r>
      <w:proofErr w:type="spellStart"/>
      <w:r w:rsidR="001D5D95" w:rsidRPr="001D5D95">
        <w:rPr>
          <w:rFonts w:eastAsiaTheme="minorEastAsia"/>
        </w:rPr>
        <w:t>GeoRoc</w:t>
      </w:r>
      <w:proofErr w:type="spellEnd"/>
      <w:r w:rsidR="001D5D95" w:rsidRPr="001D5D95">
        <w:rPr>
          <w:rFonts w:eastAsiaTheme="minorEastAsia"/>
        </w:rPr>
        <w:t xml:space="preserve"> database</w:t>
      </w:r>
      <w:r w:rsidR="001D5D95">
        <w:rPr>
          <w:rFonts w:eastAsiaTheme="minorEastAsia"/>
        </w:rPr>
        <w:t xml:space="preserve">    </w:t>
      </w:r>
      <w:r w:rsidR="00663137">
        <w:rPr>
          <w:rFonts w:eastAsiaTheme="minorEastAsia"/>
        </w:rPr>
        <w:fldChar w:fldCharType="begin" w:fldLock="1"/>
      </w:r>
      <w:r w:rsidR="00C22E0D">
        <w:rPr>
          <w:rFonts w:eastAsiaTheme="minorEastAsia"/>
        </w:rPr>
        <w:instrText>ADDIN CSL_CITATION {"citationItems":[{"id":"ITEM-1","itemData":{"URL":"http://georoc.mpch-mainz.gwdg.de/georoc/","accessed":{"date-parts":[["2022","2","8"]]},"author":[{"dropping-particle":"","family":"Max Planck Institute for Chemistry in Mainz","given":"","non-dropping-particle":"","parse-names":false,"suffix":""}],"id":"ITEM-1","issued":{"date-parts":[["0"]]},"title":"GeoRoc: Geochemistry of Rocks of the Oceans and Continents database.","type":"webpage"},"uris":["http://www.mendeley.com/documents/?uuid=361fe5a8-34e6-4d7c-9250-0011cb2e6523"]}],"mendeley":{"formattedCitation":"(Max Planck Institute for Chemistry in Mainz, n.d.)","plainTextFormattedCitation":"(Max Planck Institute for Chemistry in Mainz, n.d.)","previouslyFormattedCitation":"(Max Planck Institute for Chemistry in Mainz, n.d.)"},"properties":{"noteIndex":0},"schema":"https://github.com/citation-style-language/schema/raw/master/csl-citation.json"}</w:instrText>
      </w:r>
      <w:r w:rsidR="00663137">
        <w:rPr>
          <w:rFonts w:eastAsiaTheme="minorEastAsia"/>
        </w:rPr>
        <w:fldChar w:fldCharType="separate"/>
      </w:r>
      <w:r w:rsidR="00000A2B" w:rsidRPr="00000A2B">
        <w:rPr>
          <w:rFonts w:eastAsiaTheme="minorEastAsia"/>
          <w:noProof/>
        </w:rPr>
        <w:t>(Max Planck Institute for Chemistry in Mainz, n.d.)</w:t>
      </w:r>
      <w:r w:rsidR="00663137">
        <w:rPr>
          <w:rFonts w:eastAsiaTheme="minorEastAsia"/>
        </w:rPr>
        <w:fldChar w:fldCharType="end"/>
      </w:r>
      <w:r w:rsidR="00786398">
        <w:rPr>
          <w:rFonts w:eastAsiaTheme="minorEastAsia"/>
        </w:rPr>
        <w:t xml:space="preserve"> for glass measurements</w:t>
      </w:r>
      <w:r w:rsidR="00686B49">
        <w:rPr>
          <w:rFonts w:eastAsiaTheme="minorEastAsia"/>
        </w:rPr>
        <w:t xml:space="preserve"> in Campi </w:t>
      </w:r>
      <w:proofErr w:type="spellStart"/>
      <w:r w:rsidR="00686B49">
        <w:rPr>
          <w:rFonts w:eastAsiaTheme="minorEastAsia"/>
        </w:rPr>
        <w:t>Flegrei</w:t>
      </w:r>
      <w:proofErr w:type="spellEnd"/>
      <w:r w:rsidR="00686B49">
        <w:rPr>
          <w:rFonts w:eastAsiaTheme="minorEastAsia"/>
        </w:rPr>
        <w:t xml:space="preserve"> samples</w:t>
      </w:r>
      <w:r w:rsidR="00D30A87">
        <w:rPr>
          <w:rFonts w:eastAsiaTheme="minorEastAsia"/>
        </w:rPr>
        <w:t xml:space="preserve"> </w:t>
      </w:r>
      <w:r w:rsidR="00D30A87">
        <w:rPr>
          <w:rFonts w:eastAsiaTheme="minorEastAsia"/>
        </w:rPr>
        <w:fldChar w:fldCharType="begin" w:fldLock="1"/>
      </w:r>
      <w:r w:rsidR="00C22E0D">
        <w:rPr>
          <w:rFonts w:eastAsiaTheme="minorEastAsia"/>
        </w:rPr>
        <w:instrText>ADDIN CSL_CITATION {"citationItems":[{"id":"ITEM-1","itemData":{"DOI":"10.1007/s00410-007-0270-0","ISSN":"00107999","abstract":"More than ca 100 km3 of nearly homogeneous crystal-poor phonolite and ca 100 km3 of slightly zoned trachyte were erupted 39 ka during the Campanian Ignimbrite super eruption, the most powerful in the Neapolitan area. Partition coefficient calculations, equilibrium mineral assemblages, glass compositions and texture were used to reconstruct compositional, thermal and pressure gradients in the pre-eruptive reservoir as well as timing and mechanisms of evolution towards magma chamber overpressure and eruption. Our petrologic data indicate that a wide sill-like trachytic magma chamber was active under the Campanian Plain at 2.5 kbar before CI eruption. Thermal exchange between high liquidus (1199°C) trachytic sill and cool country rocks caused intense undercooling, driving a catastrophic and fast (102 years) in situ fractional crystallization and crustal assimilation that produced a water oversaturated phonolitic cap and an overpressure in the chamber that triggered the super eruption. This process culminated in an abrupt reservoir opening and in a fast single-step high decompression. Sanidine phenocrysts crystal size distributions reveal high differentiation rate, thus suggesting that such a sill-like magmatic system is capable of evolving in a very short time and erupting suddenly with only short-term warning. © Springer-Verlag 2007.","author":[{"dropping-particle":"","family":"Pappalardo","given":"Lucia","non-dropping-particle":"","parse-names":false,"suffix":""},{"dropping-particle":"","family":"Ottolini","given":"Luisa","non-dropping-particle":"","parse-names":false,"suffix":""},{"dropping-particle":"","family":"Mastrolorenzo","given":"Giuseppe","non-dropping-particle":"","parse-names":false,"suffix":""}],"container-title":"Contributions to Mineralogy and Petrology","id":"ITEM-1","issue":"1","issued":{"date-parts":[["2008"]]},"page":"1-26","title":"The Campanian Ignimbrite (southern Italy) geochemical zoning: Insight on the generation of a super-eruption from catastrophic differentiation and fast withdrawal","type":"article-journal","volume":"156"},"uris":["http://www.mendeley.com/documents/?uuid=f6c17154-4e71-47d9-b4d2-551cb217d361"]},{"id":"ITEM-2","itemData":{"DOI":"10.1016/j.epsl.2006.07.040","ISSN":"0012821X","abstract":"Compositional, textural and experimental data on products from explosive and effusive eruptions of Neapolitan volcanoes (Campi Flegrei and Somma-Vesuvio) allow us to constrain degassing and fragmentation conditions during eruptions of alkaline magmas. Significant differences in compositional and textural features have been recognized between lavas, scoria and pumice resulting respectively from effusive, moderately and extremely explosive eruptions. Pumice samples have highly-vesicular glassy matrix, low microlite number density and moderate to high water content. Crystal Size Distributions (CSD) are steep with high intercept values; the narrow microlite size range indicates single nucleation event. Scoria products are characterized by moderate vesicularity and water content. They have high number density of microlites which are bimodal in size. CSD show distinct inflections that are explained as two crystal populations growing in distinct time. Lava samples generally have low vesicularities, moderate to high microcrystalline groundmass and low glass water content. The comparison between textural and compositional features of natural rocks with samples obtained by decompression experiments allows us to conclude that degassing processes during magma ascent occurs in near-equilibrium conditions even at high decompression rate. Moderate to long magma rise times, calculated in the order of a few days, produce open-degassing responsible for moderately explosive to effusive activity. Short magma rise times, calculated in the order of a few hours, result in closed-system degassing that allow explosive fragmentation when the volume of growing bubble reaches a fixed threshold. Vesicularity and water content measured on matrix glass of pumice indicate that this process occurs at pressure of 10-30 MPa. In these conditions, degassing, fragmentation and in turn the eruptive style is strongly influenced by initial conditions in the magma chamber (volatile content, temperature, pressure) instead of decompression rate, in contrast with that observed for rhyolitic melts. These differences have important consequences in terms of volcanic hazards and risk. The low-viscosity alkaline magma is able to maintain efficient degassing even during the final stage of magma ascent, favoring, in the case of closed-system, fragmentation and explosive activity. © 2006 Elsevier B.V. All rights reserved.","author":[{"dropping-particle":"","family":"Mastrolorenzo","given":"G.","non-dropping-particle":"","parse-names":false,"suffix":""},{"dropping-particle":"","family":"Pappalardo","given":"L.","non-dropping-particle":"","parse-names":false,"suffix":""}],"container-title":"Earth and Planetary Science Letters","id":"ITEM-2","issue":"1-2","issued":{"date-parts":[["2006"]]},"page":"164-181","title":"Magma degassing and crystallization processes during eruptions of high-risk Neapolitan-volcanoes: Evidence of common equilibrium rising processes in alkaline magmas","type":"article-journal","volume":"250"},"uris":["http://www.mendeley.com/documents/?uuid=d70b24fa-395b-47b3-b9ff-a004a2de6280"]}],"mendeley":{"formattedCitation":"(Mastrolorenzo &amp; Pappalardo, 2006; Pappalardo, Ottolini, &amp; Mastrolorenzo, 2008)","plainTextFormattedCitation":"(Mastrolorenzo &amp; Pappalardo, 2006; Pappalardo, Ottolini, &amp; Mastrolorenzo, 2008)","previouslyFormattedCitation":"(Mastrolorenzo &amp; Pappalardo, 2006; Pappalardo, Ottolini, &amp; Mastrolorenzo, 2008)"},"properties":{"noteIndex":0},"schema":"https://github.com/citation-style-language/schema/raw/master/csl-citation.json"}</w:instrText>
      </w:r>
      <w:r w:rsidR="00D30A87">
        <w:rPr>
          <w:rFonts w:eastAsiaTheme="minorEastAsia"/>
        </w:rPr>
        <w:fldChar w:fldCharType="separate"/>
      </w:r>
      <w:r w:rsidR="00000A2B" w:rsidRPr="00000A2B">
        <w:rPr>
          <w:rFonts w:eastAsiaTheme="minorEastAsia"/>
          <w:noProof/>
        </w:rPr>
        <w:t>(Mastrolorenzo &amp; Pappalardo, 2006; Pappalardo, Ottolini, &amp; Mastrolorenzo, 2008)</w:t>
      </w:r>
      <w:r w:rsidR="00D30A87">
        <w:rPr>
          <w:rFonts w:eastAsiaTheme="minorEastAsia"/>
        </w:rPr>
        <w:fldChar w:fldCharType="end"/>
      </w:r>
      <w:r w:rsidR="00D30A87">
        <w:rPr>
          <w:rFonts w:eastAsiaTheme="minorEastAsia"/>
          <w:lang w:val="es-ES"/>
        </w:rPr>
        <w:t xml:space="preserve"> </w:t>
      </w:r>
      <w:r w:rsidR="00786398" w:rsidRPr="00D30A87">
        <w:rPr>
          <w:rFonts w:eastAsiaTheme="minorEastAsia"/>
          <w:lang w:val="es-ES"/>
        </w:rPr>
        <w:t xml:space="preserve">and </w:t>
      </w:r>
      <w:proofErr w:type="spellStart"/>
      <w:r w:rsidR="00786398" w:rsidRPr="00D30A87">
        <w:rPr>
          <w:rFonts w:eastAsiaTheme="minorEastAsia"/>
          <w:lang w:val="es-ES"/>
        </w:rPr>
        <w:t>from</w:t>
      </w:r>
      <w:proofErr w:type="spellEnd"/>
      <w:r w:rsidR="00786398" w:rsidRPr="00D30A87">
        <w:rPr>
          <w:rFonts w:eastAsiaTheme="minorEastAsia"/>
          <w:lang w:val="es-ES"/>
        </w:rPr>
        <w:t xml:space="preserve"> </w:t>
      </w:r>
      <w:r w:rsidR="007422E9">
        <w:rPr>
          <w:rFonts w:eastAsiaTheme="minorEastAsia"/>
        </w:rPr>
        <w:fldChar w:fldCharType="begin" w:fldLock="1"/>
      </w:r>
      <w:r w:rsidR="00C22E0D">
        <w:rPr>
          <w:rFonts w:eastAsiaTheme="minorEastAsia"/>
          <w:lang w:val="es-ES"/>
        </w:rPr>
        <w:instrText>ADDIN CSL_CITATION {"citationItems":[{"id":"ITEM-1","itemData":{"DOI":"10.1007/978-3-642-37060-1_6","ISBN":"9783642370595","ISSN":"21957029","abstract":"This chapter reviews and discusses the main rheological and physical properties and models (viscosity and density) of the melts feeding the Campi Flegrei caldera volcanism. Viscosity and density control flow and diffusion, and thus multicomponent convection and chemical mobility in the magma chamber. These, in turn, are thought to constrain magma mixing processes in the system. Our main goal is to summarise and analyse mixing experiments using natural volcanic products of the caldera as starting material. The mixing experiments have been performed using different devices (Taylor-Couette and centrifuge). Results show how easily Campi Flegrei caldera melts may mix. They confirm that different chemical elements homogenise in the melt at differing rates, providing an innovative quantitative approach, the estimation of a new parameter for measuring multi-component diffusion in magmas: Relaxation of Concentration Variance or Concentration Variance Decay. This enables the measurement of mobility for all elements present in the melt simultaneously. Comparing experimental and natural data clearly confirm the unavoidability of mixing during the replenishment history of the caldera reservoir(s).","author":[{"dropping-particle":"","family":"Campos","given":"Cristina P.","non-dropping-particle":"De","parse-names":false,"suffix":""},{"dropping-particle":"","family":"Hess","giv</w:instrText>
      </w:r>
      <w:r w:rsidR="00C22E0D" w:rsidRPr="00B749E5">
        <w:rPr>
          <w:rFonts w:eastAsiaTheme="minorEastAsia"/>
        </w:rPr>
        <w:instrText>en":"Kai Uwe","non-dropping-particle":"","parse-names":false,"suffix":""},{"dropping-particle":"","family":"Perugini","given":"Diego","non-dropping-particle":"","parse-names":false,"suffix":""},{"dropping-particle":"","family":"Dingwell","given":"Donald B.","non-dropping-particle":"","parse-names":false,"suffix":""}],"container-title":"Campi Flegrei: A restless caldera in a densely populated area","editor":[{"dropping-particle":"","family":"Orsi","given":"Giovanni","non-dropping-particle":"","parse-names":false,"suffix":""},{"dropping-particle":"","family":"Antonio","given":"Massimo D","non-dropping-particle":"","parse-names":false,"suffix":""},{"dropping-particle":"","family":"Civetta","given":"Lucia","non-dropping-particle":"","parse-names":false,"suffix":""}],"id":"ITEM-1","issued":{"date-parts":[["2022"]]},"page":"175-200","publisher":"Springer","title":"Rheological Properties of the Magmas Feeding the Campi Flegrei Caldera (Italy) and Their Influence on Mixing Processes","type":"chapter"},"uris":["http://www.mendeley.com/documents/?uuid=c603e849-1526-4579-adf7-899c433b8cb3"]}],"mendeley":{"formattedCitation":"(De Campos, Hess, Perugini, &amp; Dingwell, 2022)","manualFormatting":"De Campos et al. (2022)","plainTextFormattedCitation":"(De Campos, Hess, Perugini, &amp; Dingwell, 2022)","previouslyFormattedCitation":"(De Campos, Hess, Perugini, &amp; Dingwell, 2022)"},"properties":{"noteIndex":0},"schema":"https://github.com/citation-style-language/schema/raw/master/csl-citation.json"}</w:instrText>
      </w:r>
      <w:r w:rsidR="007422E9">
        <w:rPr>
          <w:rFonts w:eastAsiaTheme="minorEastAsia"/>
        </w:rPr>
        <w:fldChar w:fldCharType="separate"/>
      </w:r>
      <w:r w:rsidR="00686B49" w:rsidRPr="00686B49">
        <w:rPr>
          <w:rFonts w:eastAsiaTheme="minorEastAsia"/>
          <w:noProof/>
        </w:rPr>
        <w:t xml:space="preserve">De Campos et al. </w:t>
      </w:r>
      <w:r w:rsidR="00686B49">
        <w:rPr>
          <w:rFonts w:eastAsiaTheme="minorEastAsia"/>
          <w:noProof/>
        </w:rPr>
        <w:t>(</w:t>
      </w:r>
      <w:r w:rsidR="00686B49" w:rsidRPr="00686B49">
        <w:rPr>
          <w:rFonts w:eastAsiaTheme="minorEastAsia"/>
          <w:noProof/>
        </w:rPr>
        <w:t>2022)</w:t>
      </w:r>
      <w:r w:rsidR="007422E9">
        <w:rPr>
          <w:rFonts w:eastAsiaTheme="minorEastAsia"/>
        </w:rPr>
        <w:fldChar w:fldCharType="end"/>
      </w:r>
      <w:r w:rsidR="00686B49">
        <w:rPr>
          <w:rFonts w:eastAsiaTheme="minorEastAsia"/>
        </w:rPr>
        <w:t xml:space="preserve"> and reference within</w:t>
      </w:r>
      <w:r w:rsidR="005A49D2">
        <w:rPr>
          <w:rFonts w:eastAsiaTheme="minorEastAsia"/>
        </w:rPr>
        <w:t>.</w:t>
      </w:r>
      <w:r w:rsidR="00F45064">
        <w:rPr>
          <w:rFonts w:eastAsiaTheme="minorEastAsia"/>
        </w:rPr>
        <w:t xml:space="preserve"> </w:t>
      </w:r>
      <w:r w:rsidR="0025180D">
        <w:rPr>
          <w:rFonts w:eastAsiaTheme="minorEastAsia"/>
        </w:rPr>
        <w:t>The calculation</w:t>
      </w:r>
      <w:r w:rsidR="00A25925">
        <w:rPr>
          <w:rFonts w:eastAsiaTheme="minorEastAsia"/>
        </w:rPr>
        <w:t>s</w:t>
      </w:r>
      <w:r w:rsidR="0025180D">
        <w:rPr>
          <w:rFonts w:eastAsiaTheme="minorEastAsia"/>
        </w:rPr>
        <w:t xml:space="preserve"> were made for a melt </w:t>
      </w:r>
      <w:r w:rsidR="0025180D" w:rsidRPr="00B24313">
        <w:rPr>
          <w:rFonts w:eastAsiaTheme="minorEastAsia"/>
        </w:rPr>
        <w:t>at 7</w:t>
      </w:r>
      <w:r w:rsidR="00663A77">
        <w:rPr>
          <w:rFonts w:eastAsiaTheme="minorEastAsia"/>
        </w:rPr>
        <w:t xml:space="preserve"> </w:t>
      </w:r>
      <w:r w:rsidR="0025180D" w:rsidRPr="00B24313">
        <w:rPr>
          <w:rFonts w:eastAsiaTheme="minorEastAsia"/>
        </w:rPr>
        <w:t>km depth at 970</w:t>
      </w:r>
      <w:r w:rsidR="00B24313">
        <w:rPr>
          <w:rFonts w:eastAsiaTheme="minorEastAsia"/>
        </w:rPr>
        <w:t xml:space="preserve"> </w:t>
      </w:r>
      <w:r w:rsidR="00663A77">
        <w:rPr>
          <w:rFonts w:eastAsiaTheme="minorEastAsia"/>
        </w:rPr>
        <w:t>˚</w:t>
      </w:r>
      <w:r w:rsidR="0025180D" w:rsidRPr="00B24313">
        <w:rPr>
          <w:rFonts w:eastAsiaTheme="minorEastAsia"/>
        </w:rPr>
        <w:t>C</w:t>
      </w:r>
      <w:r w:rsidR="00B24313">
        <w:rPr>
          <w:rFonts w:eastAsiaTheme="minorEastAsia"/>
        </w:rPr>
        <w:t xml:space="preserve"> </w:t>
      </w:r>
      <w:r w:rsidR="00E851C3">
        <w:rPr>
          <w:rFonts w:eastAsiaTheme="minorEastAsia"/>
        </w:rPr>
        <w:t>in agreement</w:t>
      </w:r>
      <w:r w:rsidR="00B24313">
        <w:rPr>
          <w:rFonts w:eastAsiaTheme="minorEastAsia"/>
        </w:rPr>
        <w:t xml:space="preserve"> with what was proposed by</w:t>
      </w:r>
      <w:r w:rsidR="002E7316">
        <w:rPr>
          <w:rFonts w:eastAsiaTheme="minorEastAsia"/>
        </w:rPr>
        <w:t xml:space="preserve"> </w:t>
      </w:r>
      <w:r w:rsidR="002E7316">
        <w:rPr>
          <w:rFonts w:eastAsiaTheme="minorEastAsia"/>
        </w:rPr>
        <w:fldChar w:fldCharType="begin" w:fldLock="1"/>
      </w:r>
      <w:r w:rsidR="00C22E0D">
        <w:rPr>
          <w:rFonts w:eastAsiaTheme="minorEastAsia"/>
        </w:rPr>
        <w:instrText>ADDIN CSL_CITATION {"citationItems":[{"id":"ITEM-1","itemData":{"DOI":"10.1016/j.lithos.2018.08.033","ISSN":"18726143","abstract":"The Campi Flegrei caldera (southern Italy) is one of the most hazardous volcanic systems on Earth, having produced &gt;60 eruptions in the past 15 ka. The caldera remains active and its potential for future eruptions is high, posing a danger to the dense population living nearby. Despite this, our understanding of pre-eruptive processes and the architecture of the sub-volcanic system are poorly constrained. Here, we combine established petrological techniques, geothermobarometric evaluation, and high-resolution trace element crystal mapping, to present a multifaceted, coherent reconstruction of the complex pre-eruptive dynamics and eruption timescales of Astroni volcano located in the eastern sector of Campi Flegrei caldera. The Astroni volcano is an important case study for investigating plumbing system processes and dynamics at Campi Flegrei caldera because it produced the most recent (ca. 4 ka ago) Plinian eruption within the caldera (Astroni 6); current long-term forecasting studies postulate that a similar sized event in this location is a probable future scenario. Geothermobarometric results indicate interaction between an evolved, shallow magma chamber, and a less evolved, deeper pocket of magma, in agreement with previous studies focused on the Astroni 6 eruption products. In addition, a range of textural and trace element zoning patterns point to a complex evolution of both magmas prior to their subsequent interaction. High-resolution trace element crystal maps reveal discrete zonations in compatible elements. These zonations, combined with knowledge of K-feldspar growth rates, highlight a recharge event in the shallow plumbing system a few hours to days before the Astroni 6 eruption.","author":[{"dropping-particle":"","family":"Astbury","given":"Rebecca L.","non-dropping-particle":"","parse-names":false,"suffix":""},{"dropping-particle":"","family":"Petrelli","given":"Maurizio","non-dropping-particle":"","parse-names":false,"suffix":""},{"dropping-particle":"","family":"Ubide","given":"Teresa","non-dropping-particle":"","parse-names":false,"suffix":""},{"dropping-particle":"","family":"Stock","given":"Michael J.","non-dropping-particle":"","parse-names":false,"suffix":""},{"dropping-particle":"","family":"Arienzo","given":"Ilenia","non-dropping-particle":"","parse-names":false,"suffix":""},{"dropping-particle":"","family":"D'Antonio","given":"Massimo","non-dropping-particle":"","parse-names":false,"suffix":""},{"dropping-particle":"","family":"Perugini","given":"Diego","non-dropping-particle":"","parse-names":false,"suffix":""}],"container-title":"Lithos","id":"ITEM-1","issued":{"date-parts":[["2018"]]},"page":"464-477","publisher":"Elsevier B.V.","title":"Tracking plumbing system dynamics at the Campi Flegrei caldera, Italy: High-resolution trace element mapping of the Astroni crystal cargo","type":"article-journal","volume":"318-319"},"uris":["http://www.mendeley.com/documents/?uuid=071dd9fb-c769-411d-b193-ff6ee9839723"]}],"mendeley":{"formattedCitation":"(Astbury et al., 2018)","plainTextFormattedCitation":"(Astbury et al., 2018)","previouslyFormattedCitation":"(Astbury et al., 2018)"},"properties":{"noteIndex":0},"schema":"https://github.com/citation-style-language/schema/raw/master/csl-citation.json"}</w:instrText>
      </w:r>
      <w:r w:rsidR="002E7316">
        <w:rPr>
          <w:rFonts w:eastAsiaTheme="minorEastAsia"/>
        </w:rPr>
        <w:fldChar w:fldCharType="separate"/>
      </w:r>
      <w:r w:rsidR="00000A2B" w:rsidRPr="00000A2B">
        <w:rPr>
          <w:rFonts w:eastAsiaTheme="minorEastAsia"/>
          <w:noProof/>
        </w:rPr>
        <w:t>(Astbury et al., 2018)</w:t>
      </w:r>
      <w:r w:rsidR="002E7316">
        <w:rPr>
          <w:rFonts w:eastAsiaTheme="minorEastAsia"/>
        </w:rPr>
        <w:fldChar w:fldCharType="end"/>
      </w:r>
      <w:r w:rsidR="00B24313">
        <w:rPr>
          <w:rFonts w:eastAsiaTheme="minorEastAsia"/>
        </w:rPr>
        <w:t xml:space="preserve"> for </w:t>
      </w:r>
      <w:proofErr w:type="spellStart"/>
      <w:r w:rsidR="00B24313">
        <w:rPr>
          <w:rFonts w:eastAsiaTheme="minorEastAsia"/>
        </w:rPr>
        <w:t>Astroni</w:t>
      </w:r>
      <w:proofErr w:type="spellEnd"/>
      <w:r w:rsidR="00B24313">
        <w:rPr>
          <w:rFonts w:eastAsiaTheme="minorEastAsia"/>
        </w:rPr>
        <w:t xml:space="preserve"> 6 eruption. </w:t>
      </w:r>
      <w:r w:rsidR="00CE1FC0">
        <w:rPr>
          <w:rFonts w:eastAsiaTheme="minorEastAsia"/>
        </w:rPr>
        <w:t xml:space="preserve">Finally, </w:t>
      </w:r>
      <m:oMath>
        <m:sSub>
          <m:sSubPr>
            <m:ctrlPr>
              <w:rPr>
                <w:rFonts w:ascii="Cambria Math" w:hAnsi="Cambria Math"/>
                <w:i/>
              </w:rPr>
            </m:ctrlPr>
          </m:sSubPr>
          <m:e>
            <m:r>
              <w:rPr>
                <w:rFonts w:ascii="Cambria Math" w:hAnsi="Cambria Math"/>
              </w:rPr>
              <m:t>η</m:t>
            </m:r>
          </m:e>
          <m:sub>
            <m:r>
              <w:rPr>
                <w:rFonts w:ascii="Cambria Math" w:hAnsi="Cambria Math"/>
              </w:rPr>
              <m:t xml:space="preserve">r </m:t>
            </m:r>
          </m:sub>
        </m:sSub>
      </m:oMath>
      <w:r w:rsidR="00A25D28">
        <w:rPr>
          <w:rFonts w:eastAsiaTheme="minorEastAsia"/>
        </w:rPr>
        <w:t xml:space="preserve"> was </w:t>
      </w:r>
      <w:r w:rsidR="00AC0456">
        <w:rPr>
          <w:rFonts w:eastAsiaTheme="minorEastAsia"/>
        </w:rPr>
        <w:t xml:space="preserve">obtained from </w:t>
      </w:r>
      <w:r w:rsidR="00AC0456" w:rsidRPr="00606986">
        <w:rPr>
          <w:rFonts w:eastAsiaTheme="minorEastAsia"/>
        </w:rPr>
        <w:t>equation</w:t>
      </w:r>
      <w:r w:rsidR="00985FB8" w:rsidRPr="00606986">
        <w:rPr>
          <w:rFonts w:eastAsiaTheme="minorEastAsia"/>
        </w:rPr>
        <w:t xml:space="preserve"> 4</w:t>
      </w:r>
      <w:r w:rsidR="00663137">
        <w:rPr>
          <w:rFonts w:eastAsiaTheme="minorEastAsia"/>
        </w:rPr>
        <w:t xml:space="preserve"> </w:t>
      </w:r>
      <w:r w:rsidR="00C434E0">
        <w:rPr>
          <w:rFonts w:eastAsiaTheme="minorEastAsia"/>
        </w:rPr>
        <w:fldChar w:fldCharType="begin" w:fldLock="1"/>
      </w:r>
      <w:r w:rsidR="00C22E0D">
        <w:rPr>
          <w:rFonts w:eastAsiaTheme="minorEastAsia"/>
        </w:rPr>
        <w:instrText>ADDIN CSL_CITATION {"citationItems":[{"id":"ITEM-1","itemData":{"DOI":"10.1016/0095-8522(56)90023-X","ISSN":"00958522","abstract":"The generalized flow theory of Ree and Eyring has been applied successfully to the extensive data of Maron and Fok (3) on the flow behavior of X-667 latex in both the Newtonian and non-Newtonian regions. By postulation of the presence of two flow units, a Newtonian water unit and a latex particle flow unit which may be non-Newtonian, an equation involving three parameters was obtained which reproduced very well dependence of the viscosity on rate of shear at all temperatures and concentrations. Further, the theory predicted the correct dependence of the parameters on temperature, from which could be obtained the heats of activation for flow of both the water and latex particles. Both heats of activation were found to be independent of concentration, with that of the water being the same as for the pure liquid. The theory does not predict the concentration dependence of the parameters. However, empirical equations for such dependence were deduced, from which it was possible to ascertain the values of the parameters in the Newtonian range below a volume fraction ν = 0.25, and to calculate therefrom Newtonian relative viscosities in good agreement with the observed ones at all temperatures and concentrations. Further, on extrapolation to ν = 0, νsp νt was found to be 2.60 as against the expected Einstein value of 2.50 for suspensions of spheres, while extrapolation to infinite viscosity gave a volume fraction in very good agreement with that expected for the rhombohedral close packing of nonuniform spheres. From the combination of the theoretical and empirical equations were obtained also expressions for the values of the \"molecular\" parameters of the theory as functions of temperature and concentration, and the entropy of activation for the flow of the latex particles. The distance between equilibrium positions of the water molecules was found to vary from 13 A. to zero between ν = 0 and the volume fraction at which the viscosity becomes infinite. On the other hand, the distances between equilibrium positions and planes of latex particles varied from infinity to zero between the same concentration limits. © 1956.","author":[{"dropping-particle":"","family":"Maron","given":"Samuel H.","non-dropping-particle":"","parse-names":false,"suffix":""},{"dropping-particle":"","family":"Pierce","given":"Percy E.","non-dropping-particle":"","parse-names":false,"suffix":""}],"container-title":"Journal of Colloid Science","id":"ITEM-1","issue":"1","issued":{"date-parts":[["1956"]]},"page":"80-95","title":"Application of ree-eyring generalized flow theory to suspensions of spherical particles","type":"article-journal","volume":"11"},"uris":["http://www.mendeley.com/documents/?uuid=f3fd188b-bd68-44f7-8ec0-1869a0f86ce3"]}],"mendeley":{"formattedCitation":"(Maron &amp; Pierce, 1956)","plainTextFormattedCitation":"(Maron &amp; Pierce, 1956)","previouslyFormattedCitation":"(Maron &amp; Pierce, 1956)"},"properties":{"noteIndex":0},"schema":"https://github.com/citation-style-language/schema/raw/master/csl-citation.json"}</w:instrText>
      </w:r>
      <w:r w:rsidR="00C434E0">
        <w:rPr>
          <w:rFonts w:eastAsiaTheme="minorEastAsia"/>
        </w:rPr>
        <w:fldChar w:fldCharType="separate"/>
      </w:r>
      <w:r w:rsidR="00000A2B" w:rsidRPr="00000A2B">
        <w:rPr>
          <w:rFonts w:eastAsiaTheme="minorEastAsia"/>
          <w:noProof/>
        </w:rPr>
        <w:t>(Maron &amp; Pierce, 1956)</w:t>
      </w:r>
      <w:r w:rsidR="00C434E0">
        <w:rPr>
          <w:rFonts w:eastAsiaTheme="minorEastAsia"/>
        </w:rPr>
        <w:fldChar w:fldCharType="end"/>
      </w:r>
      <w:r w:rsidR="00C434E0">
        <w:rPr>
          <w:rFonts w:eastAsiaTheme="minorEastAsia"/>
        </w:rPr>
        <w:t>,</w:t>
      </w:r>
      <w:r w:rsidR="000C396C">
        <w:rPr>
          <w:rFonts w:eastAsiaTheme="minorEastAsia"/>
        </w:rPr>
        <w:t xml:space="preserve"> considering the model </w:t>
      </w:r>
      <w:r w:rsidR="00C36703">
        <w:rPr>
          <w:rFonts w:eastAsiaTheme="minorEastAsia"/>
        </w:rPr>
        <w:t>proposed by</w:t>
      </w:r>
      <w:r w:rsidR="002E7316">
        <w:rPr>
          <w:rFonts w:eastAsiaTheme="minorEastAsia"/>
        </w:rPr>
        <w:t xml:space="preserve"> </w:t>
      </w:r>
      <w:r w:rsidR="002E7316">
        <w:rPr>
          <w:rFonts w:eastAsiaTheme="minorEastAsia"/>
        </w:rPr>
        <w:fldChar w:fldCharType="begin" w:fldLock="1"/>
      </w:r>
      <w:r w:rsidR="00C22E0D">
        <w:rPr>
          <w:rFonts w:eastAsiaTheme="minorEastAsia"/>
        </w:rPr>
        <w:instrText>ADDIN CSL_CITATION {"citationItems":[{"id":"ITEM-1","itemData":{"DOI":"10.1016/j.jvolgeores.2013.02.014","ISSN":"03770273","abstract":"We consider the current state of our understanding of the rheology of two-phase magmas, that is suspensions of either bubbles or crystals in a viscous silicate melt. The discussion is restricted to strain-rates at which the suspending melt can be considered Newtonian. We start by considering the range of textures found in magmas and the bubble deformation and particle motions caused by shearing. We then review proposed models for suspensions, focussing on those functions of the form ηr=f(φ) or τ=fγ̇ that have been most widely used to describe magmatic systems (ηr is the relative apparent viscosity of the suspension, φ is the volume fraction of the suspended phase, τ is the driving stress, and γ̇ is the strain-rate). Both theoretical and empirical methods are presented and then compared against the available analogue (i.e. non-magmatic) and magmatic data. The paper contains new data and significant re-analysis of previously published data. We present a new semi-empirical constitutive model for bubble-bearing magmas that is valid for steady and unsteady flow and large strains and strain-rates. This equation utilises a new parameter, the capillarity Cx, that encapsulates the combined effect of shearing and unsteadiness on bubble suspensions. We also present a new scheme for dealing with polydispersivity of bubble suspensions. New data on the rheology of particle suspensions undergoing forced-oscillations are presented. These data show that the Cox-Merz rule only holds for dilute particle suspensions φ</w:instrText>
      </w:r>
      <w:r w:rsidR="00C22E0D">
        <w:rPr>
          <w:rFonts w:ascii="Cambria Math" w:eastAsiaTheme="minorEastAsia" w:hAnsi="Cambria Math" w:cs="Cambria Math"/>
        </w:rPr>
        <w:instrText>≲</w:instrText>
      </w:r>
      <w:r w:rsidR="00C22E0D">
        <w:rPr>
          <w:rFonts w:eastAsiaTheme="minorEastAsia"/>
        </w:rPr>
        <w:instrText>0.25. A re-analysis of all available experimental data that relate rheology to particle aspect ratio provides distinct curves of maximum packing as a function of aspect ratio for smooth and rough particles with magmatic data lying on the curve appropriate for rough particles. We analyse several rheological datasets of crystal-bearing basaltic magmas and find that they are in good agreement with the constitutive equations derived from analogue data. By contrast, the same equations do not agree well with data for high-viscosity, haplogranitic melts. This may be an effect of fracturing or viscous dissipation within these samples. The paper concludes with a practical 'rheological recipes' section giving a step-by-step method for calculating a constitutive equation for a two-phase magmatic suspension and assessing its likely accuracy. © 2013 Elsevier B.V.","author":[{"dropping-particle":"","family":"Mader","given":"H. M.","non-dropping-particle":"","parse-names":false,"suffix":""},{"dropping-particle":"","family":"Llewellin","given":"E. W.","non-dropping-particle":"","parse-names":false,"suffix":""},{"dropping-particle":"","family":"Mueller","given":"S. P.","non-dropping-particle":"","parse-names":false,"suffix":""}],"container-title":"Journal of Volcanology and Geothermal Research","id":"ITEM-1","issued":{"date-parts":[["2013"]]},"page":"135-158","publisher":"Elsevier B.V.","title":"The rheology of two-phase magmas: A review and analysis","type":"article-journal","volume":"257"},"uris":["http://www.mendeley.com/documents/?uuid=fa19c0ea-1787-42b2-a2ef-30bc44d05909"]}],"mendeley":{"formattedCitation":"(Mader et al., 2013)","plainTextFormattedCitation":"(Mader et al., 2013)","previouslyFormattedCitation":"(Mader et al., 2013)"},"properties":{"noteIndex":0},"schema":"https://github.com/citation-style-language/schema/raw/master/csl-citation.json"}</w:instrText>
      </w:r>
      <w:r w:rsidR="002E7316">
        <w:rPr>
          <w:rFonts w:eastAsiaTheme="minorEastAsia"/>
        </w:rPr>
        <w:fldChar w:fldCharType="separate"/>
      </w:r>
      <w:r w:rsidR="00000A2B" w:rsidRPr="00000A2B">
        <w:rPr>
          <w:rFonts w:eastAsiaTheme="minorEastAsia"/>
          <w:noProof/>
        </w:rPr>
        <w:t>(Mader et al., 2013)</w:t>
      </w:r>
      <w:r w:rsidR="002E7316">
        <w:rPr>
          <w:rFonts w:eastAsiaTheme="minorEastAsia"/>
        </w:rPr>
        <w:fldChar w:fldCharType="end"/>
      </w:r>
      <w:r w:rsidR="00C22E0D">
        <w:rPr>
          <w:rFonts w:eastAsiaTheme="minorEastAsia"/>
        </w:rPr>
        <w:t>:</w:t>
      </w:r>
    </w:p>
    <w:p w14:paraId="788DC322" w14:textId="0838C2B2" w:rsidR="00AC0456" w:rsidRPr="00336A05" w:rsidRDefault="00340F7B" w:rsidP="00985FB8">
      <w:pPr>
        <w:jc w:val="center"/>
        <w:rPr>
          <w:rFonts w:eastAsiaTheme="minorEastAsia"/>
        </w:rPr>
      </w:pPr>
      <m:oMath>
        <m:sSub>
          <m:sSubPr>
            <m:ctrlPr>
              <w:rPr>
                <w:rFonts w:ascii="Cambria Math" w:eastAsiaTheme="minorEastAsia" w:hAnsi="Cambria Math"/>
                <w:i/>
              </w:rPr>
            </m:ctrlPr>
          </m:sSubPr>
          <m:e>
            <m:sSub>
              <m:sSubPr>
                <m:ctrlPr>
                  <w:rPr>
                    <w:rFonts w:ascii="Cambria Math" w:eastAsiaTheme="minorEastAsia" w:hAnsi="Cambria Math"/>
                    <w:i/>
                  </w:rPr>
                </m:ctrlPr>
              </m:sSubPr>
              <m:e>
                <m:r>
                  <w:rPr>
                    <w:rFonts w:ascii="Cambria Math" w:eastAsiaTheme="minorEastAsia" w:hAnsi="Cambria Math"/>
                  </w:rPr>
                  <m:t>η</m:t>
                </m:r>
              </m:e>
              <m:sub>
                <m:r>
                  <w:rPr>
                    <w:rFonts w:ascii="Cambria Math" w:eastAsiaTheme="minorEastAsia" w:hAnsi="Cambria Math"/>
                  </w:rPr>
                  <m:t>r</m:t>
                </m:r>
              </m:sub>
            </m:sSub>
            <m:r>
              <w:rPr>
                <w:rFonts w:ascii="Cambria Math" w:eastAsiaTheme="minorEastAsia" w:hAnsi="Cambria Math"/>
              </w:rPr>
              <m:t>=K</m:t>
            </m:r>
          </m:e>
          <m:sub>
            <m:r>
              <w:rPr>
                <w:rFonts w:ascii="Cambria Math" w:eastAsiaTheme="minorEastAsia" w:hAnsi="Cambria Math"/>
              </w:rPr>
              <m:t>r</m:t>
            </m:r>
          </m:sub>
        </m:sSub>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1-</m:t>
                </m:r>
                <m:f>
                  <m:fPr>
                    <m:ctrlPr>
                      <w:rPr>
                        <w:rFonts w:ascii="Cambria Math" w:eastAsiaTheme="minorEastAsia" w:hAnsi="Cambria Math"/>
                        <w:i/>
                      </w:rPr>
                    </m:ctrlPr>
                  </m:fPr>
                  <m:num>
                    <m:r>
                      <w:rPr>
                        <w:rFonts w:ascii="Cambria Math" w:eastAsiaTheme="minorEastAsia" w:hAnsi="Cambria Math"/>
                      </w:rPr>
                      <m:t>ϕ</m:t>
                    </m:r>
                  </m:num>
                  <m:den>
                    <m:sSub>
                      <m:sSubPr>
                        <m:ctrlPr>
                          <w:rPr>
                            <w:rFonts w:ascii="Cambria Math" w:eastAsiaTheme="minorEastAsia" w:hAnsi="Cambria Math"/>
                            <w:i/>
                          </w:rPr>
                        </m:ctrlPr>
                      </m:sSubPr>
                      <m:e>
                        <m:r>
                          <w:rPr>
                            <w:rFonts w:ascii="Cambria Math" w:eastAsiaTheme="minorEastAsia" w:hAnsi="Cambria Math"/>
                          </w:rPr>
                          <m:t>ϕ</m:t>
                        </m:r>
                      </m:e>
                      <m:sub>
                        <m:r>
                          <w:rPr>
                            <w:rFonts w:ascii="Cambria Math" w:eastAsiaTheme="minorEastAsia" w:hAnsi="Cambria Math"/>
                          </w:rPr>
                          <m:t>m</m:t>
                        </m:r>
                      </m:sub>
                    </m:sSub>
                  </m:den>
                </m:f>
              </m:e>
            </m:d>
          </m:e>
          <m:sup>
            <m:r>
              <w:rPr>
                <w:rFonts w:ascii="Cambria Math" w:eastAsiaTheme="minorEastAsia" w:hAnsi="Cambria Math"/>
              </w:rPr>
              <m:t>-2</m:t>
            </m:r>
          </m:sup>
        </m:sSup>
      </m:oMath>
      <w:r w:rsidR="00985FB8" w:rsidRPr="00606986">
        <w:rPr>
          <w:rFonts w:eastAsiaTheme="minorEastAsia"/>
        </w:rPr>
        <w:t>(4)</w:t>
      </w:r>
    </w:p>
    <w:p w14:paraId="5B951DB9" w14:textId="5B163FBD" w:rsidR="00336A05" w:rsidRPr="00CE1FC0" w:rsidRDefault="00336A05" w:rsidP="006D13C4">
      <w:pPr>
        <w:jc w:val="both"/>
        <w:rPr>
          <w:rFonts w:eastAsiaTheme="minorEastAsia"/>
        </w:rPr>
      </w:pPr>
    </w:p>
    <w:p w14:paraId="3194E703" w14:textId="52FBDEC7" w:rsidR="00DD5690" w:rsidRDefault="00336A05" w:rsidP="00F5438D">
      <w:pPr>
        <w:jc w:val="both"/>
        <w:rPr>
          <w:rFonts w:eastAsiaTheme="minorEastAsia"/>
        </w:rPr>
      </w:pPr>
      <w:r>
        <w:lastRenderedPageBreak/>
        <w:t xml:space="preserve">With </w:t>
      </w:r>
      <m:oMath>
        <m:r>
          <w:rPr>
            <w:rFonts w:ascii="Cambria Math" w:eastAsiaTheme="minorEastAsia" w:hAnsi="Cambria Math"/>
          </w:rPr>
          <m:t>ϕ</m:t>
        </m:r>
      </m:oMath>
      <w:r>
        <w:rPr>
          <w:rFonts w:eastAsiaTheme="minorEastAsia"/>
        </w:rPr>
        <w:t xml:space="preserve"> being the crystal volume fraction and </w:t>
      </w:r>
      <m:oMath>
        <m:sSub>
          <m:sSubPr>
            <m:ctrlPr>
              <w:rPr>
                <w:rFonts w:ascii="Cambria Math" w:eastAsiaTheme="minorEastAsia" w:hAnsi="Cambria Math"/>
                <w:i/>
              </w:rPr>
            </m:ctrlPr>
          </m:sSubPr>
          <m:e>
            <m:r>
              <w:rPr>
                <w:rFonts w:ascii="Cambria Math" w:eastAsiaTheme="minorEastAsia" w:hAnsi="Cambria Math"/>
              </w:rPr>
              <m:t>ϕ</m:t>
            </m:r>
          </m:e>
          <m:sub>
            <m:r>
              <w:rPr>
                <w:rFonts w:ascii="Cambria Math" w:eastAsiaTheme="minorEastAsia" w:hAnsi="Cambria Math"/>
              </w:rPr>
              <m:t>m</m:t>
            </m:r>
          </m:sub>
        </m:sSub>
      </m:oMath>
      <w:r w:rsidR="00BD7476">
        <w:rPr>
          <w:rFonts w:eastAsiaTheme="minorEastAsia"/>
        </w:rPr>
        <w:t xml:space="preserve"> the maximum packing fraction.</w:t>
      </w:r>
      <w:r w:rsidR="00C22E0D">
        <w:rPr>
          <w:rFonts w:eastAsiaTheme="minorEastAsia"/>
        </w:rPr>
        <w:t xml:space="preserve"> For the final model we fixed a H</w:t>
      </w:r>
      <w:r w:rsidR="00C22E0D" w:rsidRPr="000C396C">
        <w:rPr>
          <w:rFonts w:eastAsiaTheme="minorEastAsia"/>
          <w:vertAlign w:val="subscript"/>
        </w:rPr>
        <w:t>2</w:t>
      </w:r>
      <w:r w:rsidR="00C22E0D">
        <w:rPr>
          <w:rFonts w:eastAsiaTheme="minorEastAsia"/>
        </w:rPr>
        <w:t>O content of 2 wt.%</w:t>
      </w:r>
      <w:r w:rsidR="00C30A19">
        <w:rPr>
          <w:rFonts w:eastAsiaTheme="minorEastAsia"/>
        </w:rPr>
        <w:t xml:space="preserve"> in the melt </w:t>
      </w:r>
      <w:r w:rsidR="00B400EB">
        <w:rPr>
          <w:rFonts w:eastAsiaTheme="minorEastAsia"/>
        </w:rPr>
        <w:fldChar w:fldCharType="begin" w:fldLock="1"/>
      </w:r>
      <w:r w:rsidR="00B400EB">
        <w:rPr>
          <w:rFonts w:eastAsiaTheme="minorEastAsia"/>
        </w:rPr>
        <w:instrText>ADDIN CSL_CITATION {"citationItems":[{"id":"ITEM-1","itemData":{"DOI":"10.1093/petrology/egy020","ISSN":"14602415","abstract":"Volatile elements play an important role in many aspects of the physicochemical architecture of sub-volcanic plumbing systems, from the liquid line of descent to the dynamics of magma storage and eruption. However, it remains difficult to constrain the behaviour of magmatic volatiles on short timescales before eruption using established petrological techniques (e.g. melt inclusions); specifically, in the final days to months of magma storage. This study presents a detailed model of pre-eruptive volatile behaviour in the Campi Flegrei system (Italy), through combined analyses of apatite crystals and glass. The deposits of eight eruptions were examined, covering the full spectrum of melt compositions, eruptive styles and periods of activity at Campi Flegrei in the past 15 kyr. Measured apatite compositions are compared with thermodynamic models that predict the evolution of the crystal compositions during different fractional crystallization scenarios, including (1) volatile-undersaturated conditions, (2) H2O-saturated conditions and (3) varying P-T conditions. The compositions of clinopyroxene-hosted and biotite-hosted apatite inclusions are consistent with crystallization under volatile-undersaturated conditions that persisted until late in magmatic evolution. Apatite microphenocrysts show significantly more compositional diversity, interpreted to reflect a mixed cargo of crystals derived from volatile-undersaturated melts at depth and melts that have undergone cooling and degassing in discrete shallow-crustal magma bodies. Apatite microphenocrysts from lavas show some re-equilibration during cooling at the surface. Clinopyroxene-hosted melt inclusions within the samples typically contain 2-4 wt % H2O, indicating that they have been reset during temporary magma storage at 1-3km depth, similar to the depth of sill emplacement during recent seismic crises at Campi Flegrei. Comparable apatite compositional trends are identified in each explosive eruption analysed, regardless of volume, composition or eruption timing. However, apatites from the different epochs of activity appear to indicate subtle changes in the H2O content of the parental melt feeding the Campi Flegrei system over time. This study demonstrates the potential utility of integrated apatite and glass analysis for investigating pre-eruptive volatile behaviour in apatite-bearing magmas.","author":[{"dropping-particle":"","family":"Stock","given":"Michael J.","non-dropping-particle":"","parse-names":false,"suffix":""},{"dropping-particle":"","family":"Humphreys","given":"Madeleine C.S.","non-dropping-particle":"","parse-names":false,"suffix":""},{"dropping-particle":"","family":"Smith","given":"Victoria C.","non-dropping-particle":"","parse-names":false,"suffix":""},{"dropping-particle":"","family":"Isaia","given":"Roberto","non-dropping-particle":"","parse-names":false,"suffix":""},{"dropping-particle":"","family":"Brooker","given":"Richard A.","non-dropping-particle":"","parse-names":false,"suffix":""},{"dropping-particle":"","family":"Pyle","given":"David M.","non-dropping-particle":"","parse-names":false,"suffix":""}],"container-title":"Journal of Petrology","id":"ITEM-1","issue":"12","issued":{"date-parts":[["2018"]]},"page":"2463-2492","title":"Tracking volatile behaviour in sub-volcanic plumbing systems using apatite and glass: Insights into pre-eruptive processes at Campi Flegrei, Italy","type":"article-journal","volume":"59"},"uris":["http://www.mendeley.com/documents/?uuid=379ae26b-965b-45af-937a-a429c6e4f21c"]}],"mendeley":{"formattedCitation":"(Stock et al., 2018)","plainTextFormattedCitation":"(Stock et al., 2018)"},"properties":{"noteIndex":0},"schema":"https://github.com/citation-style-language/schema/raw/master/csl-citation.json"}</w:instrText>
      </w:r>
      <w:r w:rsidR="00B400EB">
        <w:rPr>
          <w:rFonts w:eastAsiaTheme="minorEastAsia"/>
        </w:rPr>
        <w:fldChar w:fldCharType="separate"/>
      </w:r>
      <w:r w:rsidR="00B400EB" w:rsidRPr="00B400EB">
        <w:rPr>
          <w:rFonts w:eastAsiaTheme="minorEastAsia"/>
          <w:noProof/>
        </w:rPr>
        <w:t>(Stock et al., 2018)</w:t>
      </w:r>
      <w:r w:rsidR="00B400EB">
        <w:rPr>
          <w:rFonts w:eastAsiaTheme="minorEastAsia"/>
        </w:rPr>
        <w:fldChar w:fldCharType="end"/>
      </w:r>
      <w:r w:rsidR="00C22E0D">
        <w:rPr>
          <w:rFonts w:eastAsiaTheme="minorEastAsia"/>
        </w:rPr>
        <w:t xml:space="preserve"> and </w:t>
      </w:r>
      <m:oMath>
        <m:r>
          <w:rPr>
            <w:rFonts w:ascii="Cambria Math" w:eastAsiaTheme="minorEastAsia" w:hAnsi="Cambria Math"/>
          </w:rPr>
          <m:t>ϕ</m:t>
        </m:r>
      </m:oMath>
      <w:r w:rsidR="00C22E0D">
        <w:rPr>
          <w:rFonts w:eastAsiaTheme="minorEastAsia"/>
        </w:rPr>
        <w:t xml:space="preserve"> = 0.1</w:t>
      </w:r>
      <w:r w:rsidR="00B749E5">
        <w:rPr>
          <w:rFonts w:eastAsiaTheme="minorEastAsia"/>
        </w:rPr>
        <w:t xml:space="preserve"> obtaining the viscosities listed in table 2. </w:t>
      </w:r>
    </w:p>
    <w:p w14:paraId="239E51FC" w14:textId="77777777" w:rsidR="00F359F9" w:rsidRDefault="00F359F9" w:rsidP="00F5438D">
      <w:pPr>
        <w:jc w:val="both"/>
        <w:rPr>
          <w:rFonts w:eastAsiaTheme="minorEastAsia"/>
        </w:rPr>
      </w:pPr>
    </w:p>
    <w:p w14:paraId="1CB6ADFF" w14:textId="43431A6A" w:rsidR="00B749E5" w:rsidRPr="00E646CE" w:rsidRDefault="00B749E5" w:rsidP="00F359F9">
      <w:pPr>
        <w:pStyle w:val="Caption"/>
        <w:keepNext/>
        <w:rPr>
          <w:rFonts w:eastAsiaTheme="minorEastAsia"/>
          <w:i w:val="0"/>
          <w:iCs w:val="0"/>
          <w:color w:val="auto"/>
          <w:sz w:val="20"/>
          <w:szCs w:val="20"/>
          <w:highlight w:val="yellow"/>
        </w:rPr>
      </w:pPr>
      <w:r w:rsidRPr="002C1B50">
        <w:rPr>
          <w:rFonts w:eastAsiaTheme="minorEastAsia"/>
          <w:b/>
          <w:bCs/>
          <w:i w:val="0"/>
          <w:iCs w:val="0"/>
          <w:color w:val="auto"/>
          <w:sz w:val="20"/>
          <w:szCs w:val="20"/>
        </w:rPr>
        <w:t xml:space="preserve">Table </w:t>
      </w:r>
      <w:r>
        <w:rPr>
          <w:rFonts w:eastAsiaTheme="minorEastAsia"/>
          <w:b/>
          <w:bCs/>
          <w:i w:val="0"/>
          <w:iCs w:val="0"/>
          <w:color w:val="auto"/>
          <w:sz w:val="20"/>
          <w:szCs w:val="20"/>
        </w:rPr>
        <w:t>2</w:t>
      </w:r>
      <w:r w:rsidRPr="00A50A3A">
        <w:rPr>
          <w:rFonts w:eastAsiaTheme="minorEastAsia"/>
          <w:i w:val="0"/>
          <w:iCs w:val="0"/>
          <w:color w:val="auto"/>
          <w:sz w:val="20"/>
          <w:szCs w:val="20"/>
        </w:rPr>
        <w:t>.</w:t>
      </w:r>
      <w:r w:rsidRPr="008F78B0">
        <w:rPr>
          <w:rFonts w:eastAsiaTheme="minorEastAsia"/>
          <w:i w:val="0"/>
          <w:iCs w:val="0"/>
          <w:color w:val="auto"/>
          <w:sz w:val="20"/>
          <w:szCs w:val="20"/>
        </w:rPr>
        <w:t xml:space="preserve"> </w:t>
      </w:r>
      <w:r w:rsidR="00DB5F9E">
        <w:rPr>
          <w:rFonts w:eastAsiaTheme="minorEastAsia"/>
          <w:i w:val="0"/>
          <w:iCs w:val="0"/>
          <w:color w:val="auto"/>
          <w:sz w:val="20"/>
          <w:szCs w:val="20"/>
        </w:rPr>
        <w:t>Viscosities calculated and used for the magma ascent velocity modelling.</w:t>
      </w:r>
    </w:p>
    <w:tbl>
      <w:tblPr>
        <w:tblStyle w:val="PlainTable5"/>
        <w:tblW w:w="0" w:type="auto"/>
        <w:jc w:val="center"/>
        <w:tblLook w:val="04A0" w:firstRow="1" w:lastRow="0" w:firstColumn="1" w:lastColumn="0" w:noHBand="0" w:noVBand="1"/>
      </w:tblPr>
      <w:tblGrid>
        <w:gridCol w:w="3060"/>
        <w:gridCol w:w="1980"/>
        <w:gridCol w:w="2200"/>
      </w:tblGrid>
      <w:tr w:rsidR="00B749E5" w14:paraId="0630F896" w14:textId="77777777" w:rsidTr="00F359F9">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3060" w:type="dxa"/>
          </w:tcPr>
          <w:p w14:paraId="273DDE2A" w14:textId="6FFC5DE2" w:rsidR="00B749E5" w:rsidRPr="002C1B50" w:rsidRDefault="00B749E5" w:rsidP="00E53449">
            <w:pPr>
              <w:jc w:val="both"/>
              <w:rPr>
                <w:b/>
                <w:bCs/>
                <w:sz w:val="24"/>
              </w:rPr>
            </w:pPr>
            <w:r>
              <w:rPr>
                <w:b/>
                <w:bCs/>
                <w:sz w:val="24"/>
              </w:rPr>
              <w:t>Magma composition</w:t>
            </w:r>
          </w:p>
        </w:tc>
        <w:tc>
          <w:tcPr>
            <w:tcW w:w="1980" w:type="dxa"/>
            <w:shd w:val="clear" w:color="auto" w:fill="auto"/>
          </w:tcPr>
          <w:p w14:paraId="0B80B286" w14:textId="677BD0D3" w:rsidR="00B749E5" w:rsidRPr="002C1B50" w:rsidRDefault="00593DC8" w:rsidP="00E53449">
            <w:pPr>
              <w:jc w:val="both"/>
              <w:cnfStyle w:val="100000000000" w:firstRow="1" w:lastRow="0" w:firstColumn="0" w:lastColumn="0" w:oddVBand="0" w:evenVBand="0" w:oddHBand="0" w:evenHBand="0" w:firstRowFirstColumn="0" w:firstRowLastColumn="0" w:lastRowFirstColumn="0" w:lastRowLastColumn="0"/>
              <w:rPr>
                <w:b/>
                <w:bCs/>
                <w:sz w:val="24"/>
              </w:rPr>
            </w:pPr>
            <w:r>
              <w:rPr>
                <w:b/>
                <w:bCs/>
                <w:sz w:val="24"/>
              </w:rPr>
              <w:t>V</w:t>
            </w:r>
            <w:r w:rsidR="00B749E5">
              <w:rPr>
                <w:b/>
                <w:bCs/>
                <w:sz w:val="24"/>
              </w:rPr>
              <w:t>iscosity</w:t>
            </w:r>
            <w:r>
              <w:rPr>
                <w:b/>
                <w:bCs/>
                <w:sz w:val="24"/>
              </w:rPr>
              <w:t>-</w:t>
            </w:r>
            <w:r w:rsidRPr="00593DC8">
              <w:rPr>
                <w:b/>
                <w:bCs/>
                <w:sz w:val="24"/>
              </w:rPr>
              <w:t>η</w:t>
            </w:r>
          </w:p>
        </w:tc>
        <w:tc>
          <w:tcPr>
            <w:tcW w:w="2200" w:type="dxa"/>
          </w:tcPr>
          <w:p w14:paraId="2E54CC5E" w14:textId="77777777" w:rsidR="00B749E5" w:rsidRPr="002C1B50" w:rsidRDefault="00B749E5" w:rsidP="00E53449">
            <w:pPr>
              <w:jc w:val="both"/>
              <w:cnfStyle w:val="100000000000" w:firstRow="1" w:lastRow="0" w:firstColumn="0" w:lastColumn="0" w:oddVBand="0" w:evenVBand="0" w:oddHBand="0" w:evenHBand="0" w:firstRowFirstColumn="0" w:firstRowLastColumn="0" w:lastRowFirstColumn="0" w:lastRowLastColumn="0"/>
              <w:rPr>
                <w:b/>
                <w:bCs/>
                <w:sz w:val="24"/>
              </w:rPr>
            </w:pPr>
            <w:r w:rsidRPr="002C1B50">
              <w:rPr>
                <w:b/>
                <w:bCs/>
                <w:sz w:val="24"/>
              </w:rPr>
              <w:t>Unit</w:t>
            </w:r>
          </w:p>
        </w:tc>
      </w:tr>
      <w:tr w:rsidR="00B749E5" w14:paraId="41122976" w14:textId="77777777" w:rsidTr="00F359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60" w:type="dxa"/>
          </w:tcPr>
          <w:p w14:paraId="1FBD3C14" w14:textId="6F28A7FE" w:rsidR="00B749E5" w:rsidRPr="00357623" w:rsidRDefault="00593DC8" w:rsidP="00340F7B">
            <w:pPr>
              <w:jc w:val="left"/>
              <w:rPr>
                <w:rFonts w:eastAsiaTheme="minorEastAsia"/>
              </w:rPr>
            </w:pPr>
            <w:r>
              <w:rPr>
                <w:rFonts w:eastAsiaTheme="minorEastAsia"/>
              </w:rPr>
              <w:t>Phonolite</w:t>
            </w:r>
          </w:p>
        </w:tc>
        <w:tc>
          <w:tcPr>
            <w:tcW w:w="1980" w:type="dxa"/>
            <w:shd w:val="clear" w:color="auto" w:fill="auto"/>
          </w:tcPr>
          <w:p w14:paraId="39B69DD6" w14:textId="44A188D3" w:rsidR="00B749E5" w:rsidRPr="00336A05" w:rsidRDefault="00340F7B" w:rsidP="00E53449">
            <w:pPr>
              <w:jc w:val="both"/>
              <w:cnfStyle w:val="000000100000" w:firstRow="0" w:lastRow="0" w:firstColumn="0" w:lastColumn="0" w:oddVBand="0" w:evenVBand="0" w:oddHBand="1" w:evenHBand="0" w:firstRowFirstColumn="0" w:firstRowLastColumn="0" w:lastRowFirstColumn="0" w:lastRowLastColumn="0"/>
              <w:rPr>
                <w:lang w:val="it-IT"/>
              </w:rPr>
            </w:pPr>
            <m:oMathPara>
              <m:oMathParaPr>
                <m:jc m:val="left"/>
              </m:oMathParaPr>
              <m:oMath>
                <m:sSup>
                  <m:sSupPr>
                    <m:ctrlPr>
                      <w:rPr>
                        <w:rFonts w:ascii="Cambria Math" w:hAnsi="Cambria Math"/>
                        <w:i/>
                        <w:lang w:val="it-IT"/>
                      </w:rPr>
                    </m:ctrlPr>
                  </m:sSupPr>
                  <m:e>
                    <m:r>
                      <w:rPr>
                        <w:rFonts w:ascii="Cambria Math" w:hAnsi="Cambria Math"/>
                        <w:lang w:val="it-IT"/>
                      </w:rPr>
                      <m:t>1.44*10</m:t>
                    </m:r>
                  </m:e>
                  <m:sup>
                    <m:r>
                      <w:rPr>
                        <w:rFonts w:ascii="Cambria Math" w:hAnsi="Cambria Math"/>
                        <w:lang w:val="it-IT"/>
                      </w:rPr>
                      <m:t>4.063</m:t>
                    </m:r>
                  </m:sup>
                </m:sSup>
              </m:oMath>
            </m:oMathPara>
          </w:p>
        </w:tc>
        <w:tc>
          <w:tcPr>
            <w:tcW w:w="2200" w:type="dxa"/>
            <w:shd w:val="clear" w:color="auto" w:fill="auto"/>
          </w:tcPr>
          <w:p w14:paraId="6B97FEAD" w14:textId="2EA56762" w:rsidR="00B749E5" w:rsidRPr="00C32B80" w:rsidRDefault="00593DC8" w:rsidP="00E53449">
            <w:pPr>
              <w:jc w:val="both"/>
              <w:cnfStyle w:val="000000100000" w:firstRow="0" w:lastRow="0" w:firstColumn="0" w:lastColumn="0" w:oddVBand="0" w:evenVBand="0" w:oddHBand="1" w:evenHBand="0" w:firstRowFirstColumn="0" w:firstRowLastColumn="0" w:lastRowFirstColumn="0" w:lastRowLastColumn="0"/>
              <w:rPr>
                <w:lang w:val="it-IT"/>
              </w:rPr>
            </w:pPr>
            <w:r>
              <w:rPr>
                <w:lang w:val="it-IT"/>
              </w:rPr>
              <w:t>Pa s</w:t>
            </w:r>
          </w:p>
        </w:tc>
      </w:tr>
      <w:tr w:rsidR="00B749E5" w14:paraId="2894FB2B" w14:textId="77777777" w:rsidTr="00F359F9">
        <w:trPr>
          <w:jc w:val="center"/>
        </w:trPr>
        <w:tc>
          <w:tcPr>
            <w:cnfStyle w:val="001000000000" w:firstRow="0" w:lastRow="0" w:firstColumn="1" w:lastColumn="0" w:oddVBand="0" w:evenVBand="0" w:oddHBand="0" w:evenHBand="0" w:firstRowFirstColumn="0" w:firstRowLastColumn="0" w:lastRowFirstColumn="0" w:lastRowLastColumn="0"/>
            <w:tcW w:w="3060" w:type="dxa"/>
          </w:tcPr>
          <w:p w14:paraId="70CD5C05" w14:textId="7E527426" w:rsidR="00B749E5" w:rsidRPr="00357623" w:rsidRDefault="00593DC8" w:rsidP="00340F7B">
            <w:pPr>
              <w:jc w:val="left"/>
              <w:rPr>
                <w:rFonts w:eastAsiaTheme="minorEastAsia"/>
              </w:rPr>
            </w:pPr>
            <w:r>
              <w:rPr>
                <w:rFonts w:eastAsiaTheme="minorEastAsia"/>
              </w:rPr>
              <w:t>Trachyte</w:t>
            </w:r>
          </w:p>
        </w:tc>
        <w:tc>
          <w:tcPr>
            <w:tcW w:w="1980" w:type="dxa"/>
            <w:shd w:val="clear" w:color="auto" w:fill="auto"/>
          </w:tcPr>
          <w:p w14:paraId="115028F3" w14:textId="23D68137" w:rsidR="00B749E5" w:rsidRPr="00336A05" w:rsidRDefault="00340F7B" w:rsidP="00E53449">
            <w:pPr>
              <w:jc w:val="both"/>
              <w:cnfStyle w:val="000000000000" w:firstRow="0" w:lastRow="0" w:firstColumn="0" w:lastColumn="0" w:oddVBand="0" w:evenVBand="0" w:oddHBand="0" w:evenHBand="0" w:firstRowFirstColumn="0" w:firstRowLastColumn="0" w:lastRowFirstColumn="0" w:lastRowLastColumn="0"/>
            </w:pPr>
            <m:oMathPara>
              <m:oMathParaPr>
                <m:jc m:val="left"/>
              </m:oMathParaPr>
              <m:oMath>
                <m:sSup>
                  <m:sSupPr>
                    <m:ctrlPr>
                      <w:rPr>
                        <w:rFonts w:ascii="Cambria Math" w:hAnsi="Cambria Math"/>
                        <w:i/>
                        <w:lang w:val="it-IT"/>
                      </w:rPr>
                    </m:ctrlPr>
                  </m:sSupPr>
                  <m:e>
                    <m:r>
                      <w:rPr>
                        <w:rFonts w:ascii="Cambria Math" w:hAnsi="Cambria Math"/>
                        <w:lang w:val="it-IT"/>
                      </w:rPr>
                      <m:t>1.44*10</m:t>
                    </m:r>
                  </m:e>
                  <m:sup>
                    <m:r>
                      <w:rPr>
                        <w:rFonts w:ascii="Cambria Math" w:hAnsi="Cambria Math"/>
                        <w:lang w:val="it-IT"/>
                      </w:rPr>
                      <m:t>4.019</m:t>
                    </m:r>
                  </m:sup>
                </m:sSup>
              </m:oMath>
            </m:oMathPara>
          </w:p>
        </w:tc>
        <w:tc>
          <w:tcPr>
            <w:tcW w:w="2200" w:type="dxa"/>
            <w:shd w:val="clear" w:color="auto" w:fill="auto"/>
          </w:tcPr>
          <w:p w14:paraId="65C09806" w14:textId="03A31CA9" w:rsidR="00B749E5" w:rsidRPr="007175D0" w:rsidRDefault="00593DC8" w:rsidP="00E53449">
            <w:pPr>
              <w:jc w:val="both"/>
              <w:cnfStyle w:val="000000000000" w:firstRow="0" w:lastRow="0" w:firstColumn="0" w:lastColumn="0" w:oddVBand="0" w:evenVBand="0" w:oddHBand="0" w:evenHBand="0" w:firstRowFirstColumn="0" w:firstRowLastColumn="0" w:lastRowFirstColumn="0" w:lastRowLastColumn="0"/>
              <w:rPr>
                <w:lang w:val="it-IT"/>
              </w:rPr>
            </w:pPr>
            <w:r>
              <w:rPr>
                <w:lang w:val="it-IT"/>
              </w:rPr>
              <w:t>Pa s</w:t>
            </w:r>
          </w:p>
        </w:tc>
      </w:tr>
      <w:tr w:rsidR="00B749E5" w14:paraId="7CDCA197" w14:textId="77777777" w:rsidTr="00F359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60" w:type="dxa"/>
          </w:tcPr>
          <w:p w14:paraId="7674640E" w14:textId="03EDD296" w:rsidR="00B749E5" w:rsidRPr="00357623" w:rsidRDefault="00593DC8" w:rsidP="00340F7B">
            <w:pPr>
              <w:jc w:val="left"/>
              <w:rPr>
                <w:rFonts w:eastAsiaTheme="minorEastAsia"/>
              </w:rPr>
            </w:pPr>
            <w:r>
              <w:rPr>
                <w:rFonts w:eastAsiaTheme="minorEastAsia"/>
              </w:rPr>
              <w:t>Latite</w:t>
            </w:r>
          </w:p>
        </w:tc>
        <w:tc>
          <w:tcPr>
            <w:tcW w:w="1980" w:type="dxa"/>
            <w:shd w:val="clear" w:color="auto" w:fill="auto"/>
          </w:tcPr>
          <w:p w14:paraId="6A2F5935" w14:textId="00DD120C" w:rsidR="00B749E5" w:rsidRPr="00336A05" w:rsidRDefault="00340F7B" w:rsidP="00E53449">
            <w:pPr>
              <w:jc w:val="both"/>
              <w:cnfStyle w:val="000000100000" w:firstRow="0" w:lastRow="0" w:firstColumn="0" w:lastColumn="0" w:oddVBand="0" w:evenVBand="0" w:oddHBand="1" w:evenHBand="0" w:firstRowFirstColumn="0" w:firstRowLastColumn="0" w:lastRowFirstColumn="0" w:lastRowLastColumn="0"/>
              <w:rPr>
                <w:lang w:val="it-IT"/>
              </w:rPr>
            </w:pPr>
            <m:oMathPara>
              <m:oMathParaPr>
                <m:jc m:val="left"/>
              </m:oMathParaPr>
              <m:oMath>
                <m:sSup>
                  <m:sSupPr>
                    <m:ctrlPr>
                      <w:rPr>
                        <w:rFonts w:ascii="Cambria Math" w:hAnsi="Cambria Math"/>
                        <w:i/>
                        <w:lang w:val="it-IT"/>
                      </w:rPr>
                    </m:ctrlPr>
                  </m:sSupPr>
                  <m:e>
                    <m:r>
                      <w:rPr>
                        <w:rFonts w:ascii="Cambria Math" w:hAnsi="Cambria Math"/>
                        <w:lang w:val="it-IT"/>
                      </w:rPr>
                      <m:t>1.44*10</m:t>
                    </m:r>
                  </m:e>
                  <m:sup>
                    <m:r>
                      <w:rPr>
                        <w:rFonts w:ascii="Cambria Math" w:hAnsi="Cambria Math"/>
                        <w:lang w:val="it-IT"/>
                      </w:rPr>
                      <m:t>3.486</m:t>
                    </m:r>
                  </m:sup>
                </m:sSup>
              </m:oMath>
            </m:oMathPara>
          </w:p>
        </w:tc>
        <w:tc>
          <w:tcPr>
            <w:tcW w:w="2200" w:type="dxa"/>
            <w:shd w:val="clear" w:color="auto" w:fill="auto"/>
          </w:tcPr>
          <w:p w14:paraId="43430326" w14:textId="400EBBD2" w:rsidR="00B749E5" w:rsidRDefault="00593DC8" w:rsidP="00E53449">
            <w:pPr>
              <w:jc w:val="both"/>
              <w:cnfStyle w:val="000000100000" w:firstRow="0" w:lastRow="0" w:firstColumn="0" w:lastColumn="0" w:oddVBand="0" w:evenVBand="0" w:oddHBand="1" w:evenHBand="0" w:firstRowFirstColumn="0" w:firstRowLastColumn="0" w:lastRowFirstColumn="0" w:lastRowLastColumn="0"/>
            </w:pPr>
            <w:r>
              <w:t>Pa s</w:t>
            </w:r>
          </w:p>
        </w:tc>
      </w:tr>
      <w:tr w:rsidR="00B749E5" w14:paraId="789E0B11" w14:textId="77777777" w:rsidTr="00593DC8">
        <w:trPr>
          <w:trHeight w:val="153"/>
          <w:jc w:val="center"/>
        </w:trPr>
        <w:tc>
          <w:tcPr>
            <w:cnfStyle w:val="001000000000" w:firstRow="0" w:lastRow="0" w:firstColumn="1" w:lastColumn="0" w:oddVBand="0" w:evenVBand="0" w:oddHBand="0" w:evenHBand="0" w:firstRowFirstColumn="0" w:firstRowLastColumn="0" w:lastRowFirstColumn="0" w:lastRowLastColumn="0"/>
            <w:tcW w:w="3060" w:type="dxa"/>
          </w:tcPr>
          <w:p w14:paraId="3730276D" w14:textId="04652D55" w:rsidR="00B749E5" w:rsidRPr="00357623" w:rsidRDefault="00593DC8" w:rsidP="00340F7B">
            <w:pPr>
              <w:jc w:val="left"/>
              <w:rPr>
                <w:rFonts w:eastAsiaTheme="minorEastAsia"/>
              </w:rPr>
            </w:pPr>
            <w:r>
              <w:rPr>
                <w:rFonts w:eastAsiaTheme="minorEastAsia"/>
              </w:rPr>
              <w:t>Shoshonite</w:t>
            </w:r>
          </w:p>
        </w:tc>
        <w:tc>
          <w:tcPr>
            <w:tcW w:w="1980" w:type="dxa"/>
            <w:shd w:val="clear" w:color="auto" w:fill="auto"/>
          </w:tcPr>
          <w:p w14:paraId="4D6546F4" w14:textId="038F024C" w:rsidR="00B749E5" w:rsidRPr="007D4355" w:rsidRDefault="00340F7B" w:rsidP="00E53449">
            <w:pPr>
              <w:jc w:val="both"/>
              <w:cnfStyle w:val="000000000000" w:firstRow="0" w:lastRow="0" w:firstColumn="0" w:lastColumn="0" w:oddVBand="0" w:evenVBand="0" w:oddHBand="0" w:evenHBand="0" w:firstRowFirstColumn="0" w:firstRowLastColumn="0" w:lastRowFirstColumn="0" w:lastRowLastColumn="0"/>
            </w:pPr>
            <m:oMathPara>
              <m:oMathParaPr>
                <m:jc m:val="left"/>
              </m:oMathParaPr>
              <m:oMath>
                <m:sSup>
                  <m:sSupPr>
                    <m:ctrlPr>
                      <w:rPr>
                        <w:rFonts w:ascii="Cambria Math" w:hAnsi="Cambria Math"/>
                        <w:i/>
                        <w:lang w:val="it-IT"/>
                      </w:rPr>
                    </m:ctrlPr>
                  </m:sSupPr>
                  <m:e>
                    <m:r>
                      <w:rPr>
                        <w:rFonts w:ascii="Cambria Math" w:hAnsi="Cambria Math"/>
                        <w:lang w:val="it-IT"/>
                      </w:rPr>
                      <m:t>1.44*10</m:t>
                    </m:r>
                  </m:e>
                  <m:sup>
                    <m:r>
                      <w:rPr>
                        <w:rFonts w:ascii="Cambria Math" w:hAnsi="Cambria Math"/>
                        <w:lang w:val="it-IT"/>
                      </w:rPr>
                      <m:t>3.478</m:t>
                    </m:r>
                  </m:sup>
                </m:sSup>
              </m:oMath>
            </m:oMathPara>
          </w:p>
        </w:tc>
        <w:tc>
          <w:tcPr>
            <w:tcW w:w="2200" w:type="dxa"/>
            <w:shd w:val="clear" w:color="auto" w:fill="auto"/>
          </w:tcPr>
          <w:p w14:paraId="1839B33E" w14:textId="0120C62A" w:rsidR="00B749E5" w:rsidRDefault="00593DC8" w:rsidP="00E53449">
            <w:pPr>
              <w:jc w:val="both"/>
              <w:cnfStyle w:val="000000000000" w:firstRow="0" w:lastRow="0" w:firstColumn="0" w:lastColumn="0" w:oddVBand="0" w:evenVBand="0" w:oddHBand="0" w:evenHBand="0" w:firstRowFirstColumn="0" w:firstRowLastColumn="0" w:lastRowFirstColumn="0" w:lastRowLastColumn="0"/>
            </w:pPr>
            <w:r>
              <w:t>Pa s</w:t>
            </w:r>
          </w:p>
        </w:tc>
      </w:tr>
    </w:tbl>
    <w:p w14:paraId="74F6F8C4" w14:textId="77777777" w:rsidR="00B749E5" w:rsidRDefault="00B749E5" w:rsidP="00F5438D">
      <w:pPr>
        <w:jc w:val="both"/>
        <w:rPr>
          <w:rFonts w:eastAsiaTheme="minorEastAsia"/>
        </w:rPr>
      </w:pPr>
    </w:p>
    <w:p w14:paraId="5B2EC99C" w14:textId="7E8367F2" w:rsidR="00336A05" w:rsidRDefault="00336A05" w:rsidP="00F5438D">
      <w:pPr>
        <w:jc w:val="both"/>
      </w:pPr>
    </w:p>
    <w:p w14:paraId="1237A0BC" w14:textId="7B1DFC79" w:rsidR="00C179FC" w:rsidRDefault="00C179FC" w:rsidP="00F5438D">
      <w:pPr>
        <w:jc w:val="both"/>
      </w:pPr>
    </w:p>
    <w:p w14:paraId="486BA64B" w14:textId="77777777" w:rsidR="00C179FC" w:rsidRDefault="00C179FC" w:rsidP="00F5438D">
      <w:pPr>
        <w:jc w:val="both"/>
      </w:pPr>
    </w:p>
    <w:p w14:paraId="30E1332A" w14:textId="64D75A4B" w:rsidR="007175D0" w:rsidRPr="00C179FC" w:rsidRDefault="002E7316" w:rsidP="00F5438D">
      <w:pPr>
        <w:jc w:val="both"/>
        <w:rPr>
          <w:b/>
          <w:bCs/>
        </w:rPr>
      </w:pPr>
      <w:r w:rsidRPr="005338C5">
        <w:rPr>
          <w:b/>
          <w:bCs/>
        </w:rPr>
        <w:t xml:space="preserve">References </w:t>
      </w:r>
    </w:p>
    <w:p w14:paraId="6DAC9B50" w14:textId="0658C4BB" w:rsidR="007422E9" w:rsidRPr="00713EC2" w:rsidRDefault="007175D0" w:rsidP="007422E9">
      <w:pPr>
        <w:widowControl w:val="0"/>
        <w:autoSpaceDE w:val="0"/>
        <w:autoSpaceDN w:val="0"/>
        <w:adjustRightInd w:val="0"/>
        <w:ind w:left="480" w:hanging="480"/>
      </w:pPr>
      <w:r w:rsidRPr="007175D0">
        <w:t>﻿</w:t>
      </w:r>
      <w:r w:rsidR="007422E9" w:rsidRPr="00713EC2">
        <w:t xml:space="preserve"> </w:t>
      </w:r>
    </w:p>
    <w:p w14:paraId="0185BFDE" w14:textId="79DFFC5A" w:rsidR="00B400EB" w:rsidRPr="00B400EB" w:rsidRDefault="007422E9" w:rsidP="00340F7B">
      <w:pPr>
        <w:pStyle w:val="ListParagraph"/>
        <w:numPr>
          <w:ilvl w:val="0"/>
          <w:numId w:val="1"/>
        </w:numPr>
        <w:spacing w:line="360" w:lineRule="auto"/>
        <w:rPr>
          <w:noProof/>
        </w:rPr>
      </w:pPr>
      <w:r>
        <w:fldChar w:fldCharType="begin" w:fldLock="1"/>
      </w:r>
      <w:r w:rsidRPr="00340F7B">
        <w:rPr>
          <w:lang w:val="it-IT"/>
        </w:rPr>
        <w:instrText xml:space="preserve">ADDIN Mendeley Bibliography CSL_BIBLIOGRAPHY </w:instrText>
      </w:r>
      <w:r>
        <w:fldChar w:fldCharType="separate"/>
      </w:r>
      <w:r w:rsidR="00B400EB" w:rsidRPr="00340F7B">
        <w:rPr>
          <w:noProof/>
          <w:lang w:val="it-IT"/>
        </w:rPr>
        <w:t xml:space="preserve">Astbury, R. L., Petrelli, M., Ubide, T., Stock, M. J., Arienzo, I., D’Antonio, M., &amp; Perugini, D. (2018). </w:t>
      </w:r>
      <w:r w:rsidR="00B400EB" w:rsidRPr="00B400EB">
        <w:rPr>
          <w:noProof/>
        </w:rPr>
        <w:t xml:space="preserve">Tracking plumbing system dynamics at the Campi Flegrei caldera, Italy: High-resolution trace element mapping of the Astroni crystal cargo. </w:t>
      </w:r>
      <w:r w:rsidR="00B400EB" w:rsidRPr="00340F7B">
        <w:rPr>
          <w:i/>
          <w:iCs/>
          <w:noProof/>
        </w:rPr>
        <w:t>Lithos</w:t>
      </w:r>
      <w:r w:rsidR="00B400EB" w:rsidRPr="00B400EB">
        <w:rPr>
          <w:noProof/>
        </w:rPr>
        <w:t xml:space="preserve">, </w:t>
      </w:r>
      <w:r w:rsidR="00B400EB" w:rsidRPr="00340F7B">
        <w:rPr>
          <w:i/>
          <w:iCs/>
          <w:noProof/>
        </w:rPr>
        <w:t>318</w:t>
      </w:r>
      <w:r w:rsidR="00B400EB" w:rsidRPr="00B400EB">
        <w:rPr>
          <w:noProof/>
        </w:rPr>
        <w:t>–</w:t>
      </w:r>
      <w:r w:rsidR="00B400EB" w:rsidRPr="00340F7B">
        <w:rPr>
          <w:i/>
          <w:iCs/>
          <w:noProof/>
        </w:rPr>
        <w:t>319</w:t>
      </w:r>
      <w:r w:rsidR="00B400EB" w:rsidRPr="00B400EB">
        <w:rPr>
          <w:noProof/>
        </w:rPr>
        <w:t>, 464–477. https://doi.org/10.1016/j.lithos.2018.08.033</w:t>
      </w:r>
    </w:p>
    <w:p w14:paraId="031E5150" w14:textId="77777777" w:rsidR="00B400EB" w:rsidRPr="00340F7B" w:rsidRDefault="00B400EB" w:rsidP="00340F7B">
      <w:pPr>
        <w:pStyle w:val="ListParagraph"/>
        <w:numPr>
          <w:ilvl w:val="0"/>
          <w:numId w:val="1"/>
        </w:numPr>
        <w:spacing w:line="360" w:lineRule="auto"/>
        <w:rPr>
          <w:noProof/>
          <w:lang w:val="de-DE"/>
        </w:rPr>
      </w:pPr>
      <w:r w:rsidRPr="00B400EB">
        <w:rPr>
          <w:noProof/>
        </w:rPr>
        <w:t xml:space="preserve">De Campos, C. P., Hess, K. U., Perugini, D., &amp; Dingwell, D. B. (2022). Rheological Properties of the Magmas Feeding the Campi Flegrei Caldera (Italy) and Their Influence on Mixing Processes. </w:t>
      </w:r>
      <w:r w:rsidRPr="00340F7B">
        <w:rPr>
          <w:noProof/>
          <w:lang w:val="it-IT"/>
        </w:rPr>
        <w:t xml:space="preserve">In G. Orsi, M. D. Antonio, &amp; L. Civetta (Eds.), </w:t>
      </w:r>
      <w:r w:rsidRPr="00340F7B">
        <w:rPr>
          <w:i/>
          <w:iCs/>
          <w:noProof/>
          <w:lang w:val="it-IT"/>
        </w:rPr>
        <w:t>Campi Flegrei: A restless caldera in a densely populated area</w:t>
      </w:r>
      <w:r w:rsidRPr="00340F7B">
        <w:rPr>
          <w:noProof/>
          <w:lang w:val="it-IT"/>
        </w:rPr>
        <w:t xml:space="preserve"> (pp. 175–200). </w:t>
      </w:r>
      <w:r w:rsidRPr="00340F7B">
        <w:rPr>
          <w:noProof/>
          <w:lang w:val="de-DE"/>
        </w:rPr>
        <w:t>Springer. https://doi.org/10.1007/978-3-642-37060-1_6</w:t>
      </w:r>
    </w:p>
    <w:p w14:paraId="3D221D3D" w14:textId="77777777" w:rsidR="00B400EB" w:rsidRPr="00B400EB" w:rsidRDefault="00B400EB" w:rsidP="00340F7B">
      <w:pPr>
        <w:pStyle w:val="ListParagraph"/>
        <w:numPr>
          <w:ilvl w:val="0"/>
          <w:numId w:val="1"/>
        </w:numPr>
        <w:spacing w:line="360" w:lineRule="auto"/>
        <w:rPr>
          <w:noProof/>
        </w:rPr>
      </w:pPr>
      <w:r w:rsidRPr="00340F7B">
        <w:rPr>
          <w:noProof/>
          <w:lang w:val="de-DE"/>
        </w:rPr>
        <w:t xml:space="preserve">Giordano, D., Russell, J. K., &amp; Dingwell, D. B. (2008). </w:t>
      </w:r>
      <w:r w:rsidRPr="00B400EB">
        <w:rPr>
          <w:noProof/>
        </w:rPr>
        <w:t xml:space="preserve">Viscosity of magmatic liquids: A model. </w:t>
      </w:r>
      <w:r w:rsidRPr="00340F7B">
        <w:rPr>
          <w:i/>
          <w:iCs/>
          <w:noProof/>
        </w:rPr>
        <w:t>Earth and Planetary Science Letters</w:t>
      </w:r>
      <w:r w:rsidRPr="00B400EB">
        <w:rPr>
          <w:noProof/>
        </w:rPr>
        <w:t xml:space="preserve">, </w:t>
      </w:r>
      <w:r w:rsidRPr="00340F7B">
        <w:rPr>
          <w:i/>
          <w:iCs/>
          <w:noProof/>
        </w:rPr>
        <w:t>271</w:t>
      </w:r>
      <w:r w:rsidRPr="00B400EB">
        <w:rPr>
          <w:noProof/>
        </w:rPr>
        <w:t>(1–4), 123–134. https://doi.org/10.1016/j.epsl.2008.03.038</w:t>
      </w:r>
    </w:p>
    <w:p w14:paraId="60C894D2" w14:textId="77777777" w:rsidR="00B400EB" w:rsidRPr="00B400EB" w:rsidRDefault="00B400EB" w:rsidP="00340F7B">
      <w:pPr>
        <w:pStyle w:val="ListParagraph"/>
        <w:numPr>
          <w:ilvl w:val="0"/>
          <w:numId w:val="1"/>
        </w:numPr>
        <w:spacing w:line="360" w:lineRule="auto"/>
        <w:rPr>
          <w:noProof/>
        </w:rPr>
      </w:pPr>
      <w:r w:rsidRPr="00B400EB">
        <w:rPr>
          <w:noProof/>
        </w:rPr>
        <w:t xml:space="preserve">Mader, H. M., Llewellin, E. W., &amp; Mueller, S. P. (2013). The rheology of two-phase magmas: A review and analysis. </w:t>
      </w:r>
      <w:r w:rsidRPr="00340F7B">
        <w:rPr>
          <w:i/>
          <w:iCs/>
          <w:noProof/>
        </w:rPr>
        <w:t>Journal of Volcanology and Geothermal Research</w:t>
      </w:r>
      <w:r w:rsidRPr="00B400EB">
        <w:rPr>
          <w:noProof/>
        </w:rPr>
        <w:t xml:space="preserve">, </w:t>
      </w:r>
      <w:r w:rsidRPr="00340F7B">
        <w:rPr>
          <w:i/>
          <w:iCs/>
          <w:noProof/>
        </w:rPr>
        <w:t>257</w:t>
      </w:r>
      <w:r w:rsidRPr="00B400EB">
        <w:rPr>
          <w:noProof/>
        </w:rPr>
        <w:t>, 135–158. https://doi.org/10.1016/j.jvolgeores.2013.02.014</w:t>
      </w:r>
    </w:p>
    <w:p w14:paraId="0A021DD9" w14:textId="77777777" w:rsidR="00B400EB" w:rsidRPr="00B400EB" w:rsidRDefault="00B400EB" w:rsidP="00340F7B">
      <w:pPr>
        <w:pStyle w:val="ListParagraph"/>
        <w:numPr>
          <w:ilvl w:val="0"/>
          <w:numId w:val="1"/>
        </w:numPr>
        <w:spacing w:line="360" w:lineRule="auto"/>
        <w:rPr>
          <w:noProof/>
        </w:rPr>
      </w:pPr>
      <w:r w:rsidRPr="00340F7B">
        <w:rPr>
          <w:noProof/>
          <w:lang w:val="fr-FR"/>
        </w:rPr>
        <w:t xml:space="preserve">Maron, S. H., &amp; Pierce, P. E. (1956). </w:t>
      </w:r>
      <w:r w:rsidRPr="00B400EB">
        <w:rPr>
          <w:noProof/>
        </w:rPr>
        <w:t xml:space="preserve">Application of ree-eyring generalized flow theory to suspensions of spherical particles. </w:t>
      </w:r>
      <w:r w:rsidRPr="00340F7B">
        <w:rPr>
          <w:i/>
          <w:iCs/>
          <w:noProof/>
        </w:rPr>
        <w:t>Journal of Colloid Science</w:t>
      </w:r>
      <w:r w:rsidRPr="00B400EB">
        <w:rPr>
          <w:noProof/>
        </w:rPr>
        <w:t xml:space="preserve">, </w:t>
      </w:r>
      <w:r w:rsidRPr="00340F7B">
        <w:rPr>
          <w:i/>
          <w:iCs/>
          <w:noProof/>
        </w:rPr>
        <w:t>11</w:t>
      </w:r>
      <w:r w:rsidRPr="00B400EB">
        <w:rPr>
          <w:noProof/>
        </w:rPr>
        <w:t>(1), 80–95. https://doi.org/10.1016/0095-8522(56)90023-X</w:t>
      </w:r>
    </w:p>
    <w:p w14:paraId="0E3FD458" w14:textId="77777777" w:rsidR="00B400EB" w:rsidRPr="00B400EB" w:rsidRDefault="00B400EB" w:rsidP="00340F7B">
      <w:pPr>
        <w:pStyle w:val="ListParagraph"/>
        <w:numPr>
          <w:ilvl w:val="0"/>
          <w:numId w:val="1"/>
        </w:numPr>
        <w:spacing w:line="360" w:lineRule="auto"/>
        <w:rPr>
          <w:noProof/>
        </w:rPr>
      </w:pPr>
      <w:r w:rsidRPr="00B400EB">
        <w:rPr>
          <w:noProof/>
        </w:rPr>
        <w:t xml:space="preserve">Mastrolorenzo, G., &amp; Pappalardo, L. (2006). Magma degassing and crystallization processes during eruptions of high-risk Neapolitan-volcanoes: Evidence of common </w:t>
      </w:r>
      <w:r w:rsidRPr="00B400EB">
        <w:rPr>
          <w:noProof/>
        </w:rPr>
        <w:lastRenderedPageBreak/>
        <w:t xml:space="preserve">equilibrium rising processes in alkaline magmas. </w:t>
      </w:r>
      <w:r w:rsidRPr="00340F7B">
        <w:rPr>
          <w:i/>
          <w:iCs/>
          <w:noProof/>
        </w:rPr>
        <w:t>Earth and Planetary Science Letters</w:t>
      </w:r>
      <w:r w:rsidRPr="00B400EB">
        <w:rPr>
          <w:noProof/>
        </w:rPr>
        <w:t xml:space="preserve">, </w:t>
      </w:r>
      <w:r w:rsidRPr="00340F7B">
        <w:rPr>
          <w:i/>
          <w:iCs/>
          <w:noProof/>
        </w:rPr>
        <w:t>250</w:t>
      </w:r>
      <w:r w:rsidRPr="00B400EB">
        <w:rPr>
          <w:noProof/>
        </w:rPr>
        <w:t>(1–2), 164–181. https://doi.org/10.1016/j.epsl.2006.07.040</w:t>
      </w:r>
    </w:p>
    <w:p w14:paraId="41C1E486" w14:textId="77777777" w:rsidR="00B400EB" w:rsidRPr="00B400EB" w:rsidRDefault="00B400EB" w:rsidP="00340F7B">
      <w:pPr>
        <w:pStyle w:val="ListParagraph"/>
        <w:numPr>
          <w:ilvl w:val="0"/>
          <w:numId w:val="1"/>
        </w:numPr>
        <w:spacing w:line="360" w:lineRule="auto"/>
        <w:rPr>
          <w:noProof/>
        </w:rPr>
      </w:pPr>
      <w:r w:rsidRPr="00B400EB">
        <w:rPr>
          <w:noProof/>
        </w:rPr>
        <w:t>Max Planck Institute for Chemistry in Mainz. (n.d.). GeoRoc: Geochemistry of Rocks of the Oceans and Continents database. Retrieved February 8, 2022, from http://georoc.mpch-mainz.gwdg.de/georoc/</w:t>
      </w:r>
    </w:p>
    <w:p w14:paraId="4668B721" w14:textId="77777777" w:rsidR="00B400EB" w:rsidRPr="00B400EB" w:rsidRDefault="00B400EB" w:rsidP="00340F7B">
      <w:pPr>
        <w:pStyle w:val="ListParagraph"/>
        <w:numPr>
          <w:ilvl w:val="0"/>
          <w:numId w:val="1"/>
        </w:numPr>
        <w:spacing w:line="360" w:lineRule="auto"/>
        <w:rPr>
          <w:noProof/>
        </w:rPr>
      </w:pPr>
      <w:r w:rsidRPr="00340F7B">
        <w:rPr>
          <w:noProof/>
          <w:lang w:val="it-IT"/>
        </w:rPr>
        <w:t xml:space="preserve">Pappalardo, L., Ottolini, L., &amp; Mastrolorenzo, G. (2008). </w:t>
      </w:r>
      <w:r w:rsidRPr="00B400EB">
        <w:rPr>
          <w:noProof/>
        </w:rPr>
        <w:t xml:space="preserve">The Campanian Ignimbrite (southern Italy) geochemical zoning: Insight on the generation of a super-eruption from catastrophic differentiation and fast withdrawal. </w:t>
      </w:r>
      <w:r w:rsidRPr="00340F7B">
        <w:rPr>
          <w:i/>
          <w:iCs/>
          <w:noProof/>
        </w:rPr>
        <w:t>Contributions to Mineralogy and Petrology</w:t>
      </w:r>
      <w:r w:rsidRPr="00B400EB">
        <w:rPr>
          <w:noProof/>
        </w:rPr>
        <w:t xml:space="preserve">, </w:t>
      </w:r>
      <w:r w:rsidRPr="00340F7B">
        <w:rPr>
          <w:i/>
          <w:iCs/>
          <w:noProof/>
        </w:rPr>
        <w:t>156</w:t>
      </w:r>
      <w:r w:rsidRPr="00B400EB">
        <w:rPr>
          <w:noProof/>
        </w:rPr>
        <w:t>(1), 1–26. https://doi.org/10.1007/s00410-007-0270-0</w:t>
      </w:r>
    </w:p>
    <w:p w14:paraId="3A464DA5" w14:textId="77777777" w:rsidR="00B400EB" w:rsidRPr="00B400EB" w:rsidRDefault="00B400EB" w:rsidP="00340F7B">
      <w:pPr>
        <w:pStyle w:val="ListParagraph"/>
        <w:numPr>
          <w:ilvl w:val="0"/>
          <w:numId w:val="1"/>
        </w:numPr>
        <w:spacing w:line="360" w:lineRule="auto"/>
        <w:rPr>
          <w:noProof/>
        </w:rPr>
      </w:pPr>
      <w:r w:rsidRPr="00B400EB">
        <w:rPr>
          <w:noProof/>
        </w:rPr>
        <w:t xml:space="preserve">Rubin, A. M. (1993). Tensile fracture of rock at high confining pressure: implications for dike propagation. </w:t>
      </w:r>
      <w:r w:rsidRPr="00340F7B">
        <w:rPr>
          <w:i/>
          <w:iCs/>
          <w:noProof/>
        </w:rPr>
        <w:t>Journal of Geophysical Research</w:t>
      </w:r>
      <w:r w:rsidRPr="00B400EB">
        <w:rPr>
          <w:noProof/>
        </w:rPr>
        <w:t xml:space="preserve">, </w:t>
      </w:r>
      <w:r w:rsidRPr="00340F7B">
        <w:rPr>
          <w:i/>
          <w:iCs/>
          <w:noProof/>
        </w:rPr>
        <w:t>98</w:t>
      </w:r>
      <w:r w:rsidRPr="00B400EB">
        <w:rPr>
          <w:noProof/>
        </w:rPr>
        <w:t>(B9), 919–935. https://doi.org/10.1029/93jb01391</w:t>
      </w:r>
    </w:p>
    <w:p w14:paraId="361D98EB" w14:textId="77777777" w:rsidR="00B400EB" w:rsidRPr="00B400EB" w:rsidRDefault="00B400EB" w:rsidP="00340F7B">
      <w:pPr>
        <w:pStyle w:val="ListParagraph"/>
        <w:numPr>
          <w:ilvl w:val="0"/>
          <w:numId w:val="1"/>
        </w:numPr>
        <w:spacing w:line="360" w:lineRule="auto"/>
        <w:rPr>
          <w:noProof/>
        </w:rPr>
      </w:pPr>
      <w:r w:rsidRPr="00B400EB">
        <w:rPr>
          <w:noProof/>
        </w:rPr>
        <w:t xml:space="preserve">Stock, M. J., Humphreys, M. C. S., Smith, V. C., Isaia, R., Brooker, R. A., &amp; Pyle, D. M. (2018). Tracking volatile behaviour in sub-volcanic plumbing systems using apatite and glass: Insights into pre-eruptive processes at Campi Flegrei, Italy. </w:t>
      </w:r>
      <w:r w:rsidRPr="00340F7B">
        <w:rPr>
          <w:i/>
          <w:iCs/>
          <w:noProof/>
        </w:rPr>
        <w:t>Journal of Petrology</w:t>
      </w:r>
      <w:r w:rsidRPr="00B400EB">
        <w:rPr>
          <w:noProof/>
        </w:rPr>
        <w:t xml:space="preserve">, </w:t>
      </w:r>
      <w:r w:rsidRPr="00340F7B">
        <w:rPr>
          <w:i/>
          <w:iCs/>
          <w:noProof/>
        </w:rPr>
        <w:t>59</w:t>
      </w:r>
      <w:r w:rsidRPr="00B400EB">
        <w:rPr>
          <w:noProof/>
        </w:rPr>
        <w:t>(12), 2463–2492. https://doi.org/10.1093/petrology/egy020</w:t>
      </w:r>
    </w:p>
    <w:p w14:paraId="3AC4C7D3" w14:textId="7D06C9A7" w:rsidR="00713EC2" w:rsidRDefault="007422E9" w:rsidP="00340F7B">
      <w:pPr>
        <w:spacing w:line="360" w:lineRule="auto"/>
      </w:pPr>
      <w:r>
        <w:fldChar w:fldCharType="end"/>
      </w:r>
    </w:p>
    <w:sectPr w:rsidR="00713EC2" w:rsidSect="00943C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0D7243"/>
    <w:multiLevelType w:val="hybridMultilevel"/>
    <w:tmpl w:val="81F62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1933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108"/>
    <w:rsid w:val="00000A2B"/>
    <w:rsid w:val="00010212"/>
    <w:rsid w:val="000409F4"/>
    <w:rsid w:val="00044C59"/>
    <w:rsid w:val="00045820"/>
    <w:rsid w:val="00080225"/>
    <w:rsid w:val="00094928"/>
    <w:rsid w:val="000A799C"/>
    <w:rsid w:val="000C396C"/>
    <w:rsid w:val="00175B4F"/>
    <w:rsid w:val="00187BB2"/>
    <w:rsid w:val="001C20C3"/>
    <w:rsid w:val="001C3024"/>
    <w:rsid w:val="001D3733"/>
    <w:rsid w:val="001D5D95"/>
    <w:rsid w:val="001F5380"/>
    <w:rsid w:val="00211CC6"/>
    <w:rsid w:val="00221F8E"/>
    <w:rsid w:val="002442FF"/>
    <w:rsid w:val="0025180D"/>
    <w:rsid w:val="002917F1"/>
    <w:rsid w:val="002C1B50"/>
    <w:rsid w:val="002D2040"/>
    <w:rsid w:val="002E3819"/>
    <w:rsid w:val="002E7316"/>
    <w:rsid w:val="002F143F"/>
    <w:rsid w:val="003160AE"/>
    <w:rsid w:val="00336A05"/>
    <w:rsid w:val="00340F7B"/>
    <w:rsid w:val="00357623"/>
    <w:rsid w:val="00377F23"/>
    <w:rsid w:val="00384F9F"/>
    <w:rsid w:val="003E2459"/>
    <w:rsid w:val="003E2FA1"/>
    <w:rsid w:val="00404BDE"/>
    <w:rsid w:val="004144F3"/>
    <w:rsid w:val="0042156F"/>
    <w:rsid w:val="00426476"/>
    <w:rsid w:val="004837AB"/>
    <w:rsid w:val="005248A3"/>
    <w:rsid w:val="005338C5"/>
    <w:rsid w:val="0054550C"/>
    <w:rsid w:val="00593DC8"/>
    <w:rsid w:val="005A49D2"/>
    <w:rsid w:val="005E3556"/>
    <w:rsid w:val="005E598D"/>
    <w:rsid w:val="00606986"/>
    <w:rsid w:val="0063444A"/>
    <w:rsid w:val="00634B5C"/>
    <w:rsid w:val="0065073F"/>
    <w:rsid w:val="0065489D"/>
    <w:rsid w:val="00663137"/>
    <w:rsid w:val="00663A77"/>
    <w:rsid w:val="00686036"/>
    <w:rsid w:val="00686B49"/>
    <w:rsid w:val="006A6D35"/>
    <w:rsid w:val="006D13C4"/>
    <w:rsid w:val="006D33A8"/>
    <w:rsid w:val="006E57BF"/>
    <w:rsid w:val="006F57A6"/>
    <w:rsid w:val="007118B3"/>
    <w:rsid w:val="00713EC2"/>
    <w:rsid w:val="007175D0"/>
    <w:rsid w:val="00724786"/>
    <w:rsid w:val="00734DE1"/>
    <w:rsid w:val="007422E9"/>
    <w:rsid w:val="007618A5"/>
    <w:rsid w:val="00786398"/>
    <w:rsid w:val="00794F45"/>
    <w:rsid w:val="007A1889"/>
    <w:rsid w:val="007B08CB"/>
    <w:rsid w:val="007C1BFF"/>
    <w:rsid w:val="007C4CE3"/>
    <w:rsid w:val="007D4355"/>
    <w:rsid w:val="007F3641"/>
    <w:rsid w:val="007F5389"/>
    <w:rsid w:val="00830BA3"/>
    <w:rsid w:val="00854D9F"/>
    <w:rsid w:val="00871510"/>
    <w:rsid w:val="00887D74"/>
    <w:rsid w:val="008B50E9"/>
    <w:rsid w:val="008D37FE"/>
    <w:rsid w:val="008F78B0"/>
    <w:rsid w:val="00907E85"/>
    <w:rsid w:val="00910CF7"/>
    <w:rsid w:val="00927108"/>
    <w:rsid w:val="00942C15"/>
    <w:rsid w:val="00943C40"/>
    <w:rsid w:val="00943C58"/>
    <w:rsid w:val="00947136"/>
    <w:rsid w:val="00985FB8"/>
    <w:rsid w:val="009A1C22"/>
    <w:rsid w:val="009C29B0"/>
    <w:rsid w:val="009C597A"/>
    <w:rsid w:val="009E1BE6"/>
    <w:rsid w:val="009E1E16"/>
    <w:rsid w:val="00A25925"/>
    <w:rsid w:val="00A25D28"/>
    <w:rsid w:val="00A50A3A"/>
    <w:rsid w:val="00AA6901"/>
    <w:rsid w:val="00AC0456"/>
    <w:rsid w:val="00AC5B36"/>
    <w:rsid w:val="00AE4AAF"/>
    <w:rsid w:val="00B0377E"/>
    <w:rsid w:val="00B24313"/>
    <w:rsid w:val="00B36877"/>
    <w:rsid w:val="00B400EB"/>
    <w:rsid w:val="00B749E5"/>
    <w:rsid w:val="00B90E44"/>
    <w:rsid w:val="00B94990"/>
    <w:rsid w:val="00B9732B"/>
    <w:rsid w:val="00BD7476"/>
    <w:rsid w:val="00C14004"/>
    <w:rsid w:val="00C179FC"/>
    <w:rsid w:val="00C22E0D"/>
    <w:rsid w:val="00C24414"/>
    <w:rsid w:val="00C306DF"/>
    <w:rsid w:val="00C30A19"/>
    <w:rsid w:val="00C32B80"/>
    <w:rsid w:val="00C36703"/>
    <w:rsid w:val="00C434E0"/>
    <w:rsid w:val="00C80947"/>
    <w:rsid w:val="00C85132"/>
    <w:rsid w:val="00CC23CC"/>
    <w:rsid w:val="00CE1FC0"/>
    <w:rsid w:val="00CF3E94"/>
    <w:rsid w:val="00D30A87"/>
    <w:rsid w:val="00D456FC"/>
    <w:rsid w:val="00D5742A"/>
    <w:rsid w:val="00D67FBA"/>
    <w:rsid w:val="00D7139F"/>
    <w:rsid w:val="00D80293"/>
    <w:rsid w:val="00D86049"/>
    <w:rsid w:val="00DB5F9E"/>
    <w:rsid w:val="00DC4AAE"/>
    <w:rsid w:val="00DD3AB5"/>
    <w:rsid w:val="00DD5690"/>
    <w:rsid w:val="00DF2BE9"/>
    <w:rsid w:val="00E04F04"/>
    <w:rsid w:val="00E331DF"/>
    <w:rsid w:val="00E42579"/>
    <w:rsid w:val="00E53449"/>
    <w:rsid w:val="00E646CE"/>
    <w:rsid w:val="00E805B2"/>
    <w:rsid w:val="00E851C3"/>
    <w:rsid w:val="00E85D1E"/>
    <w:rsid w:val="00E86046"/>
    <w:rsid w:val="00ED2C46"/>
    <w:rsid w:val="00ED7206"/>
    <w:rsid w:val="00EE48AB"/>
    <w:rsid w:val="00F07F48"/>
    <w:rsid w:val="00F13B1F"/>
    <w:rsid w:val="00F323FF"/>
    <w:rsid w:val="00F359F9"/>
    <w:rsid w:val="00F44865"/>
    <w:rsid w:val="00F45064"/>
    <w:rsid w:val="00F5438D"/>
    <w:rsid w:val="00F90EAD"/>
    <w:rsid w:val="00FA213E"/>
    <w:rsid w:val="00FA5B1D"/>
    <w:rsid w:val="00FE7FEF"/>
    <w:rsid w:val="00FF27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C98A5"/>
  <w15:chartTrackingRefBased/>
  <w15:docId w15:val="{CC8773F2-D62C-0442-B7E3-01FF1EA9E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18A5"/>
    <w:rPr>
      <w:rFonts w:ascii="Times New Roman" w:hAnsi="Times New Roman"/>
    </w:rPr>
  </w:style>
  <w:style w:type="paragraph" w:styleId="Heading1">
    <w:name w:val="heading 1"/>
    <w:basedOn w:val="Normal"/>
    <w:next w:val="Normal"/>
    <w:link w:val="Heading1Char"/>
    <w:uiPriority w:val="9"/>
    <w:qFormat/>
    <w:rsid w:val="007618A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27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92710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5Dark">
    <w:name w:val="Grid Table 5 Dark"/>
    <w:basedOn w:val="TableNormal"/>
    <w:uiPriority w:val="50"/>
    <w:rsid w:val="0092710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6">
    <w:name w:val="Grid Table 5 Dark Accent 6"/>
    <w:basedOn w:val="TableNormal"/>
    <w:uiPriority w:val="50"/>
    <w:rsid w:val="0092710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character" w:styleId="PlaceholderText">
    <w:name w:val="Placeholder Text"/>
    <w:basedOn w:val="DefaultParagraphFont"/>
    <w:uiPriority w:val="99"/>
    <w:semiHidden/>
    <w:rsid w:val="008B50E9"/>
    <w:rPr>
      <w:color w:val="808080"/>
    </w:rPr>
  </w:style>
  <w:style w:type="paragraph" w:styleId="Caption">
    <w:name w:val="caption"/>
    <w:basedOn w:val="Normal"/>
    <w:next w:val="Normal"/>
    <w:uiPriority w:val="35"/>
    <w:unhideWhenUsed/>
    <w:qFormat/>
    <w:rsid w:val="008F78B0"/>
    <w:pPr>
      <w:spacing w:after="200"/>
    </w:pPr>
    <w:rPr>
      <w:i/>
      <w:iCs/>
      <w:color w:val="44546A" w:themeColor="text2"/>
      <w:sz w:val="18"/>
      <w:szCs w:val="18"/>
    </w:rPr>
  </w:style>
  <w:style w:type="table" w:styleId="PlainTable4">
    <w:name w:val="Plain Table 4"/>
    <w:basedOn w:val="TableNormal"/>
    <w:uiPriority w:val="44"/>
    <w:rsid w:val="0035762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35762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35762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5">
    <w:name w:val="Plain Table 5"/>
    <w:basedOn w:val="TableNormal"/>
    <w:uiPriority w:val="45"/>
    <w:rsid w:val="0035762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1Char">
    <w:name w:val="Heading 1 Char"/>
    <w:basedOn w:val="DefaultParagraphFont"/>
    <w:link w:val="Heading1"/>
    <w:uiPriority w:val="9"/>
    <w:rsid w:val="007618A5"/>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340F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C63B1A-553F-BD47-8698-54A74A312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5605</Words>
  <Characters>31953</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Ágreda López</dc:creator>
  <cp:keywords/>
  <dc:description/>
  <cp:lastModifiedBy>alessandro pisello</cp:lastModifiedBy>
  <cp:revision>2</cp:revision>
  <dcterms:created xsi:type="dcterms:W3CDTF">2022-05-14T22:06:00Z</dcterms:created>
  <dcterms:modified xsi:type="dcterms:W3CDTF">2022-05-14T22:06:00Z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5dd9a28f-8f08-367f-a4f1-f42b739bf784</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