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4C6" w:rsidRPr="00BA74C6" w:rsidRDefault="00BA74C6" w:rsidP="00BA74C6">
      <w:pPr>
        <w:rPr>
          <w:b/>
          <w:sz w:val="24"/>
          <w:szCs w:val="24"/>
        </w:rPr>
      </w:pPr>
      <w:r w:rsidRPr="00BA74C6">
        <w:rPr>
          <w:b/>
          <w:sz w:val="24"/>
          <w:szCs w:val="24"/>
        </w:rPr>
        <w:t>Supplementary Material to:</w:t>
      </w:r>
    </w:p>
    <w:p w:rsidR="009B6CC3" w:rsidRPr="009B6CC3" w:rsidRDefault="009B6CC3" w:rsidP="00AA4933">
      <w:pPr>
        <w:pStyle w:val="DocHead"/>
        <w:ind w:right="-136"/>
        <w:jc w:val="both"/>
        <w:rPr>
          <w:b/>
          <w:sz w:val="32"/>
          <w:szCs w:val="32"/>
        </w:rPr>
      </w:pPr>
      <w:bookmarkStart w:id="0" w:name="_GoBack"/>
      <w:bookmarkEnd w:id="0"/>
      <w:r w:rsidRPr="009B6CC3">
        <w:rPr>
          <w:b/>
          <w:szCs w:val="24"/>
        </w:rPr>
        <w:t xml:space="preserve">An impedance flow </w:t>
      </w:r>
      <w:proofErr w:type="spellStart"/>
      <w:r w:rsidRPr="009B6CC3">
        <w:rPr>
          <w:b/>
          <w:szCs w:val="24"/>
        </w:rPr>
        <w:t>cytometry</w:t>
      </w:r>
      <w:proofErr w:type="spellEnd"/>
      <w:r w:rsidRPr="009B6CC3">
        <w:rPr>
          <w:b/>
          <w:szCs w:val="24"/>
        </w:rPr>
        <w:t xml:space="preserve"> with integrated dual </w:t>
      </w:r>
      <w:proofErr w:type="spellStart"/>
      <w:r w:rsidRPr="009B6CC3">
        <w:rPr>
          <w:b/>
          <w:szCs w:val="24"/>
        </w:rPr>
        <w:t>microneedle</w:t>
      </w:r>
      <w:proofErr w:type="spellEnd"/>
      <w:r w:rsidRPr="009B6CC3">
        <w:rPr>
          <w:b/>
          <w:szCs w:val="24"/>
        </w:rPr>
        <w:t xml:space="preserve"> for electrical properties characterization of single cell</w:t>
      </w:r>
      <w:r w:rsidRPr="009B6CC3">
        <w:rPr>
          <w:b/>
          <w:sz w:val="32"/>
          <w:szCs w:val="32"/>
        </w:rPr>
        <w:t xml:space="preserve"> </w:t>
      </w:r>
    </w:p>
    <w:p w:rsidR="00BA74C6" w:rsidRPr="00BA74C6" w:rsidRDefault="00BA74C6">
      <w:pPr>
        <w:rPr>
          <w:b/>
          <w:sz w:val="24"/>
          <w:szCs w:val="24"/>
        </w:rPr>
      </w:pPr>
    </w:p>
    <w:p w:rsidR="00BA74C6" w:rsidRDefault="00BA74C6" w:rsidP="00BA74C6">
      <w:pPr>
        <w:pStyle w:val="MDPI13authornames"/>
        <w:spacing w:after="0" w:line="276" w:lineRule="auto"/>
        <w:jc w:val="both"/>
        <w:rPr>
          <w:rFonts w:asciiTheme="minorHAnsi" w:hAnsiTheme="minorHAnsi"/>
          <w:b w:val="0"/>
          <w:szCs w:val="20"/>
          <w:vertAlign w:val="superscript"/>
        </w:rPr>
      </w:pPr>
      <w:r w:rsidRPr="00BA74C6">
        <w:rPr>
          <w:rFonts w:asciiTheme="minorHAnsi" w:hAnsiTheme="minorHAnsi"/>
          <w:b w:val="0"/>
          <w:szCs w:val="20"/>
        </w:rPr>
        <w:t xml:space="preserve">Muhammad </w:t>
      </w:r>
      <w:proofErr w:type="spellStart"/>
      <w:r w:rsidRPr="00BA74C6">
        <w:rPr>
          <w:rFonts w:asciiTheme="minorHAnsi" w:hAnsiTheme="minorHAnsi"/>
          <w:b w:val="0"/>
          <w:szCs w:val="20"/>
        </w:rPr>
        <w:t>Asraf</w:t>
      </w:r>
      <w:proofErr w:type="spellEnd"/>
      <w:r w:rsidRPr="00BA74C6">
        <w:rPr>
          <w:rFonts w:asciiTheme="minorHAnsi" w:hAnsiTheme="minorHAnsi"/>
          <w:b w:val="0"/>
          <w:szCs w:val="20"/>
        </w:rPr>
        <w:t xml:space="preserve"> </w:t>
      </w:r>
      <w:proofErr w:type="spellStart"/>
      <w:r w:rsidRPr="00BA74C6">
        <w:rPr>
          <w:rFonts w:asciiTheme="minorHAnsi" w:hAnsiTheme="minorHAnsi"/>
          <w:b w:val="0"/>
          <w:szCs w:val="20"/>
        </w:rPr>
        <w:t>Mansor</w:t>
      </w:r>
      <w:r w:rsidRPr="00BA74C6">
        <w:rPr>
          <w:rFonts w:asciiTheme="minorHAnsi" w:hAnsiTheme="minorHAnsi"/>
          <w:b w:val="0"/>
          <w:szCs w:val="20"/>
          <w:vertAlign w:val="superscript"/>
        </w:rPr>
        <w:t>a</w:t>
      </w:r>
      <w:proofErr w:type="spellEnd"/>
      <w:r w:rsidRPr="00BA74C6">
        <w:rPr>
          <w:rFonts w:asciiTheme="minorHAnsi" w:hAnsiTheme="minorHAnsi"/>
          <w:b w:val="0"/>
          <w:szCs w:val="20"/>
        </w:rPr>
        <w:t>,</w:t>
      </w:r>
      <w:r w:rsidRPr="00BA74C6">
        <w:rPr>
          <w:rFonts w:asciiTheme="minorHAnsi" w:hAnsiTheme="minorHAnsi"/>
          <w:b w:val="0"/>
          <w:bCs/>
          <w:szCs w:val="20"/>
        </w:rPr>
        <w:t xml:space="preserve"> </w:t>
      </w:r>
      <w:proofErr w:type="spellStart"/>
      <w:r w:rsidRPr="00BA74C6">
        <w:rPr>
          <w:rFonts w:asciiTheme="minorHAnsi" w:hAnsiTheme="minorHAnsi"/>
          <w:b w:val="0"/>
          <w:bCs/>
          <w:color w:val="auto"/>
          <w:szCs w:val="20"/>
        </w:rPr>
        <w:t>Mohd</w:t>
      </w:r>
      <w:proofErr w:type="spellEnd"/>
      <w:r w:rsidRPr="00BA74C6">
        <w:rPr>
          <w:rFonts w:asciiTheme="minorHAnsi" w:hAnsiTheme="minorHAnsi"/>
          <w:b w:val="0"/>
          <w:bCs/>
          <w:color w:val="auto"/>
          <w:szCs w:val="20"/>
        </w:rPr>
        <w:t xml:space="preserve"> </w:t>
      </w:r>
      <w:proofErr w:type="spellStart"/>
      <w:r w:rsidRPr="00BA74C6">
        <w:rPr>
          <w:rFonts w:asciiTheme="minorHAnsi" w:hAnsiTheme="minorHAnsi"/>
          <w:b w:val="0"/>
          <w:bCs/>
          <w:color w:val="auto"/>
          <w:szCs w:val="20"/>
        </w:rPr>
        <w:t>Ridzuan</w:t>
      </w:r>
      <w:proofErr w:type="spellEnd"/>
      <w:r w:rsidRPr="00BA74C6">
        <w:rPr>
          <w:rFonts w:asciiTheme="minorHAnsi" w:hAnsiTheme="minorHAnsi"/>
          <w:b w:val="0"/>
          <w:bCs/>
          <w:color w:val="auto"/>
          <w:szCs w:val="20"/>
        </w:rPr>
        <w:t xml:space="preserve"> Ahmad</w:t>
      </w:r>
      <w:r w:rsidRPr="00BA74C6">
        <w:rPr>
          <w:rFonts w:asciiTheme="minorHAnsi" w:hAnsiTheme="minorHAnsi"/>
          <w:b w:val="0"/>
          <w:szCs w:val="20"/>
        </w:rPr>
        <w:t>*</w:t>
      </w:r>
      <w:r w:rsidRPr="00BA74C6">
        <w:rPr>
          <w:rFonts w:asciiTheme="minorHAnsi" w:hAnsiTheme="minorHAnsi"/>
          <w:b w:val="0"/>
          <w:szCs w:val="20"/>
          <w:vertAlign w:val="superscript"/>
        </w:rPr>
        <w:t>a</w:t>
      </w:r>
      <w:r w:rsidRPr="00BA74C6">
        <w:rPr>
          <w:rFonts w:asciiTheme="minorHAnsi" w:hAnsiTheme="minorHAnsi"/>
          <w:b w:val="0"/>
          <w:szCs w:val="20"/>
        </w:rPr>
        <w:t xml:space="preserve">, </w:t>
      </w:r>
      <w:r w:rsidRPr="00BA74C6">
        <w:rPr>
          <w:rFonts w:asciiTheme="minorHAnsi" w:hAnsiTheme="minorHAnsi"/>
          <w:b w:val="0"/>
          <w:bCs/>
          <w:szCs w:val="20"/>
        </w:rPr>
        <w:t xml:space="preserve">Michal </w:t>
      </w:r>
      <w:proofErr w:type="spellStart"/>
      <w:r w:rsidRPr="00BA74C6">
        <w:rPr>
          <w:rFonts w:asciiTheme="minorHAnsi" w:hAnsiTheme="minorHAnsi"/>
          <w:b w:val="0"/>
          <w:bCs/>
          <w:szCs w:val="20"/>
        </w:rPr>
        <w:t>Petrů</w:t>
      </w:r>
      <w:r w:rsidRPr="00BA74C6">
        <w:rPr>
          <w:rFonts w:asciiTheme="minorHAnsi" w:hAnsiTheme="minorHAnsi"/>
          <w:b w:val="0"/>
          <w:szCs w:val="20"/>
          <w:vertAlign w:val="superscript"/>
        </w:rPr>
        <w:t>b</w:t>
      </w:r>
      <w:proofErr w:type="spellEnd"/>
      <w:r w:rsidRPr="00BA74C6">
        <w:rPr>
          <w:rFonts w:asciiTheme="minorHAnsi" w:hAnsiTheme="minorHAnsi"/>
          <w:b w:val="0"/>
          <w:szCs w:val="20"/>
        </w:rPr>
        <w:t xml:space="preserve"> and </w:t>
      </w:r>
      <w:proofErr w:type="spellStart"/>
      <w:r w:rsidRPr="00BA74C6">
        <w:rPr>
          <w:rFonts w:asciiTheme="minorHAnsi" w:hAnsiTheme="minorHAnsi"/>
          <w:b w:val="0"/>
          <w:bCs/>
          <w:color w:val="auto"/>
          <w:szCs w:val="20"/>
        </w:rPr>
        <w:t>Seyed</w:t>
      </w:r>
      <w:proofErr w:type="spellEnd"/>
      <w:r w:rsidRPr="00BA74C6">
        <w:rPr>
          <w:rFonts w:asciiTheme="minorHAnsi" w:hAnsiTheme="minorHAnsi"/>
          <w:b w:val="0"/>
          <w:bCs/>
          <w:color w:val="auto"/>
          <w:szCs w:val="20"/>
        </w:rPr>
        <w:t xml:space="preserve"> </w:t>
      </w:r>
      <w:proofErr w:type="spellStart"/>
      <w:r w:rsidRPr="00BA74C6">
        <w:rPr>
          <w:rFonts w:asciiTheme="minorHAnsi" w:hAnsiTheme="minorHAnsi"/>
          <w:b w:val="0"/>
          <w:bCs/>
          <w:color w:val="auto"/>
          <w:szCs w:val="20"/>
        </w:rPr>
        <w:t>Saeid</w:t>
      </w:r>
      <w:proofErr w:type="spellEnd"/>
      <w:r w:rsidRPr="00BA74C6">
        <w:rPr>
          <w:rFonts w:asciiTheme="minorHAnsi" w:hAnsiTheme="minorHAnsi"/>
          <w:b w:val="0"/>
          <w:bCs/>
          <w:color w:val="auto"/>
          <w:szCs w:val="20"/>
        </w:rPr>
        <w:t xml:space="preserve"> </w:t>
      </w:r>
      <w:proofErr w:type="spellStart"/>
      <w:r w:rsidRPr="00BA74C6">
        <w:rPr>
          <w:rFonts w:asciiTheme="minorHAnsi" w:hAnsiTheme="minorHAnsi"/>
          <w:b w:val="0"/>
          <w:bCs/>
          <w:color w:val="auto"/>
          <w:szCs w:val="20"/>
        </w:rPr>
        <w:t>Rahimian</w:t>
      </w:r>
      <w:proofErr w:type="spellEnd"/>
      <w:r w:rsidRPr="00BA74C6">
        <w:rPr>
          <w:rFonts w:asciiTheme="minorHAnsi" w:hAnsiTheme="minorHAnsi"/>
          <w:b w:val="0"/>
          <w:bCs/>
          <w:color w:val="auto"/>
          <w:szCs w:val="20"/>
        </w:rPr>
        <w:t xml:space="preserve"> </w:t>
      </w:r>
      <w:proofErr w:type="spellStart"/>
      <w:r w:rsidRPr="00BA74C6">
        <w:rPr>
          <w:rFonts w:asciiTheme="minorHAnsi" w:hAnsiTheme="minorHAnsi"/>
          <w:b w:val="0"/>
          <w:bCs/>
          <w:color w:val="auto"/>
          <w:szCs w:val="20"/>
        </w:rPr>
        <w:t>Koloor</w:t>
      </w:r>
      <w:r w:rsidRPr="00BA74C6">
        <w:rPr>
          <w:rFonts w:asciiTheme="minorHAnsi" w:hAnsiTheme="minorHAnsi"/>
          <w:b w:val="0"/>
          <w:szCs w:val="20"/>
          <w:vertAlign w:val="superscript"/>
        </w:rPr>
        <w:t>b</w:t>
      </w:r>
      <w:proofErr w:type="spellEnd"/>
    </w:p>
    <w:p w:rsidR="00BA74C6" w:rsidRPr="00BA74C6" w:rsidRDefault="00BA74C6" w:rsidP="00BA74C6">
      <w:pPr>
        <w:rPr>
          <w:lang w:eastAsia="de-DE" w:bidi="en-US"/>
        </w:rPr>
      </w:pPr>
    </w:p>
    <w:p w:rsidR="00BA74C6" w:rsidRPr="00BA74C6" w:rsidRDefault="00BA74C6" w:rsidP="00BA74C6">
      <w:pPr>
        <w:pStyle w:val="Text"/>
        <w:spacing w:line="360" w:lineRule="auto"/>
        <w:ind w:firstLine="0"/>
        <w:rPr>
          <w:rFonts w:asciiTheme="minorHAnsi" w:hAnsiTheme="minorHAnsi"/>
          <w:iCs/>
          <w:lang w:bidi="en-US"/>
        </w:rPr>
      </w:pPr>
      <w:proofErr w:type="spellStart"/>
      <w:r w:rsidRPr="00BA74C6">
        <w:rPr>
          <w:rFonts w:asciiTheme="minorHAnsi" w:hAnsiTheme="minorHAnsi"/>
          <w:iCs/>
          <w:vertAlign w:val="superscript"/>
          <w:lang w:bidi="en-US"/>
        </w:rPr>
        <w:t>a</w:t>
      </w:r>
      <w:r w:rsidRPr="00BA74C6">
        <w:rPr>
          <w:rFonts w:asciiTheme="minorHAnsi" w:hAnsiTheme="minorHAnsi"/>
          <w:iCs/>
          <w:lang w:bidi="en-US"/>
        </w:rPr>
        <w:t>Division</w:t>
      </w:r>
      <w:proofErr w:type="spellEnd"/>
      <w:r w:rsidRPr="00BA74C6">
        <w:rPr>
          <w:rFonts w:asciiTheme="minorHAnsi" w:hAnsiTheme="minorHAnsi"/>
          <w:iCs/>
          <w:lang w:bidi="en-US"/>
        </w:rPr>
        <w:t xml:space="preserve"> of Control and Mechatronics Engineering, School of Electrical Engineering, Faculty of Engineering, </w:t>
      </w:r>
      <w:proofErr w:type="spellStart"/>
      <w:r w:rsidRPr="00BA74C6">
        <w:rPr>
          <w:rFonts w:asciiTheme="minorHAnsi" w:hAnsiTheme="minorHAnsi"/>
          <w:iCs/>
          <w:lang w:bidi="en-US"/>
        </w:rPr>
        <w:t>Universiti</w:t>
      </w:r>
      <w:proofErr w:type="spellEnd"/>
      <w:r w:rsidRPr="00BA74C6">
        <w:rPr>
          <w:rFonts w:asciiTheme="minorHAnsi" w:hAnsiTheme="minorHAnsi"/>
          <w:iCs/>
          <w:lang w:bidi="en-US"/>
        </w:rPr>
        <w:t xml:space="preserve"> </w:t>
      </w:r>
      <w:proofErr w:type="spellStart"/>
      <w:r w:rsidRPr="00BA74C6">
        <w:rPr>
          <w:rFonts w:asciiTheme="minorHAnsi" w:hAnsiTheme="minorHAnsi"/>
          <w:iCs/>
          <w:lang w:bidi="en-US"/>
        </w:rPr>
        <w:t>Teknologi</w:t>
      </w:r>
      <w:proofErr w:type="spellEnd"/>
      <w:r w:rsidRPr="00BA74C6">
        <w:rPr>
          <w:rFonts w:asciiTheme="minorHAnsi" w:hAnsiTheme="minorHAnsi"/>
          <w:iCs/>
          <w:lang w:bidi="en-US"/>
        </w:rPr>
        <w:t xml:space="preserve"> Malaysia, 81310 </w:t>
      </w:r>
      <w:proofErr w:type="spellStart"/>
      <w:r w:rsidRPr="00BA74C6">
        <w:rPr>
          <w:rFonts w:asciiTheme="minorHAnsi" w:hAnsiTheme="minorHAnsi"/>
          <w:iCs/>
          <w:lang w:bidi="en-US"/>
        </w:rPr>
        <w:t>Skudai</w:t>
      </w:r>
      <w:proofErr w:type="spellEnd"/>
      <w:r w:rsidRPr="00BA74C6">
        <w:rPr>
          <w:rFonts w:asciiTheme="minorHAnsi" w:hAnsiTheme="minorHAnsi"/>
          <w:iCs/>
          <w:lang w:bidi="en-US"/>
        </w:rPr>
        <w:t>, Johor, Malaysia.</w:t>
      </w:r>
    </w:p>
    <w:p w:rsidR="00BA74C6" w:rsidRPr="00BA74C6" w:rsidRDefault="00BA74C6" w:rsidP="00BA74C6">
      <w:pPr>
        <w:pStyle w:val="Text"/>
        <w:spacing w:line="360" w:lineRule="auto"/>
        <w:ind w:firstLine="0"/>
        <w:rPr>
          <w:rFonts w:asciiTheme="minorHAnsi" w:hAnsiTheme="minorHAnsi"/>
          <w:iCs/>
          <w:lang w:bidi="en-US"/>
        </w:rPr>
      </w:pPr>
      <w:proofErr w:type="spellStart"/>
      <w:proofErr w:type="gramStart"/>
      <w:r w:rsidRPr="00BA74C6">
        <w:rPr>
          <w:rFonts w:asciiTheme="minorHAnsi" w:hAnsiTheme="minorHAnsi"/>
          <w:iCs/>
          <w:vertAlign w:val="superscript"/>
          <w:lang w:bidi="en-US"/>
        </w:rPr>
        <w:t>b</w:t>
      </w:r>
      <w:r w:rsidRPr="00BA74C6">
        <w:rPr>
          <w:rFonts w:asciiTheme="minorHAnsi" w:hAnsiTheme="minorHAnsi"/>
          <w:iCs/>
          <w:lang w:bidi="en-US"/>
        </w:rPr>
        <w:t>Institute</w:t>
      </w:r>
      <w:proofErr w:type="spellEnd"/>
      <w:proofErr w:type="gramEnd"/>
      <w:r w:rsidRPr="00BA74C6">
        <w:rPr>
          <w:rFonts w:asciiTheme="minorHAnsi" w:hAnsiTheme="minorHAnsi"/>
          <w:iCs/>
          <w:lang w:bidi="en-US"/>
        </w:rPr>
        <w:t xml:space="preserve"> for </w:t>
      </w:r>
      <w:proofErr w:type="spellStart"/>
      <w:r w:rsidRPr="00BA74C6">
        <w:rPr>
          <w:rFonts w:asciiTheme="minorHAnsi" w:hAnsiTheme="minorHAnsi"/>
          <w:iCs/>
          <w:lang w:bidi="en-US"/>
        </w:rPr>
        <w:t>Nanomaterials</w:t>
      </w:r>
      <w:proofErr w:type="spellEnd"/>
      <w:r w:rsidRPr="00BA74C6">
        <w:rPr>
          <w:rFonts w:asciiTheme="minorHAnsi" w:hAnsiTheme="minorHAnsi"/>
          <w:iCs/>
          <w:lang w:bidi="en-US"/>
        </w:rPr>
        <w:t xml:space="preserve">, Advanced Technologies and Innovation, Technical University of Liberec, </w:t>
      </w:r>
      <w:proofErr w:type="spellStart"/>
      <w:r w:rsidRPr="00BA74C6">
        <w:rPr>
          <w:rFonts w:asciiTheme="minorHAnsi" w:hAnsiTheme="minorHAnsi"/>
          <w:iCs/>
          <w:lang w:bidi="en-US"/>
        </w:rPr>
        <w:t>Studentska</w:t>
      </w:r>
      <w:proofErr w:type="spellEnd"/>
      <w:r w:rsidRPr="00BA74C6">
        <w:rPr>
          <w:rFonts w:asciiTheme="minorHAnsi" w:hAnsiTheme="minorHAnsi"/>
          <w:iCs/>
          <w:lang w:bidi="en-US"/>
        </w:rPr>
        <w:t xml:space="preserve"> 2, 461 17 Liberec, Czech Republic.</w:t>
      </w:r>
    </w:p>
    <w:p w:rsidR="00BA74C6" w:rsidRDefault="00BA74C6"/>
    <w:p w:rsidR="007C633C" w:rsidRPr="001A2069" w:rsidRDefault="007C633C">
      <w:pPr>
        <w:rPr>
          <w:sz w:val="20"/>
          <w:szCs w:val="20"/>
        </w:rPr>
      </w:pPr>
      <w:r w:rsidRPr="001A2069">
        <w:rPr>
          <w:sz w:val="20"/>
          <w:szCs w:val="20"/>
        </w:rPr>
        <w:t xml:space="preserve">S.1 </w:t>
      </w:r>
      <w:r w:rsidR="001A2069">
        <w:rPr>
          <w:sz w:val="20"/>
          <w:szCs w:val="20"/>
        </w:rPr>
        <w:t>Single cell measurement concept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1"/>
      </w:tblGrid>
      <w:tr w:rsidR="007C633C" w:rsidTr="0095559F">
        <w:tc>
          <w:tcPr>
            <w:tcW w:w="8341" w:type="dxa"/>
          </w:tcPr>
          <w:p w:rsidR="007C633C" w:rsidRDefault="007C633C" w:rsidP="0095559F">
            <w:pPr>
              <w:pStyle w:val="ListParagraph"/>
              <w:ind w:left="0"/>
              <w:jc w:val="center"/>
            </w:pPr>
            <w:r>
              <w:rPr>
                <w:noProof/>
              </w:rPr>
              <w:drawing>
                <wp:inline distT="0" distB="0" distL="0" distR="0" wp14:anchorId="13D0818A" wp14:editId="410643C7">
                  <wp:extent cx="4466673" cy="25603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jpg"/>
                          <pic:cNvPicPr/>
                        </pic:nvPicPr>
                        <pic:blipFill>
                          <a:blip r:embed="rId6">
                            <a:extLst>
                              <a:ext uri="{28A0092B-C50C-407E-A947-70E740481C1C}">
                                <a14:useLocalDpi xmlns:a14="http://schemas.microsoft.com/office/drawing/2010/main" val="0"/>
                              </a:ext>
                            </a:extLst>
                          </a:blip>
                          <a:stretch>
                            <a:fillRect/>
                          </a:stretch>
                        </pic:blipFill>
                        <pic:spPr>
                          <a:xfrm>
                            <a:off x="0" y="0"/>
                            <a:ext cx="4466673" cy="2560320"/>
                          </a:xfrm>
                          <a:prstGeom prst="rect">
                            <a:avLst/>
                          </a:prstGeom>
                        </pic:spPr>
                      </pic:pic>
                    </a:graphicData>
                  </a:graphic>
                </wp:inline>
              </w:drawing>
            </w:r>
          </w:p>
        </w:tc>
      </w:tr>
      <w:tr w:rsidR="007C633C" w:rsidTr="0095559F">
        <w:trPr>
          <w:trHeight w:val="640"/>
        </w:trPr>
        <w:tc>
          <w:tcPr>
            <w:tcW w:w="8341" w:type="dxa"/>
          </w:tcPr>
          <w:p w:rsidR="007C633C" w:rsidRDefault="007C633C" w:rsidP="0095559F">
            <w:pPr>
              <w:pStyle w:val="ListParagraph"/>
              <w:ind w:left="0"/>
              <w:jc w:val="both"/>
            </w:pPr>
            <w:r>
              <w:rPr>
                <w:rFonts w:ascii="Times New Roman" w:hAnsi="Times New Roman" w:cs="Times New Roman"/>
                <w:sz w:val="20"/>
                <w:szCs w:val="20"/>
              </w:rPr>
              <w:t xml:space="preserve">Figure S1: A </w:t>
            </w:r>
            <w:proofErr w:type="spellStart"/>
            <w:r>
              <w:rPr>
                <w:rFonts w:ascii="Times New Roman" w:hAnsi="Times New Roman" w:cs="Times New Roman"/>
                <w:sz w:val="20"/>
                <w:szCs w:val="20"/>
              </w:rPr>
              <w:t>multifrequency</w:t>
            </w:r>
            <w:proofErr w:type="spellEnd"/>
            <w:r>
              <w:rPr>
                <w:rFonts w:ascii="Times New Roman" w:hAnsi="Times New Roman" w:cs="Times New Roman"/>
                <w:sz w:val="20"/>
                <w:szCs w:val="20"/>
              </w:rPr>
              <w:t xml:space="preserve"> AC voltage signal is applied to the electrode when a single c</w:t>
            </w:r>
            <w:r w:rsidRPr="00D860E3">
              <w:rPr>
                <w:rFonts w:ascii="Times New Roman" w:hAnsi="Times New Roman" w:cs="Times New Roman"/>
                <w:sz w:val="20"/>
                <w:szCs w:val="20"/>
              </w:rPr>
              <w:t xml:space="preserve">ell flows </w:t>
            </w:r>
            <w:r>
              <w:rPr>
                <w:rFonts w:ascii="Times New Roman" w:hAnsi="Times New Roman" w:cs="Times New Roman"/>
                <w:sz w:val="20"/>
                <w:szCs w:val="20"/>
              </w:rPr>
              <w:t>through and the measured impedance as an output signal.</w:t>
            </w:r>
          </w:p>
        </w:tc>
      </w:tr>
    </w:tbl>
    <w:p w:rsidR="007C633C" w:rsidRDefault="007C633C"/>
    <w:p w:rsidR="00F37AC2" w:rsidRDefault="00F37AC2"/>
    <w:p w:rsidR="00F37AC2" w:rsidRDefault="00F37AC2"/>
    <w:p w:rsidR="00F37AC2" w:rsidRDefault="00F37AC2"/>
    <w:p w:rsidR="00F37AC2" w:rsidRDefault="00F37AC2"/>
    <w:p w:rsidR="00F37AC2" w:rsidRDefault="00F37AC2"/>
    <w:p w:rsidR="00F37AC2" w:rsidRDefault="00F37AC2"/>
    <w:p w:rsidR="00BC0595" w:rsidRDefault="000A2E43">
      <w:r>
        <w:t>S.</w:t>
      </w:r>
      <w:r w:rsidR="007C633C">
        <w:t>2</w:t>
      </w:r>
      <w:r>
        <w:t xml:space="preserve"> </w:t>
      </w:r>
      <w:r w:rsidR="00DC27E8">
        <w:t>Electric model of a single</w:t>
      </w:r>
      <w:r w:rsidR="00114888">
        <w:t>-shell</w:t>
      </w:r>
      <w:r w:rsidR="00DC27E8">
        <w:t xml:space="preserve"> </w:t>
      </w:r>
      <w:r w:rsidR="0030678F">
        <w:t xml:space="preserve">spherical </w:t>
      </w:r>
      <w:r w:rsidR="00DC27E8">
        <w:t>cell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BC0595" w:rsidRPr="00992125" w:rsidTr="003816B0">
        <w:tc>
          <w:tcPr>
            <w:tcW w:w="9576" w:type="dxa"/>
          </w:tcPr>
          <w:p w:rsidR="00BC0595" w:rsidRPr="00992125" w:rsidRDefault="00976FE1" w:rsidP="00BC0595">
            <w:pPr>
              <w:jc w:val="center"/>
              <w:rPr>
                <w:rFonts w:ascii="Times New Roman" w:hAnsi="Times New Roman" w:cs="Times New Roman"/>
                <w:sz w:val="20"/>
                <w:szCs w:val="20"/>
              </w:rPr>
            </w:pPr>
            <w:r w:rsidRPr="00992125">
              <w:rPr>
                <w:rFonts w:ascii="Times New Roman" w:hAnsi="Times New Roman" w:cs="Times New Roman"/>
                <w:noProof/>
                <w:sz w:val="20"/>
                <w:szCs w:val="20"/>
              </w:rPr>
              <w:drawing>
                <wp:inline distT="0" distB="0" distL="0" distR="0" wp14:anchorId="2402E470" wp14:editId="1E02673E">
                  <wp:extent cx="3338351" cy="338328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 cell model_new.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38351" cy="3383280"/>
                          </a:xfrm>
                          <a:prstGeom prst="rect">
                            <a:avLst/>
                          </a:prstGeom>
                        </pic:spPr>
                      </pic:pic>
                    </a:graphicData>
                  </a:graphic>
                </wp:inline>
              </w:drawing>
            </w:r>
          </w:p>
          <w:p w:rsidR="00103833" w:rsidRPr="00992125" w:rsidRDefault="00103833" w:rsidP="00BC0595">
            <w:pPr>
              <w:jc w:val="center"/>
              <w:rPr>
                <w:rFonts w:ascii="Times New Roman" w:hAnsi="Times New Roman" w:cs="Times New Roman"/>
                <w:sz w:val="20"/>
                <w:szCs w:val="20"/>
              </w:rPr>
            </w:pPr>
          </w:p>
        </w:tc>
      </w:tr>
      <w:tr w:rsidR="00BC0595" w:rsidRPr="00992125" w:rsidTr="003816B0">
        <w:tc>
          <w:tcPr>
            <w:tcW w:w="9576" w:type="dxa"/>
          </w:tcPr>
          <w:p w:rsidR="004F049A" w:rsidRPr="00992125" w:rsidRDefault="00BC0595" w:rsidP="007C633C">
            <w:pPr>
              <w:jc w:val="both"/>
              <w:rPr>
                <w:rFonts w:ascii="Times New Roman" w:hAnsi="Times New Roman" w:cs="Times New Roman"/>
                <w:sz w:val="20"/>
                <w:szCs w:val="20"/>
              </w:rPr>
            </w:pPr>
            <w:r w:rsidRPr="00992125">
              <w:rPr>
                <w:rFonts w:ascii="Times New Roman" w:hAnsi="Times New Roman" w:cs="Times New Roman"/>
                <w:sz w:val="20"/>
                <w:szCs w:val="20"/>
              </w:rPr>
              <w:t xml:space="preserve">Figure </w:t>
            </w:r>
            <w:r w:rsidR="004F049A" w:rsidRPr="00992125">
              <w:rPr>
                <w:rFonts w:ascii="Times New Roman" w:hAnsi="Times New Roman" w:cs="Times New Roman"/>
                <w:sz w:val="20"/>
                <w:szCs w:val="20"/>
              </w:rPr>
              <w:t>S</w:t>
            </w:r>
            <w:r w:rsidR="007C633C">
              <w:rPr>
                <w:rFonts w:ascii="Times New Roman" w:hAnsi="Times New Roman" w:cs="Times New Roman"/>
                <w:sz w:val="20"/>
                <w:szCs w:val="20"/>
              </w:rPr>
              <w:t>2</w:t>
            </w:r>
            <w:r w:rsidRPr="00992125">
              <w:rPr>
                <w:rFonts w:ascii="Times New Roman" w:hAnsi="Times New Roman" w:cs="Times New Roman"/>
                <w:sz w:val="20"/>
                <w:szCs w:val="20"/>
              </w:rPr>
              <w:t xml:space="preserve">: </w:t>
            </w:r>
            <w:r w:rsidR="00103833" w:rsidRPr="00992125">
              <w:rPr>
                <w:rFonts w:ascii="Times New Roman" w:hAnsi="Times New Roman" w:cs="Times New Roman"/>
                <w:sz w:val="20"/>
                <w:szCs w:val="20"/>
              </w:rPr>
              <w:t xml:space="preserve">Diagram showing a single spherical particle in suspension </w:t>
            </w:r>
          </w:p>
        </w:tc>
      </w:tr>
    </w:tbl>
    <w:p w:rsidR="00084065" w:rsidRPr="00992125" w:rsidRDefault="00084065" w:rsidP="00A41722">
      <w:pPr>
        <w:jc w:val="both"/>
        <w:rPr>
          <w:rFonts w:ascii="Times New Roman" w:hAnsi="Times New Roman" w:cs="Times New Roman"/>
          <w:sz w:val="20"/>
          <w:szCs w:val="20"/>
        </w:rPr>
      </w:pPr>
    </w:p>
    <w:p w:rsidR="00084065" w:rsidRPr="00992125" w:rsidRDefault="00D435E0" w:rsidP="00A41722">
      <w:pPr>
        <w:jc w:val="both"/>
        <w:rPr>
          <w:rFonts w:ascii="Times New Roman" w:eastAsiaTheme="minorEastAsia" w:hAnsi="Times New Roman" w:cs="Times New Roman"/>
          <w:sz w:val="20"/>
          <w:szCs w:val="20"/>
        </w:rPr>
      </w:pPr>
      <w:r w:rsidRPr="00992125">
        <w:rPr>
          <w:rFonts w:ascii="Times New Roman" w:hAnsi="Times New Roman" w:cs="Times New Roman"/>
          <w:sz w:val="20"/>
          <w:szCs w:val="20"/>
        </w:rPr>
        <w:t>The estimation of the effective complex permittivity of a single shell spherical particle in suspension becomes extremely simple and straightforward when using Maxwell's Mixture Theory</w:t>
      </w:r>
      <w:r w:rsidR="00746620">
        <w:rPr>
          <w:rFonts w:ascii="Times New Roman" w:hAnsi="Times New Roman" w:cs="Times New Roman"/>
          <w:sz w:val="20"/>
          <w:szCs w:val="20"/>
        </w:rPr>
        <w:t xml:space="preserve"> (MMT)</w:t>
      </w:r>
      <w:r w:rsidRPr="00992125">
        <w:rPr>
          <w:rFonts w:ascii="Times New Roman" w:hAnsi="Times New Roman" w:cs="Times New Roman"/>
          <w:sz w:val="20"/>
          <w:szCs w:val="20"/>
        </w:rPr>
        <w:t xml:space="preserve">. </w:t>
      </w:r>
      <w:r w:rsidR="004A0A10" w:rsidRPr="00992125">
        <w:rPr>
          <w:rFonts w:ascii="Times New Roman" w:hAnsi="Times New Roman" w:cs="Times New Roman"/>
          <w:sz w:val="20"/>
          <w:szCs w:val="20"/>
        </w:rPr>
        <w:t xml:space="preserve">As shown in Figure S1, for a suspension of </w:t>
      </w:r>
      <w:r w:rsidR="00882730">
        <w:rPr>
          <w:rFonts w:ascii="Times New Roman" w:hAnsi="Times New Roman" w:cs="Times New Roman"/>
          <w:sz w:val="20"/>
          <w:szCs w:val="20"/>
        </w:rPr>
        <w:t xml:space="preserve">the </w:t>
      </w:r>
      <w:r w:rsidR="004A0A10" w:rsidRPr="00992125">
        <w:rPr>
          <w:rFonts w:ascii="Times New Roman" w:hAnsi="Times New Roman" w:cs="Times New Roman"/>
          <w:sz w:val="20"/>
          <w:szCs w:val="20"/>
        </w:rPr>
        <w:t xml:space="preserve">spherical particle (e.g. cells) in a medium, the total equivalent complex permittivity of the mixture suspending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ε</m:t>
                </m:r>
              </m:e>
            </m:acc>
          </m:e>
          <m:sub>
            <m:r>
              <w:rPr>
                <w:rFonts w:ascii="Cambria Math" w:hAnsi="Cambria Math" w:cs="Times New Roman"/>
                <w:sz w:val="20"/>
                <w:szCs w:val="20"/>
              </w:rPr>
              <m:t>mix</m:t>
            </m:r>
          </m:sub>
        </m:sSub>
      </m:oMath>
      <w:r w:rsidR="004A0A10" w:rsidRPr="00992125">
        <w:rPr>
          <w:rFonts w:ascii="Times New Roman" w:eastAsiaTheme="minorEastAsia" w:hAnsi="Times New Roman" w:cs="Times New Roman"/>
          <w:sz w:val="20"/>
          <w:szCs w:val="20"/>
        </w:rPr>
        <w:t xml:space="preserve">  is given by: </w:t>
      </w:r>
    </w:p>
    <w:p w:rsidR="004F131E" w:rsidRPr="00992125" w:rsidRDefault="00AA4933" w:rsidP="00A41722">
      <w:pPr>
        <w:jc w:val="both"/>
        <w:rPr>
          <w:rFonts w:ascii="Times New Roman" w:eastAsiaTheme="minorEastAsia" w:hAnsi="Times New Roman" w:cs="Times New Roman"/>
          <w:sz w:val="20"/>
          <w:szCs w:val="20"/>
        </w:rPr>
      </w:pPr>
      <m:oMathPara>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ε</m:t>
                  </m:r>
                </m:e>
              </m:acc>
            </m:e>
            <m:sub>
              <m:r>
                <w:rPr>
                  <w:rFonts w:ascii="Cambria Math" w:hAnsi="Cambria Math" w:cs="Times New Roman"/>
                  <w:sz w:val="20"/>
                  <w:szCs w:val="20"/>
                </w:rPr>
                <m:t>mix</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ε</m:t>
                  </m:r>
                </m:e>
              </m:acc>
            </m:e>
            <m:sub>
              <m:r>
                <w:rPr>
                  <w:rFonts w:ascii="Cambria Math" w:hAnsi="Cambria Math" w:cs="Times New Roman"/>
                  <w:sz w:val="20"/>
                  <w:szCs w:val="20"/>
                </w:rPr>
                <m:t>med</m:t>
              </m:r>
            </m:sub>
          </m:sSub>
          <m:f>
            <m:fPr>
              <m:ctrlPr>
                <w:rPr>
                  <w:rFonts w:ascii="Cambria Math" w:hAnsi="Cambria Math" w:cs="Times New Roman"/>
                  <w:i/>
                  <w:sz w:val="20"/>
                  <w:szCs w:val="20"/>
                </w:rPr>
              </m:ctrlPr>
            </m:fPr>
            <m:num>
              <m:r>
                <w:rPr>
                  <w:rFonts w:ascii="Cambria Math" w:hAnsi="Cambria Math" w:cs="Times New Roman"/>
                  <w:sz w:val="20"/>
                  <w:szCs w:val="20"/>
                </w:rPr>
                <m:t>1+2</m:t>
              </m:r>
              <m:r>
                <m:rPr>
                  <m:sty m:val="p"/>
                </m:rPr>
                <w:rPr>
                  <w:rFonts w:ascii="Cambria Math" w:hAnsi="Cambria Math" w:cs="Times New Roman"/>
                  <w:sz w:val="20"/>
                  <w:szCs w:val="20"/>
                </w:rPr>
                <m:t>Φ</m:t>
              </m:r>
              <m:sSub>
                <m:sSubPr>
                  <m:ctrlPr>
                    <w:rPr>
                      <w:rFonts w:ascii="Cambria Math" w:hAnsi="Cambria Math" w:cs="Times New Roman"/>
                      <w:sz w:val="20"/>
                      <w:szCs w:val="20"/>
                    </w:rPr>
                  </m:ctrlPr>
                </m:sSubPr>
                <m:e>
                  <m:r>
                    <w:rPr>
                      <w:rFonts w:ascii="Cambria Math" w:hAnsi="Cambria Math" w:cs="Times New Roman"/>
                      <w:sz w:val="20"/>
                      <w:szCs w:val="20"/>
                    </w:rPr>
                    <m:t>f</m:t>
                  </m:r>
                </m:e>
                <m:sub>
                  <m:r>
                    <w:rPr>
                      <w:rFonts w:ascii="Cambria Math" w:hAnsi="Cambria Math" w:cs="Times New Roman"/>
                      <w:sz w:val="20"/>
                      <w:szCs w:val="20"/>
                    </w:rPr>
                    <m:t>cm</m:t>
                  </m:r>
                </m:sub>
              </m:sSub>
            </m:num>
            <m:den>
              <m:r>
                <w:rPr>
                  <w:rFonts w:ascii="Cambria Math" w:hAnsi="Cambria Math" w:cs="Times New Roman"/>
                  <w:sz w:val="20"/>
                  <w:szCs w:val="20"/>
                </w:rPr>
                <m:t xml:space="preserve">1- </m:t>
              </m:r>
              <m:r>
                <m:rPr>
                  <m:sty m:val="p"/>
                </m:rPr>
                <w:rPr>
                  <w:rFonts w:ascii="Cambria Math" w:hAnsi="Cambria Math" w:cs="Times New Roman"/>
                  <w:sz w:val="20"/>
                  <w:szCs w:val="20"/>
                </w:rPr>
                <m:t>Φ</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cm</m:t>
                  </m:r>
                </m:sub>
              </m:sSub>
            </m:den>
          </m:f>
        </m:oMath>
      </m:oMathPara>
    </w:p>
    <w:p w:rsidR="00D27C7E" w:rsidRPr="00992125" w:rsidRDefault="00CF5957" w:rsidP="00A41722">
      <w:pPr>
        <w:jc w:val="both"/>
        <w:rPr>
          <w:rFonts w:ascii="Times New Roman" w:eastAsiaTheme="minorEastAsia" w:hAnsi="Times New Roman" w:cs="Times New Roman"/>
          <w:sz w:val="20"/>
          <w:szCs w:val="20"/>
        </w:rPr>
      </w:pPr>
      <w:proofErr w:type="gramStart"/>
      <w:r w:rsidRPr="00992125">
        <w:rPr>
          <w:rFonts w:ascii="Times New Roman" w:eastAsiaTheme="minorEastAsia" w:hAnsi="Times New Roman" w:cs="Times New Roman"/>
          <w:sz w:val="20"/>
          <w:szCs w:val="20"/>
        </w:rPr>
        <w:t>with</w:t>
      </w:r>
      <w:proofErr w:type="gramEnd"/>
      <w:r w:rsidRPr="00992125">
        <w:rPr>
          <w:rFonts w:ascii="Times New Roman" w:eastAsiaTheme="minorEastAsia" w:hAnsi="Times New Roman" w:cs="Times New Roman"/>
          <w:sz w:val="20"/>
          <w:szCs w:val="20"/>
        </w:rPr>
        <w:t xml:space="preserve">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cm</m:t>
            </m:r>
          </m:sub>
        </m:sSub>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ε</m:t>
                        </m:r>
                      </m:e>
                    </m:acc>
                  </m:e>
                  <m:sub>
                    <m:r>
                      <w:rPr>
                        <w:rFonts w:ascii="Cambria Math" w:eastAsiaTheme="minorEastAsia" w:hAnsi="Cambria Math" w:cs="Times New Roman"/>
                        <w:sz w:val="20"/>
                        <w:szCs w:val="20"/>
                      </w:rPr>
                      <m:t>p</m:t>
                    </m:r>
                  </m:sub>
                </m:sSub>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ε</m:t>
                        </m:r>
                      </m:e>
                    </m:acc>
                  </m:e>
                  <m:sub>
                    <m:r>
                      <w:rPr>
                        <w:rFonts w:ascii="Cambria Math" w:eastAsiaTheme="minorEastAsia" w:hAnsi="Cambria Math" w:cs="Times New Roman"/>
                        <w:sz w:val="20"/>
                        <w:szCs w:val="20"/>
                      </w:rPr>
                      <m:t>med</m:t>
                    </m:r>
                  </m:sub>
                </m:sSub>
              </m:num>
              <m:den>
                <m:sSub>
                  <m:sSubPr>
                    <m:ctrlPr>
                      <w:rPr>
                        <w:rFonts w:ascii="Cambria Math" w:eastAsiaTheme="minorEastAsia" w:hAnsi="Cambria Math" w:cs="Times New Roman"/>
                        <w:i/>
                        <w:sz w:val="20"/>
                        <w:szCs w:val="20"/>
                      </w:rPr>
                    </m:ctrlPr>
                  </m:sSub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ε</m:t>
                        </m:r>
                      </m:e>
                    </m:acc>
                  </m:e>
                  <m:sub>
                    <m:r>
                      <w:rPr>
                        <w:rFonts w:ascii="Cambria Math" w:eastAsiaTheme="minorEastAsia" w:hAnsi="Cambria Math" w:cs="Times New Roman"/>
                        <w:sz w:val="20"/>
                        <w:szCs w:val="20"/>
                      </w:rPr>
                      <m:t>p</m:t>
                    </m:r>
                  </m:sub>
                </m:sSub>
                <m:r>
                  <w:rPr>
                    <w:rFonts w:ascii="Cambria Math" w:eastAsiaTheme="minorEastAsia" w:hAnsi="Cambria Math" w:cs="Times New Roman"/>
                    <w:sz w:val="20"/>
                    <w:szCs w:val="20"/>
                  </w:rPr>
                  <m:t xml:space="preserve">+2 </m:t>
                </m:r>
                <m:sSub>
                  <m:sSubPr>
                    <m:ctrlPr>
                      <w:rPr>
                        <w:rFonts w:ascii="Cambria Math" w:eastAsiaTheme="minorEastAsia" w:hAnsi="Cambria Math" w:cs="Times New Roman"/>
                        <w:i/>
                        <w:sz w:val="20"/>
                        <w:szCs w:val="20"/>
                      </w:rPr>
                    </m:ctrlPr>
                  </m:sSub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ε</m:t>
                        </m:r>
                      </m:e>
                    </m:acc>
                  </m:e>
                  <m:sub>
                    <m:r>
                      <w:rPr>
                        <w:rFonts w:ascii="Cambria Math" w:eastAsiaTheme="minorEastAsia" w:hAnsi="Cambria Math" w:cs="Times New Roman"/>
                        <w:sz w:val="20"/>
                        <w:szCs w:val="20"/>
                      </w:rPr>
                      <m:t>med</m:t>
                    </m:r>
                  </m:sub>
                </m:sSub>
              </m:den>
            </m:f>
          </m:e>
        </m:d>
      </m:oMath>
      <w:r w:rsidRPr="00992125">
        <w:rPr>
          <w:rFonts w:ascii="Times New Roman" w:eastAsiaTheme="minorEastAsia" w:hAnsi="Times New Roman" w:cs="Times New Roman"/>
          <w:sz w:val="20"/>
          <w:szCs w:val="20"/>
        </w:rPr>
        <w:t xml:space="preserve"> </w:t>
      </w:r>
      <w:r w:rsidR="004C7C29" w:rsidRPr="00992125">
        <w:rPr>
          <w:rFonts w:ascii="Times New Roman" w:eastAsiaTheme="minorEastAsia" w:hAnsi="Times New Roman" w:cs="Times New Roman"/>
          <w:sz w:val="20"/>
          <w:szCs w:val="20"/>
        </w:rPr>
        <w:t xml:space="preserve">(the </w:t>
      </w:r>
      <w:proofErr w:type="spellStart"/>
      <w:r w:rsidR="004C7C29" w:rsidRPr="00992125">
        <w:rPr>
          <w:rFonts w:ascii="Times New Roman" w:eastAsiaTheme="minorEastAsia" w:hAnsi="Times New Roman" w:cs="Times New Roman"/>
          <w:sz w:val="20"/>
          <w:szCs w:val="20"/>
        </w:rPr>
        <w:t>Clausius-Mossotti</w:t>
      </w:r>
      <w:proofErr w:type="spellEnd"/>
      <w:r w:rsidR="004C7C29" w:rsidRPr="00992125">
        <w:rPr>
          <w:rFonts w:ascii="Times New Roman" w:eastAsiaTheme="minorEastAsia" w:hAnsi="Times New Roman" w:cs="Times New Roman"/>
          <w:sz w:val="20"/>
          <w:szCs w:val="20"/>
        </w:rPr>
        <w:t xml:space="preserve"> factor)</w:t>
      </w:r>
      <w:r w:rsidR="00D105DE" w:rsidRPr="00992125">
        <w:rPr>
          <w:rFonts w:ascii="Times New Roman" w:eastAsiaTheme="minorEastAsia" w:hAnsi="Times New Roman" w:cs="Times New Roman"/>
          <w:sz w:val="20"/>
          <w:szCs w:val="20"/>
        </w:rPr>
        <w:t xml:space="preserve"> and  </w:t>
      </w:r>
      <m:oMath>
        <m:acc>
          <m:accPr>
            <m:chr m:val="̃"/>
            <m:ctrlPr>
              <w:rPr>
                <w:rFonts w:ascii="Cambria Math" w:hAnsi="Cambria Math" w:cs="Times New Roman"/>
                <w:i/>
                <w:sz w:val="20"/>
                <w:szCs w:val="20"/>
              </w:rPr>
            </m:ctrlPr>
          </m:accPr>
          <m:e>
            <m:r>
              <w:rPr>
                <w:rFonts w:ascii="Cambria Math" w:hAnsi="Cambria Math" w:cs="Times New Roman"/>
                <w:sz w:val="20"/>
                <w:szCs w:val="20"/>
              </w:rPr>
              <m:t>ε</m:t>
            </m:r>
          </m:e>
        </m:acc>
        <m:r>
          <w:rPr>
            <w:rFonts w:ascii="Cambria Math" w:hAnsi="Cambria Math" w:cs="Times New Roman"/>
            <w:sz w:val="20"/>
            <w:szCs w:val="20"/>
          </w:rPr>
          <m:t>=ε-j</m:t>
        </m:r>
        <m:f>
          <m:fPr>
            <m:ctrlPr>
              <w:rPr>
                <w:rFonts w:ascii="Cambria Math" w:hAnsi="Cambria Math" w:cs="Times New Roman"/>
                <w:i/>
                <w:sz w:val="20"/>
                <w:szCs w:val="20"/>
              </w:rPr>
            </m:ctrlPr>
          </m:fPr>
          <m:num>
            <m:r>
              <w:rPr>
                <w:rFonts w:ascii="Cambria Math" w:hAnsi="Cambria Math" w:cs="Times New Roman"/>
                <w:sz w:val="20"/>
                <w:szCs w:val="20"/>
              </w:rPr>
              <m:t>σ</m:t>
            </m:r>
          </m:num>
          <m:den>
            <m:r>
              <w:rPr>
                <w:rFonts w:ascii="Cambria Math" w:hAnsi="Cambria Math" w:cs="Times New Roman"/>
                <w:sz w:val="20"/>
                <w:szCs w:val="20"/>
              </w:rPr>
              <m:t>ω</m:t>
            </m:r>
          </m:den>
        </m:f>
      </m:oMath>
      <w:r w:rsidRPr="00992125">
        <w:rPr>
          <w:rFonts w:ascii="Times New Roman" w:eastAsiaTheme="minorEastAsia" w:hAnsi="Times New Roman" w:cs="Times New Roman"/>
          <w:sz w:val="20"/>
          <w:szCs w:val="20"/>
        </w:rPr>
        <w:t xml:space="preserve"> </w:t>
      </w:r>
      <w:r w:rsidR="00D105DE" w:rsidRPr="00992125">
        <w:rPr>
          <w:rFonts w:ascii="Times New Roman" w:eastAsiaTheme="minorEastAsia" w:hAnsi="Times New Roman" w:cs="Times New Roman"/>
          <w:sz w:val="20"/>
          <w:szCs w:val="20"/>
        </w:rPr>
        <w:t xml:space="preserve">, </w:t>
      </w:r>
      <w:r w:rsidRPr="00992125">
        <w:rPr>
          <w:rFonts w:ascii="Times New Roman" w:eastAsiaTheme="minorEastAsia" w:hAnsi="Times New Roman" w:cs="Times New Roman"/>
          <w:sz w:val="20"/>
          <w:szCs w:val="20"/>
        </w:rPr>
        <w:t xml:space="preserve">where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ε</m:t>
                </m:r>
              </m:e>
            </m:acc>
          </m:e>
          <m:sub>
            <m:r>
              <w:rPr>
                <w:rFonts w:ascii="Cambria Math" w:hAnsi="Cambria Math" w:cs="Times New Roman"/>
                <w:sz w:val="20"/>
                <w:szCs w:val="20"/>
              </w:rPr>
              <m:t>med</m:t>
            </m:r>
          </m:sub>
        </m:sSub>
      </m:oMath>
      <w:r w:rsidR="001433A8" w:rsidRPr="00992125">
        <w:rPr>
          <w:rFonts w:ascii="Times New Roman" w:eastAsiaTheme="minorEastAsia" w:hAnsi="Times New Roman" w:cs="Times New Roman"/>
          <w:sz w:val="20"/>
          <w:szCs w:val="20"/>
        </w:rPr>
        <w:t xml:space="preserve"> and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ε</m:t>
                </m:r>
              </m:e>
            </m:acc>
          </m:e>
          <m:sub>
            <m:r>
              <w:rPr>
                <w:rFonts w:ascii="Cambria Math" w:hAnsi="Cambria Math" w:cs="Times New Roman"/>
                <w:sz w:val="20"/>
                <w:szCs w:val="20"/>
              </w:rPr>
              <m:t>p</m:t>
            </m:r>
          </m:sub>
        </m:sSub>
      </m:oMath>
      <w:r w:rsidR="001433A8" w:rsidRPr="00992125">
        <w:rPr>
          <w:rFonts w:ascii="Times New Roman" w:eastAsiaTheme="minorEastAsia" w:hAnsi="Times New Roman" w:cs="Times New Roman"/>
          <w:sz w:val="20"/>
          <w:szCs w:val="20"/>
        </w:rPr>
        <w:t xml:space="preserve"> are the complex  permittivity of the suspending medium and single shell </w:t>
      </w:r>
      <w:r w:rsidR="00170D1D" w:rsidRPr="00992125">
        <w:rPr>
          <w:rFonts w:ascii="Times New Roman" w:eastAsiaTheme="minorEastAsia" w:hAnsi="Times New Roman" w:cs="Times New Roman"/>
          <w:sz w:val="20"/>
          <w:szCs w:val="20"/>
        </w:rPr>
        <w:t>cell</w:t>
      </w:r>
      <w:r w:rsidR="00882730">
        <w:rPr>
          <w:rFonts w:ascii="Times New Roman" w:eastAsiaTheme="minorEastAsia" w:hAnsi="Times New Roman" w:cs="Times New Roman"/>
          <w:sz w:val="20"/>
          <w:szCs w:val="20"/>
        </w:rPr>
        <w:t>,</w:t>
      </w:r>
      <w:r w:rsidR="001433A8" w:rsidRPr="00992125">
        <w:rPr>
          <w:rFonts w:ascii="Times New Roman" w:eastAsiaTheme="minorEastAsia" w:hAnsi="Times New Roman" w:cs="Times New Roman"/>
          <w:sz w:val="20"/>
          <w:szCs w:val="20"/>
        </w:rPr>
        <w:t xml:space="preserve"> respectively.</w:t>
      </w:r>
      <w:r w:rsidR="00D27C7E" w:rsidRPr="00992125">
        <w:rPr>
          <w:rFonts w:ascii="Times New Roman" w:eastAsiaTheme="minorEastAsia" w:hAnsi="Times New Roman" w:cs="Times New Roman"/>
          <w:sz w:val="20"/>
          <w:szCs w:val="20"/>
        </w:rPr>
        <w:t xml:space="preserve"> </w:t>
      </w:r>
      <m:oMath>
        <m:acc>
          <m:accPr>
            <m:chr m:val="̃"/>
            <m:ctrlPr>
              <w:rPr>
                <w:rFonts w:ascii="Cambria Math" w:hAnsi="Cambria Math" w:cs="Times New Roman"/>
                <w:i/>
                <w:sz w:val="20"/>
                <w:szCs w:val="20"/>
              </w:rPr>
            </m:ctrlPr>
          </m:accPr>
          <m:e>
            <m:r>
              <w:rPr>
                <w:rFonts w:ascii="Cambria Math" w:hAnsi="Cambria Math" w:cs="Times New Roman"/>
                <w:sz w:val="20"/>
                <w:szCs w:val="20"/>
              </w:rPr>
              <m:t>ε</m:t>
            </m:r>
          </m:e>
        </m:acc>
      </m:oMath>
      <w:r w:rsidR="00D27C7E" w:rsidRPr="00992125">
        <w:rPr>
          <w:rFonts w:ascii="Times New Roman" w:eastAsiaTheme="minorEastAsia" w:hAnsi="Times New Roman" w:cs="Times New Roman"/>
          <w:sz w:val="20"/>
          <w:szCs w:val="20"/>
        </w:rPr>
        <w:t xml:space="preserve"> </w:t>
      </w:r>
      <w:proofErr w:type="gramStart"/>
      <w:r w:rsidR="00D27C7E" w:rsidRPr="00992125">
        <w:rPr>
          <w:rFonts w:ascii="Times New Roman" w:eastAsiaTheme="minorEastAsia" w:hAnsi="Times New Roman" w:cs="Times New Roman"/>
          <w:sz w:val="20"/>
          <w:szCs w:val="20"/>
        </w:rPr>
        <w:t>is</w:t>
      </w:r>
      <w:proofErr w:type="gramEnd"/>
      <w:r w:rsidR="00D27C7E" w:rsidRPr="00992125">
        <w:rPr>
          <w:rFonts w:ascii="Times New Roman" w:eastAsiaTheme="minorEastAsia" w:hAnsi="Times New Roman" w:cs="Times New Roman"/>
          <w:sz w:val="20"/>
          <w:szCs w:val="20"/>
        </w:rPr>
        <w:t xml:space="preserve"> the complex permittivity, </w:t>
      </w:r>
      <m:oMath>
        <m:r>
          <w:rPr>
            <w:rFonts w:ascii="Cambria Math" w:hAnsi="Cambria Math" w:cs="Times New Roman"/>
            <w:sz w:val="20"/>
            <w:szCs w:val="20"/>
          </w:rPr>
          <m:t>ε</m:t>
        </m:r>
      </m:oMath>
      <w:r w:rsidR="00D27C7E" w:rsidRPr="00992125">
        <w:rPr>
          <w:rFonts w:ascii="Times New Roman" w:eastAsiaTheme="minorEastAsia" w:hAnsi="Times New Roman" w:cs="Times New Roman"/>
          <w:sz w:val="20"/>
          <w:szCs w:val="20"/>
        </w:rPr>
        <w:t xml:space="preserve"> is the permittivity, </w:t>
      </w:r>
      <w:r w:rsidR="00D27C7E" w:rsidRPr="00914266">
        <w:rPr>
          <w:rFonts w:ascii="Times New Roman" w:eastAsiaTheme="minorEastAsia" w:hAnsi="Times New Roman" w:cs="Times New Roman"/>
          <w:i/>
          <w:sz w:val="20"/>
          <w:szCs w:val="20"/>
        </w:rPr>
        <w:t>σ</w:t>
      </w:r>
      <w:r w:rsidR="00D27C7E" w:rsidRPr="00992125">
        <w:rPr>
          <w:rFonts w:ascii="Times New Roman" w:eastAsiaTheme="minorEastAsia" w:hAnsi="Times New Roman" w:cs="Times New Roman"/>
          <w:sz w:val="20"/>
          <w:szCs w:val="20"/>
        </w:rPr>
        <w:t xml:space="preserve"> is the conductivity and </w:t>
      </w:r>
      <w:r w:rsidR="00D27C7E" w:rsidRPr="00914266">
        <w:rPr>
          <w:rFonts w:ascii="Times New Roman" w:eastAsiaTheme="minorEastAsia" w:hAnsi="Times New Roman" w:cs="Times New Roman"/>
          <w:i/>
          <w:sz w:val="20"/>
          <w:szCs w:val="20"/>
        </w:rPr>
        <w:t>ω</w:t>
      </w:r>
      <w:r w:rsidR="00D27C7E" w:rsidRPr="00992125">
        <w:rPr>
          <w:rFonts w:ascii="Times New Roman" w:eastAsiaTheme="minorEastAsia" w:hAnsi="Times New Roman" w:cs="Times New Roman"/>
          <w:sz w:val="20"/>
          <w:szCs w:val="20"/>
        </w:rPr>
        <w:t xml:space="preserve"> is the angular frequency. Where</w:t>
      </w:r>
      <w:r w:rsidR="00BC43BE" w:rsidRPr="00992125">
        <w:rPr>
          <w:rFonts w:ascii="Times New Roman" w:eastAsiaTheme="minorEastAsia" w:hAnsi="Times New Roman" w:cs="Times New Roman"/>
          <w:sz w:val="20"/>
          <w:szCs w:val="20"/>
        </w:rPr>
        <w:t xml:space="preserve"> </w:t>
      </w:r>
      <m:oMath>
        <m:r>
          <m:rPr>
            <m:sty m:val="p"/>
          </m:rPr>
          <w:rPr>
            <w:rFonts w:ascii="Cambria Math" w:eastAsiaTheme="minorEastAsia" w:hAnsi="Cambria Math" w:cs="Times New Roman"/>
            <w:sz w:val="20"/>
            <w:szCs w:val="20"/>
          </w:rPr>
          <m:t>Φ</m:t>
        </m:r>
      </m:oMath>
      <w:r w:rsidR="00170D1D" w:rsidRPr="00992125">
        <w:rPr>
          <w:rFonts w:ascii="Times New Roman" w:eastAsiaTheme="minorEastAsia" w:hAnsi="Times New Roman" w:cs="Times New Roman"/>
          <w:sz w:val="20"/>
          <w:szCs w:val="20"/>
        </w:rPr>
        <w:t xml:space="preserve"> is the volume fraction, the ratio between the volume of the cells to the </w:t>
      </w:r>
      <w:r w:rsidR="00D27C7E" w:rsidRPr="00992125">
        <w:rPr>
          <w:rFonts w:ascii="Times New Roman" w:eastAsiaTheme="minorEastAsia" w:hAnsi="Times New Roman" w:cs="Times New Roman"/>
          <w:sz w:val="20"/>
          <w:szCs w:val="20"/>
        </w:rPr>
        <w:t>detection volum</w:t>
      </w:r>
      <w:r w:rsidR="008E5FA5" w:rsidRPr="00992125">
        <w:rPr>
          <w:rFonts w:ascii="Times New Roman" w:eastAsiaTheme="minorEastAsia" w:hAnsi="Times New Roman" w:cs="Times New Roman"/>
          <w:sz w:val="20"/>
          <w:szCs w:val="20"/>
        </w:rPr>
        <w:t>e</w:t>
      </w:r>
      <w:r w:rsidR="00C25830" w:rsidRPr="00992125">
        <w:rPr>
          <w:rFonts w:ascii="Times New Roman" w:eastAsiaTheme="minorEastAsia" w:hAnsi="Times New Roman" w:cs="Times New Roman"/>
          <w:sz w:val="20"/>
          <w:szCs w:val="20"/>
        </w:rPr>
        <w:t xml:space="preserve"> </w:t>
      </w:r>
      <w:r w:rsidR="00D27C7E" w:rsidRPr="00992125">
        <w:rPr>
          <w:rFonts w:ascii="Times New Roman" w:eastAsiaTheme="minorEastAsia" w:hAnsi="Times New Roman" w:cs="Times New Roman"/>
          <w:sz w:val="20"/>
          <w:szCs w:val="20"/>
        </w:rPr>
        <w:t>is given by</w:t>
      </w:r>
      <w:r w:rsidR="00C25830" w:rsidRPr="00992125">
        <w:rPr>
          <w:rFonts w:ascii="Times New Roman" w:eastAsiaTheme="minorEastAsia" w:hAnsi="Times New Roman" w:cs="Times New Roman"/>
          <w:sz w:val="20"/>
          <w:szCs w:val="20"/>
        </w:rPr>
        <w:t xml:space="preserve"> </w:t>
      </w:r>
      <w:r w:rsidR="00C25830" w:rsidRPr="00992125">
        <w:rPr>
          <w:rFonts w:ascii="Times New Roman" w:eastAsiaTheme="minorEastAsia" w:hAnsi="Times New Roman" w:cs="Times New Roman"/>
          <w:sz w:val="20"/>
          <w:szCs w:val="20"/>
        </w:rPr>
        <w:fldChar w:fldCharType="begin" w:fldLock="1"/>
      </w:r>
      <w:r w:rsidR="00C25830" w:rsidRPr="00992125">
        <w:rPr>
          <w:rFonts w:ascii="Times New Roman" w:eastAsiaTheme="minorEastAsia" w:hAnsi="Times New Roman" w:cs="Times New Roman"/>
          <w:sz w:val="20"/>
          <w:szCs w:val="20"/>
        </w:rPr>
        <w:instrText>ADDIN CSL_CITATION {"citationItems":[{"id":"ITEM-1","itemData":{"DOI":"10.1039/b910053a","ISSN":"1473-0197","PMID":"19789739","abstract":"Miniature high speed label-free cell analysis systems have yet to be developed, but have the potential to deliver fast, inexpensive and simple full blood cell analysis systems that could be used routinely in clinical practice. We demonstrate a microfluidic single cell impedance cytometer that performs a white blood cell differential count. The device consists of a microfluidic chip with micro-electrodes that measure the impedance of single cells at two frequencies. Human blood, treated with saponin/formic acid to lyse erythrocytes, flows through the device and a complete blood count is performed in a few minutes. Verification of cell dielectric parameters was performed by simultaneously measuring fluorescence from CD antibody-conjugated cells. This enabled direct correlation of impedance signals from individual cells with phenotype. Tests with patient samples showed 95% correlation against commercial (optical/Coulter) blood analysis equipment, demonstrating the potential clinical utility of the impedance microcytometer for a point-of-care blood analysis system.","author":[{"dropping-particle":"","family":"Holmes","given":"David","non-dropping-particle":"","parse-names":false,"suffix":""},{"dropping-particle":"","family":"Pettigrew","given":"David","non-dropping-particle":"","parse-names":false,"suffix":""},{"dropping-particle":"","family":"Reccius","given":"Christian H","non-dropping-particle":"","parse-names":false,"suffix":""},{"dropping-particle":"","family":"Gwyer","given":"James D","non-dropping-particle":"","parse-names":false,"suffix":""},{"dropping-particle":"","family":"Berkel","given":"Cees","non-dropping-particle":"van","parse-names":false,"suffix":""},{"dropping-particle":"","family":"Holloway","given":"Judith","non-dropping-particle":"","parse-names":false,"suffix":""},{"dropping-particle":"","family":"Davies","given":"Donna E","non-dropping-particle":"","parse-names":false,"suffix":""},{"dropping-particle":"","family":"Morgan","given":"Hywel","non-dropping-particle":"","parse-names":false,"suffix":""}],"container-title":"Lab on a chip","id":"ITEM-1","issue":"20","issued":{"date-parts":[["2009","10","21"]]},"page":"2881-9","title":"Leukocyte analysis and differentiation using high speed microfluidic single cell impedance cytometry.","type":"article-journal","volume":"9"},"uris":["http://www.mendeley.com/documents/?uuid=45b2201f-7e12-4a33-8d75-fc5a211ba68e"]},{"id":"ITEM-2","itemData":{"DOI":"10.1155/2020/9475490","ISSN":"23144912","abstract":"Electrical detection of biotic materials and their properties is always crucial in Biomedical Engineering. It emphasizes elaborate analysis of a certain disease diagnosis using electrical means which includes the study of electrical properties followed by detection, identification, and quantification of biotic entities. Proper and early detection of cells, which can be normal or cancerous, holds never-ending demand. This review emphasizes the electrical characterization methods in modeling and classification of cell properties. Moreover, standard methods have been highlighted and discussed to yield performance analysis. This study suggests that techniques presented for single-cell analysis (SCA) are always precise and hold great scope compared to those for cell mixture. SCA plays a promising role in disease diagnosis and treatment planning, as it not only detects the cells but also helps in identification. Distinct electrical-based cell detection techniques are highlighted, along with the pros and cons of various SCA devices. The content, in terms of methodologies and available techniques, of this review paper is useful to attract researchers working in this area.","author":[{"dropping-particle":"","family":"Nasir","given":"Nida","non-dropping-particle":"","parse-names":false,"suffix":""},{"dropping-particle":"","family":"Ahmad","given":"Mahmoud","non-dropping-particle":"Al","parse-names":false,"suffix":""}],"container-title":"Journal of Engineering (United Kingdom)","id":"ITEM-2","issued":{"date-parts":[["2020"]]},"title":"Cells Electrical Characterization: Dielectric Properties, Mixture, and Modeling Theories","type":"article-journal","volume":"2020"},"uris":["http://www.mendeley.com/documents/?uuid=9b0e17d0-544e-48ea-8cdc-574f33591135"]}],"mendeley":{"formattedCitation":"[1,2]","plainTextFormattedCitation":"[1,2]","previouslyFormattedCitation":"[1,2]"},"properties":{"noteIndex":0},"schema":"https://github.com/citation-style-language/schema/raw/master/csl-citation.json"}</w:instrText>
      </w:r>
      <w:r w:rsidR="00C25830" w:rsidRPr="00992125">
        <w:rPr>
          <w:rFonts w:ascii="Times New Roman" w:eastAsiaTheme="minorEastAsia" w:hAnsi="Times New Roman" w:cs="Times New Roman"/>
          <w:sz w:val="20"/>
          <w:szCs w:val="20"/>
        </w:rPr>
        <w:fldChar w:fldCharType="separate"/>
      </w:r>
      <w:r w:rsidR="00C25830" w:rsidRPr="00992125">
        <w:rPr>
          <w:rFonts w:ascii="Times New Roman" w:eastAsiaTheme="minorEastAsia" w:hAnsi="Times New Roman" w:cs="Times New Roman"/>
          <w:noProof/>
          <w:sz w:val="20"/>
          <w:szCs w:val="20"/>
        </w:rPr>
        <w:t>[1,2]</w:t>
      </w:r>
      <w:r w:rsidR="00C25830" w:rsidRPr="00992125">
        <w:rPr>
          <w:rFonts w:ascii="Times New Roman" w:eastAsiaTheme="minorEastAsia" w:hAnsi="Times New Roman" w:cs="Times New Roman"/>
          <w:sz w:val="20"/>
          <w:szCs w:val="20"/>
        </w:rPr>
        <w:fldChar w:fldCharType="end"/>
      </w:r>
      <w:r w:rsidR="00D27C7E" w:rsidRPr="00992125">
        <w:rPr>
          <w:rFonts w:ascii="Times New Roman" w:eastAsiaTheme="minorEastAsia" w:hAnsi="Times New Roman" w:cs="Times New Roman"/>
          <w:sz w:val="20"/>
          <w:szCs w:val="20"/>
        </w:rPr>
        <w:t xml:space="preserve">: </w:t>
      </w:r>
    </w:p>
    <w:p w:rsidR="00D27C7E" w:rsidRPr="00992125" w:rsidRDefault="00D27C7E" w:rsidP="00D27C7E">
      <w:pPr>
        <w:rPr>
          <w:rFonts w:ascii="Times New Roman" w:eastAsiaTheme="minorEastAsia" w:hAnsi="Times New Roman" w:cs="Times New Roman"/>
          <w:sz w:val="20"/>
          <w:szCs w:val="20"/>
        </w:rPr>
      </w:pPr>
      <m:oMathPara>
        <m:oMath>
          <m:r>
            <m:rPr>
              <m:sty m:val="p"/>
            </m:rPr>
            <w:rPr>
              <w:rFonts w:ascii="Cambria Math" w:hAnsi="Cambria Math" w:cs="Times New Roman"/>
              <w:sz w:val="20"/>
              <w:szCs w:val="20"/>
            </w:rPr>
            <m:t>Φ=</m:t>
          </m:r>
          <m:f>
            <m:fPr>
              <m:ctrlPr>
                <w:rPr>
                  <w:rFonts w:ascii="Cambria Math" w:hAnsi="Cambria Math" w:cs="Times New Roman"/>
                  <w:i/>
                  <w:sz w:val="20"/>
                  <w:szCs w:val="20"/>
                </w:rPr>
              </m:ctrlPr>
            </m:fPr>
            <m:num>
              <m:r>
                <w:rPr>
                  <w:rFonts w:ascii="Cambria Math" w:hAnsi="Cambria Math" w:cs="Times New Roman"/>
                  <w:sz w:val="20"/>
                  <w:szCs w:val="20"/>
                </w:rPr>
                <m:t>4</m:t>
              </m:r>
            </m:num>
            <m:den>
              <m:r>
                <w:rPr>
                  <w:rFonts w:ascii="Cambria Math" w:hAnsi="Cambria Math" w:cs="Times New Roman"/>
                  <w:sz w:val="20"/>
                  <w:szCs w:val="20"/>
                </w:rPr>
                <m:t>3</m:t>
              </m:r>
            </m:den>
          </m:f>
          <m:r>
            <w:rPr>
              <w:rFonts w:ascii="Cambria Math" w:hAnsi="Cambria Math" w:cs="Times New Roman"/>
              <w:sz w:val="20"/>
              <w:szCs w:val="20"/>
            </w:rPr>
            <m:t>π</m:t>
          </m:r>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3</m:t>
              </m:r>
            </m:sup>
          </m:sSup>
          <m:f>
            <m:fPr>
              <m:ctrlPr>
                <w:rPr>
                  <w:rFonts w:ascii="Cambria Math" w:hAnsi="Cambria Math" w:cs="Times New Roman"/>
                  <w:i/>
                  <w:sz w:val="20"/>
                  <w:szCs w:val="20"/>
                </w:rPr>
              </m:ctrlPr>
            </m:fPr>
            <m:num>
              <m:r>
                <w:rPr>
                  <w:rFonts w:ascii="Cambria Math" w:hAnsi="Cambria Math" w:cs="Times New Roman"/>
                  <w:sz w:val="20"/>
                  <w:szCs w:val="20"/>
                </w:rPr>
                <m:t>1</m:t>
              </m:r>
            </m:num>
            <m:den>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e</m:t>
                  </m:r>
                </m:sub>
              </m:sSub>
              <m:r>
                <w:rPr>
                  <w:rFonts w:ascii="Cambria Math" w:hAnsi="Cambria Math" w:cs="Times New Roman"/>
                  <w:sz w:val="20"/>
                  <w:szCs w:val="20"/>
                </w:rPr>
                <m:t>g</m:t>
              </m:r>
            </m:den>
          </m:f>
        </m:oMath>
      </m:oMathPara>
    </w:p>
    <w:p w:rsidR="00CF5957" w:rsidRPr="00992125" w:rsidRDefault="00273C3B" w:rsidP="00273C3B">
      <w:pPr>
        <w:rPr>
          <w:rFonts w:ascii="Times New Roman" w:eastAsiaTheme="minorEastAsia" w:hAnsi="Times New Roman" w:cs="Times New Roman"/>
          <w:sz w:val="20"/>
          <w:szCs w:val="20"/>
        </w:rPr>
      </w:pPr>
      <w:proofErr w:type="gramStart"/>
      <w:r w:rsidRPr="00992125">
        <w:rPr>
          <w:rFonts w:ascii="Times New Roman" w:eastAsiaTheme="minorEastAsia" w:hAnsi="Times New Roman" w:cs="Times New Roman"/>
          <w:sz w:val="20"/>
          <w:szCs w:val="20"/>
        </w:rPr>
        <w:t>where</w:t>
      </w:r>
      <w:proofErr w:type="gramEnd"/>
      <w:r w:rsidRPr="00992125">
        <w:rPr>
          <w:rFonts w:ascii="Times New Roman" w:eastAsiaTheme="minorEastAsia" w:hAnsi="Times New Roman" w:cs="Times New Roman"/>
          <w:sz w:val="20"/>
          <w:szCs w:val="20"/>
        </w:rPr>
        <w:t xml:space="preserve">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e</m:t>
            </m:r>
          </m:sub>
        </m:sSub>
      </m:oMath>
      <w:r w:rsidRPr="00992125">
        <w:rPr>
          <w:rFonts w:ascii="Times New Roman" w:eastAsiaTheme="minorEastAsia" w:hAnsi="Times New Roman" w:cs="Times New Roman"/>
          <w:sz w:val="20"/>
          <w:szCs w:val="20"/>
        </w:rPr>
        <w:t xml:space="preserve"> and </w:t>
      </w:r>
      <w:r w:rsidRPr="00914266">
        <w:rPr>
          <w:rFonts w:ascii="Times New Roman" w:eastAsiaTheme="minorEastAsia" w:hAnsi="Times New Roman" w:cs="Times New Roman"/>
          <w:i/>
          <w:sz w:val="20"/>
          <w:szCs w:val="20"/>
        </w:rPr>
        <w:t>g</w:t>
      </w:r>
      <w:r w:rsidRPr="00992125">
        <w:rPr>
          <w:rFonts w:ascii="Times New Roman" w:eastAsiaTheme="minorEastAsia" w:hAnsi="Times New Roman" w:cs="Times New Roman"/>
          <w:sz w:val="20"/>
          <w:szCs w:val="20"/>
        </w:rPr>
        <w:t xml:space="preserve"> are the area of the electrode and the gap be</w:t>
      </w:r>
      <w:r w:rsidR="00DA10D8">
        <w:rPr>
          <w:rFonts w:ascii="Times New Roman" w:eastAsiaTheme="minorEastAsia" w:hAnsi="Times New Roman" w:cs="Times New Roman"/>
          <w:sz w:val="20"/>
          <w:szCs w:val="20"/>
        </w:rPr>
        <w:t xml:space="preserve">tween electrode, respectively. </w:t>
      </w:r>
      <w:r w:rsidR="004C7C29" w:rsidRPr="00992125">
        <w:rPr>
          <w:rFonts w:ascii="Times New Roman" w:eastAsiaTheme="minorEastAsia" w:hAnsi="Times New Roman" w:cs="Times New Roman"/>
          <w:sz w:val="20"/>
          <w:szCs w:val="20"/>
        </w:rPr>
        <w:t xml:space="preserve">Thus,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ε</m:t>
                </m:r>
              </m:e>
            </m:acc>
          </m:e>
          <m:sub>
            <m:r>
              <w:rPr>
                <w:rFonts w:ascii="Cambria Math" w:hAnsi="Cambria Math" w:cs="Times New Roman"/>
                <w:sz w:val="20"/>
                <w:szCs w:val="20"/>
              </w:rPr>
              <m:t>p</m:t>
            </m:r>
          </m:sub>
        </m:sSub>
      </m:oMath>
      <w:r w:rsidR="00427639" w:rsidRPr="00992125">
        <w:rPr>
          <w:rFonts w:ascii="Times New Roman" w:eastAsiaTheme="minorEastAsia" w:hAnsi="Times New Roman" w:cs="Times New Roman"/>
          <w:sz w:val="20"/>
          <w:szCs w:val="20"/>
        </w:rPr>
        <w:t xml:space="preserve"> is given as follows</w:t>
      </w:r>
      <w:r w:rsidR="004C7C29" w:rsidRPr="00992125">
        <w:rPr>
          <w:rFonts w:ascii="Times New Roman" w:eastAsiaTheme="minorEastAsia" w:hAnsi="Times New Roman" w:cs="Times New Roman"/>
          <w:sz w:val="20"/>
          <w:szCs w:val="20"/>
        </w:rPr>
        <w:t xml:space="preserve">: </w:t>
      </w:r>
    </w:p>
    <w:p w:rsidR="004C7C29" w:rsidRPr="0018709E" w:rsidRDefault="00AA4933" w:rsidP="00A41722">
      <w:pPr>
        <w:jc w:val="both"/>
        <w:rPr>
          <w:rFonts w:eastAsiaTheme="minorEastAsia"/>
          <w:sz w:val="20"/>
          <w:szCs w:val="20"/>
        </w:rPr>
      </w:pPr>
      <m:oMathPara>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ε</m:t>
                  </m:r>
                </m:e>
              </m:acc>
            </m:e>
            <m:sub>
              <m:r>
                <w:rPr>
                  <w:rFonts w:ascii="Cambria Math" w:hAnsi="Cambria Math"/>
                  <w:sz w:val="20"/>
                  <w:szCs w:val="20"/>
                </w:rPr>
                <m:t>p</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ε</m:t>
                  </m:r>
                </m:e>
              </m:acc>
            </m:e>
            <m:sub>
              <m:r>
                <w:rPr>
                  <w:rFonts w:ascii="Cambria Math" w:hAnsi="Cambria Math"/>
                  <w:sz w:val="20"/>
                  <w:szCs w:val="20"/>
                </w:rPr>
                <m:t>mem</m:t>
              </m:r>
            </m:sub>
          </m:sSub>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R</m:t>
                          </m:r>
                        </m:num>
                        <m:den>
                          <m:r>
                            <w:rPr>
                              <w:rFonts w:ascii="Cambria Math" w:hAnsi="Cambria Math"/>
                              <w:sz w:val="20"/>
                              <w:szCs w:val="20"/>
                            </w:rPr>
                            <m:t>R-d</m:t>
                          </m:r>
                        </m:den>
                      </m:f>
                    </m:e>
                  </m:d>
                </m:e>
                <m:sup>
                  <m:r>
                    <w:rPr>
                      <w:rFonts w:ascii="Cambria Math" w:hAnsi="Cambria Math"/>
                      <w:sz w:val="20"/>
                      <w:szCs w:val="20"/>
                    </w:rPr>
                    <m:t>3</m:t>
                  </m:r>
                </m:sup>
              </m:sSup>
              <m:r>
                <w:rPr>
                  <w:rFonts w:ascii="Cambria Math" w:hAnsi="Cambria Math"/>
                  <w:sz w:val="20"/>
                  <w:szCs w:val="20"/>
                </w:rPr>
                <m:t>+2</m:t>
              </m:r>
              <m:d>
                <m:dPr>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ε</m:t>
                              </m:r>
                            </m:e>
                          </m:acc>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ε</m:t>
                              </m:r>
                            </m:e>
                          </m:acc>
                        </m:e>
                        <m:sub>
                          <m:r>
                            <w:rPr>
                              <w:rFonts w:ascii="Cambria Math" w:hAnsi="Cambria Math"/>
                              <w:sz w:val="20"/>
                              <w:szCs w:val="20"/>
                            </w:rPr>
                            <m:t>mem</m:t>
                          </m:r>
                        </m:sub>
                      </m:sSub>
                    </m:num>
                    <m:den>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ε</m:t>
                              </m:r>
                            </m:e>
                          </m:acc>
                        </m:e>
                        <m:sub>
                          <m:r>
                            <w:rPr>
                              <w:rFonts w:ascii="Cambria Math" w:hAnsi="Cambria Math"/>
                              <w:sz w:val="20"/>
                              <w:szCs w:val="20"/>
                            </w:rPr>
                            <m:t>i</m:t>
                          </m:r>
                        </m:sub>
                      </m:sSub>
                      <m:r>
                        <w:rPr>
                          <w:rFonts w:ascii="Cambria Math" w:hAnsi="Cambria Math"/>
                          <w:sz w:val="20"/>
                          <w:szCs w:val="20"/>
                        </w:rPr>
                        <m:t>+2</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ε</m:t>
                              </m:r>
                            </m:e>
                          </m:acc>
                        </m:e>
                        <m:sub>
                          <m:r>
                            <w:rPr>
                              <w:rFonts w:ascii="Cambria Math" w:hAnsi="Cambria Math"/>
                              <w:sz w:val="20"/>
                              <w:szCs w:val="20"/>
                            </w:rPr>
                            <m:t>mem</m:t>
                          </m:r>
                        </m:sub>
                      </m:sSub>
                    </m:den>
                  </m:f>
                </m:e>
              </m:d>
            </m:num>
            <m:den>
              <m:sSup>
                <m:sSupPr>
                  <m:ctrlPr>
                    <w:rPr>
                      <w:rFonts w:ascii="Cambria Math" w:hAnsi="Cambria Math"/>
                      <w:i/>
                      <w:sz w:val="20"/>
                      <w:szCs w:val="20"/>
                    </w:rPr>
                  </m:ctrlPr>
                </m:sSupPr>
                <m:e>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R</m:t>
                          </m:r>
                        </m:num>
                        <m:den>
                          <m:r>
                            <w:rPr>
                              <w:rFonts w:ascii="Cambria Math" w:hAnsi="Cambria Math"/>
                              <w:sz w:val="20"/>
                              <w:szCs w:val="20"/>
                            </w:rPr>
                            <m:t>R-d</m:t>
                          </m:r>
                        </m:den>
                      </m:f>
                    </m:e>
                  </m:d>
                </m:e>
                <m:sup>
                  <m:r>
                    <w:rPr>
                      <w:rFonts w:ascii="Cambria Math" w:hAnsi="Cambria Math"/>
                      <w:sz w:val="20"/>
                      <w:szCs w:val="20"/>
                    </w:rPr>
                    <m:t>3</m:t>
                  </m:r>
                </m:sup>
              </m:sSup>
              <m:r>
                <w:rPr>
                  <w:rFonts w:ascii="Cambria Math" w:hAnsi="Cambria Math"/>
                  <w:sz w:val="20"/>
                  <w:szCs w:val="20"/>
                </w:rPr>
                <m:t>-</m:t>
              </m:r>
              <m:d>
                <m:dPr>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ε</m:t>
                              </m:r>
                            </m:e>
                          </m:acc>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ε</m:t>
                              </m:r>
                            </m:e>
                          </m:acc>
                        </m:e>
                        <m:sub>
                          <m:r>
                            <w:rPr>
                              <w:rFonts w:ascii="Cambria Math" w:hAnsi="Cambria Math"/>
                              <w:sz w:val="20"/>
                              <w:szCs w:val="20"/>
                            </w:rPr>
                            <m:t>mem</m:t>
                          </m:r>
                        </m:sub>
                      </m:sSub>
                    </m:num>
                    <m:den>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ε</m:t>
                              </m:r>
                            </m:e>
                          </m:acc>
                        </m:e>
                        <m:sub>
                          <m:r>
                            <w:rPr>
                              <w:rFonts w:ascii="Cambria Math" w:hAnsi="Cambria Math"/>
                              <w:sz w:val="20"/>
                              <w:szCs w:val="20"/>
                            </w:rPr>
                            <m:t>i</m:t>
                          </m:r>
                        </m:sub>
                      </m:sSub>
                      <m:r>
                        <w:rPr>
                          <w:rFonts w:ascii="Cambria Math" w:hAnsi="Cambria Math"/>
                          <w:sz w:val="20"/>
                          <w:szCs w:val="20"/>
                        </w:rPr>
                        <m:t>+2</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ε</m:t>
                              </m:r>
                            </m:e>
                          </m:acc>
                        </m:e>
                        <m:sub>
                          <m:r>
                            <w:rPr>
                              <w:rFonts w:ascii="Cambria Math" w:hAnsi="Cambria Math"/>
                              <w:sz w:val="20"/>
                              <w:szCs w:val="20"/>
                            </w:rPr>
                            <m:t>mem</m:t>
                          </m:r>
                        </m:sub>
                      </m:sSub>
                    </m:den>
                  </m:f>
                </m:e>
              </m:d>
            </m:den>
          </m:f>
        </m:oMath>
      </m:oMathPara>
    </w:p>
    <w:p w:rsidR="000A2E43" w:rsidRPr="00992125" w:rsidRDefault="004C7C29" w:rsidP="00D27C7E">
      <w:pPr>
        <w:jc w:val="both"/>
        <w:rPr>
          <w:rFonts w:ascii="Times New Roman" w:eastAsiaTheme="minorEastAsia" w:hAnsi="Times New Roman" w:cs="Times New Roman"/>
          <w:sz w:val="20"/>
          <w:szCs w:val="20"/>
        </w:rPr>
      </w:pPr>
      <w:proofErr w:type="gramStart"/>
      <w:r w:rsidRPr="00992125">
        <w:rPr>
          <w:rFonts w:ascii="Times New Roman" w:eastAsiaTheme="minorEastAsia" w:hAnsi="Times New Roman" w:cs="Times New Roman"/>
          <w:sz w:val="20"/>
          <w:szCs w:val="20"/>
        </w:rPr>
        <w:t xml:space="preserve">where </w:t>
      </w:r>
      <w:proofErr w:type="gramEnd"/>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ε</m:t>
                </m:r>
              </m:e>
            </m:acc>
          </m:e>
          <m:sub>
            <m:r>
              <w:rPr>
                <w:rFonts w:ascii="Cambria Math" w:hAnsi="Cambria Math" w:cs="Times New Roman"/>
                <w:sz w:val="20"/>
                <w:szCs w:val="20"/>
              </w:rPr>
              <m:t>mem</m:t>
            </m:r>
          </m:sub>
        </m:sSub>
      </m:oMath>
      <w:r w:rsidR="00E72938" w:rsidRPr="00992125">
        <w:rPr>
          <w:rFonts w:ascii="Times New Roman" w:eastAsiaTheme="minorEastAsia" w:hAnsi="Times New Roman" w:cs="Times New Roman"/>
          <w:sz w:val="20"/>
          <w:szCs w:val="20"/>
        </w:rPr>
        <w:t>,</w:t>
      </w:r>
      <w:r w:rsidRPr="00992125">
        <w:rPr>
          <w:rFonts w:ascii="Times New Roman" w:eastAsiaTheme="minorEastAsia" w:hAnsi="Times New Roman" w:cs="Times New Roman"/>
          <w:sz w:val="20"/>
          <w:szCs w:val="20"/>
        </w:rPr>
        <w:t xml:space="preserve">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ε</m:t>
                </m:r>
              </m:e>
            </m:acc>
          </m:e>
          <m:sub>
            <m:r>
              <w:rPr>
                <w:rFonts w:ascii="Cambria Math" w:hAnsi="Cambria Math" w:cs="Times New Roman"/>
                <w:sz w:val="20"/>
                <w:szCs w:val="20"/>
              </w:rPr>
              <m:t>i</m:t>
            </m:r>
          </m:sub>
        </m:sSub>
      </m:oMath>
      <w:r w:rsidRPr="00992125">
        <w:rPr>
          <w:rFonts w:ascii="Times New Roman" w:eastAsiaTheme="minorEastAsia" w:hAnsi="Times New Roman" w:cs="Times New Roman"/>
          <w:sz w:val="20"/>
          <w:szCs w:val="20"/>
        </w:rPr>
        <w:t xml:space="preserve"> </w:t>
      </w:r>
      <w:r w:rsidR="00E72938" w:rsidRPr="00992125">
        <w:rPr>
          <w:rFonts w:ascii="Times New Roman" w:eastAsiaTheme="minorEastAsia" w:hAnsi="Times New Roman" w:cs="Times New Roman"/>
          <w:sz w:val="20"/>
          <w:szCs w:val="20"/>
        </w:rPr>
        <w:t xml:space="preserve">, </w:t>
      </w:r>
      <m:oMath>
        <m:r>
          <w:rPr>
            <w:rFonts w:ascii="Cambria Math" w:hAnsi="Cambria Math" w:cs="Times New Roman"/>
            <w:sz w:val="20"/>
            <w:szCs w:val="20"/>
          </w:rPr>
          <m:t>R</m:t>
        </m:r>
      </m:oMath>
      <w:r w:rsidR="00E72938" w:rsidRPr="00992125">
        <w:rPr>
          <w:rFonts w:ascii="Times New Roman" w:eastAsiaTheme="minorEastAsia" w:hAnsi="Times New Roman" w:cs="Times New Roman"/>
          <w:sz w:val="20"/>
          <w:szCs w:val="20"/>
        </w:rPr>
        <w:t xml:space="preserve"> and </w:t>
      </w:r>
      <m:oMath>
        <m:r>
          <w:rPr>
            <w:rFonts w:ascii="Cambria Math" w:hAnsi="Cambria Math" w:cs="Times New Roman"/>
            <w:sz w:val="20"/>
            <w:szCs w:val="20"/>
          </w:rPr>
          <m:t>d</m:t>
        </m:r>
      </m:oMath>
      <w:r w:rsidR="00E72938" w:rsidRPr="00992125">
        <w:rPr>
          <w:rFonts w:ascii="Times New Roman" w:eastAsiaTheme="minorEastAsia" w:hAnsi="Times New Roman" w:cs="Times New Roman"/>
          <w:sz w:val="20"/>
          <w:szCs w:val="20"/>
        </w:rPr>
        <w:t xml:space="preserve"> </w:t>
      </w:r>
      <w:r w:rsidR="00882730">
        <w:rPr>
          <w:rFonts w:ascii="Times New Roman" w:eastAsiaTheme="minorEastAsia" w:hAnsi="Times New Roman" w:cs="Times New Roman"/>
          <w:sz w:val="20"/>
          <w:szCs w:val="20"/>
        </w:rPr>
        <w:t>are the complex</w:t>
      </w:r>
      <w:r w:rsidRPr="00992125">
        <w:rPr>
          <w:rFonts w:ascii="Times New Roman" w:eastAsiaTheme="minorEastAsia" w:hAnsi="Times New Roman" w:cs="Times New Roman"/>
          <w:sz w:val="20"/>
          <w:szCs w:val="20"/>
        </w:rPr>
        <w:t xml:space="preserve"> permittivity</w:t>
      </w:r>
      <w:r w:rsidR="00E72938" w:rsidRPr="00992125">
        <w:rPr>
          <w:rFonts w:ascii="Times New Roman" w:eastAsiaTheme="minorEastAsia" w:hAnsi="Times New Roman" w:cs="Times New Roman"/>
          <w:sz w:val="20"/>
          <w:szCs w:val="20"/>
        </w:rPr>
        <w:t xml:space="preserve"> of </w:t>
      </w:r>
      <w:r w:rsidR="00882730">
        <w:rPr>
          <w:rFonts w:ascii="Times New Roman" w:eastAsiaTheme="minorEastAsia" w:hAnsi="Times New Roman" w:cs="Times New Roman"/>
          <w:sz w:val="20"/>
          <w:szCs w:val="20"/>
        </w:rPr>
        <w:t xml:space="preserve">the </w:t>
      </w:r>
      <w:r w:rsidR="0054483B">
        <w:rPr>
          <w:rFonts w:ascii="Times New Roman" w:eastAsiaTheme="minorEastAsia" w:hAnsi="Times New Roman" w:cs="Times New Roman"/>
          <w:sz w:val="20"/>
          <w:szCs w:val="20"/>
        </w:rPr>
        <w:t>cell membrane, the complex</w:t>
      </w:r>
      <w:r w:rsidR="00E72938" w:rsidRPr="00992125">
        <w:rPr>
          <w:rFonts w:ascii="Times New Roman" w:eastAsiaTheme="minorEastAsia" w:hAnsi="Times New Roman" w:cs="Times New Roman"/>
          <w:sz w:val="20"/>
          <w:szCs w:val="20"/>
        </w:rPr>
        <w:t xml:space="preserve"> permittivity of cytoplasm, the radius of the cell, and the thickness of </w:t>
      </w:r>
      <w:r w:rsidR="0054483B">
        <w:rPr>
          <w:rFonts w:ascii="Times New Roman" w:eastAsiaTheme="minorEastAsia" w:hAnsi="Times New Roman" w:cs="Times New Roman"/>
          <w:sz w:val="20"/>
          <w:szCs w:val="20"/>
        </w:rPr>
        <w:t xml:space="preserve">the </w:t>
      </w:r>
      <w:r w:rsidR="00E72938" w:rsidRPr="00992125">
        <w:rPr>
          <w:rFonts w:ascii="Times New Roman" w:eastAsiaTheme="minorEastAsia" w:hAnsi="Times New Roman" w:cs="Times New Roman"/>
          <w:sz w:val="20"/>
          <w:szCs w:val="20"/>
        </w:rPr>
        <w:t>membrane.</w:t>
      </w:r>
      <w:r w:rsidR="00A41722" w:rsidRPr="00992125">
        <w:rPr>
          <w:rFonts w:ascii="Times New Roman" w:eastAsiaTheme="minorEastAsia" w:hAnsi="Times New Roman" w:cs="Times New Roman"/>
          <w:sz w:val="20"/>
          <w:szCs w:val="20"/>
        </w:rPr>
        <w:t xml:space="preserve"> </w:t>
      </w:r>
      <w:r w:rsidR="000A2E43" w:rsidRPr="00992125">
        <w:rPr>
          <w:rFonts w:ascii="Times New Roman" w:eastAsiaTheme="minorEastAsia" w:hAnsi="Times New Roman" w:cs="Times New Roman"/>
          <w:sz w:val="20"/>
          <w:szCs w:val="20"/>
        </w:rPr>
        <w:t>Thus, by using Maxwell's mixture theory, the complex impedance of a system may be directly linked to its geometric and dielectric characteristics.</w:t>
      </w:r>
    </w:p>
    <w:p w:rsidR="00D27C7E" w:rsidRPr="00CF5957" w:rsidRDefault="00AA4933" w:rsidP="00D27C7E">
      <w:pPr>
        <w:jc w:val="both"/>
        <w:rPr>
          <w:rFonts w:eastAsiaTheme="minorEastAsia"/>
        </w:rP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mix</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jω</m:t>
              </m:r>
              <m:sSub>
                <m:sSubPr>
                  <m:ctrlPr>
                    <w:rPr>
                      <w:rFonts w:ascii="Cambria Math" w:hAnsi="Cambria Math"/>
                      <w:i/>
                    </w:rPr>
                  </m:ctrlPr>
                </m:sSubPr>
                <m:e>
                  <m:acc>
                    <m:accPr>
                      <m:chr m:val="̃"/>
                      <m:ctrlPr>
                        <w:rPr>
                          <w:rFonts w:ascii="Cambria Math" w:hAnsi="Cambria Math"/>
                          <w:i/>
                        </w:rPr>
                      </m:ctrlPr>
                    </m:accPr>
                    <m:e>
                      <m:r>
                        <w:rPr>
                          <w:rFonts w:ascii="Cambria Math" w:hAnsi="Cambria Math"/>
                        </w:rPr>
                        <m:t>ε</m:t>
                      </m:r>
                    </m:e>
                  </m:acc>
                </m:e>
                <m:sub>
                  <m:r>
                    <w:rPr>
                      <w:rFonts w:ascii="Cambria Math" w:hAnsi="Cambria Math"/>
                    </w:rPr>
                    <m:t>mix</m:t>
                  </m:r>
                </m:sub>
              </m:sSub>
              <m:r>
                <w:rPr>
                  <w:rFonts w:ascii="Cambria Math" w:hAnsi="Cambria Math"/>
                </w:rPr>
                <m:t>G</m:t>
              </m:r>
            </m:den>
          </m:f>
        </m:oMath>
      </m:oMathPara>
    </w:p>
    <w:p w:rsidR="00235326" w:rsidRPr="00992125" w:rsidRDefault="00B21229" w:rsidP="00A41722">
      <w:pPr>
        <w:jc w:val="both"/>
        <w:rPr>
          <w:rFonts w:ascii="Times New Roman" w:eastAsiaTheme="minorEastAsia" w:hAnsi="Times New Roman" w:cs="Times New Roman"/>
          <w:sz w:val="20"/>
          <w:szCs w:val="20"/>
        </w:rPr>
      </w:pPr>
      <w:r w:rsidRPr="00992125">
        <w:rPr>
          <w:rFonts w:ascii="Times New Roman" w:eastAsiaTheme="minorEastAsia" w:hAnsi="Times New Roman" w:cs="Times New Roman"/>
          <w:sz w:val="20"/>
          <w:szCs w:val="20"/>
        </w:rPr>
        <w:t xml:space="preserve">Where </w:t>
      </w:r>
      <w:r w:rsidRPr="00914266">
        <w:rPr>
          <w:rFonts w:ascii="Times New Roman" w:eastAsiaTheme="minorEastAsia" w:hAnsi="Times New Roman" w:cs="Times New Roman"/>
          <w:i/>
          <w:sz w:val="20"/>
          <w:szCs w:val="20"/>
        </w:rPr>
        <w:t>G</w:t>
      </w:r>
      <w:r w:rsidRPr="00992125">
        <w:rPr>
          <w:rFonts w:ascii="Times New Roman" w:eastAsiaTheme="minorEastAsia" w:hAnsi="Times New Roman" w:cs="Times New Roman"/>
          <w:sz w:val="20"/>
          <w:szCs w:val="20"/>
        </w:rPr>
        <w:t xml:space="preserve"> is the geometric cell constant of the system, which for an ideal and uniform electric field of parallel plate </w:t>
      </w:r>
      <w:r w:rsidR="00914266" w:rsidRPr="00992125">
        <w:rPr>
          <w:rFonts w:ascii="Times New Roman" w:eastAsiaTheme="minorEastAsia" w:hAnsi="Times New Roman" w:cs="Times New Roman"/>
          <w:sz w:val="20"/>
          <w:szCs w:val="20"/>
        </w:rPr>
        <w:t>electrode</w:t>
      </w:r>
      <w:r w:rsidRPr="00992125">
        <w:rPr>
          <w:rFonts w:ascii="Times New Roman" w:eastAsiaTheme="minorEastAsia" w:hAnsi="Times New Roman" w:cs="Times New Roman"/>
          <w:sz w:val="20"/>
          <w:szCs w:val="20"/>
        </w:rPr>
        <w:t xml:space="preserve"> system is </w:t>
      </w:r>
      <w:r w:rsidRPr="00914266">
        <w:rPr>
          <w:rFonts w:ascii="Times New Roman" w:eastAsiaTheme="minorEastAsia" w:hAnsi="Times New Roman" w:cs="Times New Roman"/>
          <w:i/>
          <w:sz w:val="20"/>
          <w:szCs w:val="20"/>
        </w:rPr>
        <w:t>A/g</w:t>
      </w:r>
      <w:r w:rsidR="0096402C" w:rsidRPr="00992125">
        <w:rPr>
          <w:rFonts w:ascii="Times New Roman" w:eastAsiaTheme="minorEastAsia" w:hAnsi="Times New Roman" w:cs="Times New Roman"/>
          <w:sz w:val="20"/>
          <w:szCs w:val="20"/>
        </w:rPr>
        <w:t xml:space="preserve">. </w:t>
      </w:r>
    </w:p>
    <w:p w:rsidR="00C25830" w:rsidRPr="00992125" w:rsidRDefault="007C633C" w:rsidP="00C25830">
      <w:pPr>
        <w:rPr>
          <w:rFonts w:ascii="Times New Roman" w:hAnsi="Times New Roman" w:cs="Times New Roman"/>
          <w:sz w:val="20"/>
          <w:szCs w:val="20"/>
        </w:rPr>
      </w:pPr>
      <w:r>
        <w:rPr>
          <w:rFonts w:ascii="Times New Roman" w:hAnsi="Times New Roman" w:cs="Times New Roman"/>
          <w:sz w:val="20"/>
          <w:szCs w:val="20"/>
        </w:rPr>
        <w:t>S.3</w:t>
      </w:r>
      <w:r w:rsidR="00C25830" w:rsidRPr="00992125">
        <w:rPr>
          <w:rFonts w:ascii="Times New Roman" w:hAnsi="Times New Roman" w:cs="Times New Roman"/>
          <w:sz w:val="20"/>
          <w:szCs w:val="20"/>
        </w:rPr>
        <w:t xml:space="preserve"> </w:t>
      </w:r>
      <w:r w:rsidR="00057260" w:rsidRPr="00992125">
        <w:rPr>
          <w:rFonts w:ascii="Times New Roman" w:hAnsi="Times New Roman" w:cs="Times New Roman"/>
          <w:sz w:val="20"/>
          <w:szCs w:val="20"/>
        </w:rPr>
        <w:t xml:space="preserve">Dielectric dispersions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57260" w:rsidTr="00D86E4C">
        <w:tc>
          <w:tcPr>
            <w:tcW w:w="9576" w:type="dxa"/>
          </w:tcPr>
          <w:p w:rsidR="00057260" w:rsidRDefault="00DA513D" w:rsidP="00C25830">
            <w:r>
              <w:rPr>
                <w:noProof/>
              </w:rPr>
              <w:drawing>
                <wp:inline distT="0" distB="0" distL="0" distR="0" wp14:anchorId="57FAAAE9" wp14:editId="467B81C3">
                  <wp:extent cx="6194710" cy="3931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persion2.jpg"/>
                          <pic:cNvPicPr/>
                        </pic:nvPicPr>
                        <pic:blipFill>
                          <a:blip r:embed="rId8">
                            <a:extLst>
                              <a:ext uri="{28A0092B-C50C-407E-A947-70E740481C1C}">
                                <a14:useLocalDpi xmlns:a14="http://schemas.microsoft.com/office/drawing/2010/main" val="0"/>
                              </a:ext>
                            </a:extLst>
                          </a:blip>
                          <a:stretch>
                            <a:fillRect/>
                          </a:stretch>
                        </pic:blipFill>
                        <pic:spPr>
                          <a:xfrm>
                            <a:off x="0" y="0"/>
                            <a:ext cx="6194710" cy="3931920"/>
                          </a:xfrm>
                          <a:prstGeom prst="rect">
                            <a:avLst/>
                          </a:prstGeom>
                        </pic:spPr>
                      </pic:pic>
                    </a:graphicData>
                  </a:graphic>
                </wp:inline>
              </w:drawing>
            </w:r>
          </w:p>
        </w:tc>
      </w:tr>
      <w:tr w:rsidR="00057260" w:rsidRPr="00992125" w:rsidTr="00D86E4C">
        <w:tc>
          <w:tcPr>
            <w:tcW w:w="9576" w:type="dxa"/>
          </w:tcPr>
          <w:p w:rsidR="00057260" w:rsidRPr="00992125" w:rsidRDefault="00B14A03" w:rsidP="007C633C">
            <w:pPr>
              <w:rPr>
                <w:rFonts w:ascii="Times New Roman" w:hAnsi="Times New Roman" w:cs="Times New Roman"/>
                <w:sz w:val="20"/>
                <w:szCs w:val="20"/>
              </w:rPr>
            </w:pPr>
            <w:r w:rsidRPr="00992125">
              <w:rPr>
                <w:rFonts w:ascii="Times New Roman" w:hAnsi="Times New Roman" w:cs="Times New Roman"/>
                <w:sz w:val="20"/>
                <w:szCs w:val="20"/>
              </w:rPr>
              <w:t xml:space="preserve">Figure </w:t>
            </w:r>
            <w:r w:rsidR="00057260" w:rsidRPr="00992125">
              <w:rPr>
                <w:rFonts w:ascii="Times New Roman" w:hAnsi="Times New Roman" w:cs="Times New Roman"/>
                <w:sz w:val="20"/>
                <w:szCs w:val="20"/>
              </w:rPr>
              <w:t>S</w:t>
            </w:r>
            <w:r w:rsidR="007C633C">
              <w:rPr>
                <w:rFonts w:ascii="Times New Roman" w:hAnsi="Times New Roman" w:cs="Times New Roman"/>
                <w:sz w:val="20"/>
                <w:szCs w:val="20"/>
              </w:rPr>
              <w:t>3</w:t>
            </w:r>
            <w:r w:rsidR="00057260" w:rsidRPr="00992125">
              <w:rPr>
                <w:rFonts w:ascii="Times New Roman" w:hAnsi="Times New Roman" w:cs="Times New Roman"/>
                <w:sz w:val="20"/>
                <w:szCs w:val="20"/>
              </w:rPr>
              <w:t xml:space="preserve">: </w:t>
            </w:r>
            <w:r w:rsidR="004C7528" w:rsidRPr="00992125">
              <w:rPr>
                <w:rFonts w:ascii="Times New Roman" w:hAnsi="Times New Roman" w:cs="Times New Roman"/>
                <w:sz w:val="20"/>
                <w:szCs w:val="20"/>
              </w:rPr>
              <w:t>Permittivity</w:t>
            </w:r>
            <w:r w:rsidR="00057260" w:rsidRPr="00992125">
              <w:rPr>
                <w:rFonts w:ascii="Times New Roman" w:hAnsi="Times New Roman" w:cs="Times New Roman"/>
                <w:sz w:val="20"/>
                <w:szCs w:val="20"/>
              </w:rPr>
              <w:t xml:space="preserve"> and conductivity over the frequency spectrum</w:t>
            </w:r>
            <w:r w:rsidR="003C7113" w:rsidRPr="00992125">
              <w:rPr>
                <w:rFonts w:ascii="Times New Roman" w:hAnsi="Times New Roman" w:cs="Times New Roman"/>
                <w:sz w:val="20"/>
                <w:szCs w:val="20"/>
              </w:rPr>
              <w:t xml:space="preserve">, </w:t>
            </w:r>
            <w:r w:rsidR="003C7113" w:rsidRPr="00914266">
              <w:rPr>
                <w:rFonts w:ascii="Times New Roman" w:hAnsi="Times New Roman" w:cs="Times New Roman"/>
                <w:i/>
                <w:sz w:val="20"/>
                <w:szCs w:val="20"/>
              </w:rPr>
              <w:t>α</w:t>
            </w:r>
            <w:r w:rsidR="003C7113" w:rsidRPr="00992125">
              <w:rPr>
                <w:rFonts w:ascii="Times New Roman" w:hAnsi="Times New Roman" w:cs="Times New Roman"/>
                <w:sz w:val="20"/>
                <w:szCs w:val="20"/>
              </w:rPr>
              <w:t xml:space="preserve">, </w:t>
            </w:r>
            <w:r w:rsidR="003C7113" w:rsidRPr="00914266">
              <w:rPr>
                <w:rFonts w:ascii="Times New Roman" w:hAnsi="Times New Roman" w:cs="Times New Roman"/>
                <w:i/>
                <w:sz w:val="20"/>
                <w:szCs w:val="20"/>
              </w:rPr>
              <w:t>β</w:t>
            </w:r>
            <w:r w:rsidR="003C7113" w:rsidRPr="00992125">
              <w:rPr>
                <w:rFonts w:ascii="Times New Roman" w:hAnsi="Times New Roman" w:cs="Times New Roman"/>
                <w:sz w:val="20"/>
                <w:szCs w:val="20"/>
              </w:rPr>
              <w:t xml:space="preserve">, and </w:t>
            </w:r>
            <w:r w:rsidR="003C7113" w:rsidRPr="00914266">
              <w:rPr>
                <w:rFonts w:ascii="Times New Roman" w:hAnsi="Times New Roman" w:cs="Times New Roman"/>
                <w:i/>
                <w:sz w:val="20"/>
                <w:szCs w:val="20"/>
              </w:rPr>
              <w:t>γ</w:t>
            </w:r>
            <w:r w:rsidR="003C7113" w:rsidRPr="00992125">
              <w:rPr>
                <w:rFonts w:ascii="Times New Roman" w:hAnsi="Times New Roman" w:cs="Times New Roman"/>
                <w:sz w:val="20"/>
                <w:szCs w:val="20"/>
              </w:rPr>
              <w:t xml:space="preserve"> dispersions</w:t>
            </w:r>
          </w:p>
        </w:tc>
      </w:tr>
    </w:tbl>
    <w:p w:rsidR="00057260" w:rsidRPr="00992125" w:rsidRDefault="00057260" w:rsidP="00C25830">
      <w:pPr>
        <w:rPr>
          <w:rFonts w:ascii="Times New Roman" w:hAnsi="Times New Roman" w:cs="Times New Roman"/>
          <w:sz w:val="20"/>
          <w:szCs w:val="20"/>
        </w:rPr>
      </w:pPr>
    </w:p>
    <w:p w:rsidR="00F34866" w:rsidRPr="00992125" w:rsidRDefault="003C7113" w:rsidP="00C25830">
      <w:pPr>
        <w:rPr>
          <w:rFonts w:ascii="Times New Roman" w:hAnsi="Times New Roman" w:cs="Times New Roman"/>
          <w:sz w:val="20"/>
          <w:szCs w:val="20"/>
        </w:rPr>
      </w:pPr>
      <w:r w:rsidRPr="00992125">
        <w:rPr>
          <w:rFonts w:ascii="Times New Roman" w:hAnsi="Times New Roman" w:cs="Times New Roman"/>
          <w:sz w:val="20"/>
          <w:szCs w:val="20"/>
        </w:rPr>
        <w:t>S.</w:t>
      </w:r>
      <w:r w:rsidR="007C633C">
        <w:rPr>
          <w:rFonts w:ascii="Times New Roman" w:hAnsi="Times New Roman" w:cs="Times New Roman"/>
          <w:sz w:val="20"/>
          <w:szCs w:val="20"/>
        </w:rPr>
        <w:t>3</w:t>
      </w:r>
      <w:r w:rsidRPr="00992125">
        <w:rPr>
          <w:rFonts w:ascii="Times New Roman" w:hAnsi="Times New Roman" w:cs="Times New Roman"/>
          <w:sz w:val="20"/>
          <w:szCs w:val="20"/>
        </w:rPr>
        <w:t>.1 Alpha Dispersion</w:t>
      </w:r>
    </w:p>
    <w:p w:rsidR="003C7113" w:rsidRPr="00992125" w:rsidRDefault="003C7113" w:rsidP="00C25830">
      <w:pPr>
        <w:rPr>
          <w:rFonts w:ascii="Times New Roman" w:hAnsi="Times New Roman" w:cs="Times New Roman"/>
          <w:sz w:val="20"/>
          <w:szCs w:val="20"/>
        </w:rPr>
      </w:pPr>
      <w:r w:rsidRPr="00992125">
        <w:rPr>
          <w:rFonts w:ascii="Times New Roman" w:hAnsi="Times New Roman" w:cs="Times New Roman"/>
          <w:sz w:val="20"/>
          <w:szCs w:val="20"/>
        </w:rPr>
        <w:t xml:space="preserve">The </w:t>
      </w:r>
      <w:r w:rsidRPr="00914266">
        <w:rPr>
          <w:rFonts w:ascii="Times New Roman" w:hAnsi="Times New Roman" w:cs="Times New Roman"/>
          <w:i/>
          <w:sz w:val="20"/>
          <w:szCs w:val="20"/>
        </w:rPr>
        <w:t>α</w:t>
      </w:r>
      <w:r w:rsidR="00E51402">
        <w:rPr>
          <w:rFonts w:ascii="Times New Roman" w:hAnsi="Times New Roman" w:cs="Times New Roman"/>
          <w:sz w:val="20"/>
          <w:szCs w:val="20"/>
        </w:rPr>
        <w:t>-</w:t>
      </w:r>
      <w:r w:rsidRPr="00992125">
        <w:rPr>
          <w:rFonts w:ascii="Times New Roman" w:hAnsi="Times New Roman" w:cs="Times New Roman"/>
          <w:sz w:val="20"/>
          <w:szCs w:val="20"/>
        </w:rPr>
        <w:t>dispersion occurs in low</w:t>
      </w:r>
      <w:r w:rsidR="009B321A" w:rsidRPr="00992125">
        <w:rPr>
          <w:rFonts w:ascii="Times New Roman" w:hAnsi="Times New Roman" w:cs="Times New Roman"/>
          <w:sz w:val="20"/>
          <w:szCs w:val="20"/>
        </w:rPr>
        <w:t xml:space="preserve"> </w:t>
      </w:r>
      <w:r w:rsidR="00021A20" w:rsidRPr="00992125">
        <w:rPr>
          <w:rFonts w:ascii="Times New Roman" w:hAnsi="Times New Roman" w:cs="Times New Roman"/>
          <w:sz w:val="20"/>
          <w:szCs w:val="20"/>
        </w:rPr>
        <w:t xml:space="preserve">frequency at </w:t>
      </w:r>
      <w:r w:rsidR="0054483B">
        <w:rPr>
          <w:rFonts w:ascii="Times New Roman" w:hAnsi="Times New Roman" w:cs="Times New Roman"/>
          <w:sz w:val="20"/>
          <w:szCs w:val="20"/>
        </w:rPr>
        <w:t xml:space="preserve">the </w:t>
      </w:r>
      <w:r w:rsidR="00021A20" w:rsidRPr="00992125">
        <w:rPr>
          <w:rFonts w:ascii="Times New Roman" w:hAnsi="Times New Roman" w:cs="Times New Roman"/>
          <w:sz w:val="20"/>
          <w:szCs w:val="20"/>
        </w:rPr>
        <w:t xml:space="preserve">range </w:t>
      </w:r>
      <w:r w:rsidR="0054483B">
        <w:rPr>
          <w:rFonts w:ascii="Times New Roman" w:hAnsi="Times New Roman" w:cs="Times New Roman"/>
          <w:sz w:val="20"/>
          <w:szCs w:val="20"/>
        </w:rPr>
        <w:t xml:space="preserve">of </w:t>
      </w:r>
      <w:r w:rsidR="00021A20" w:rsidRPr="00992125">
        <w:rPr>
          <w:rFonts w:ascii="Times New Roman" w:hAnsi="Times New Roman" w:cs="Times New Roman"/>
          <w:sz w:val="20"/>
          <w:szCs w:val="20"/>
        </w:rPr>
        <w:t xml:space="preserve">10 Hz to 10 </w:t>
      </w:r>
      <w:r w:rsidR="0054483B">
        <w:rPr>
          <w:rFonts w:ascii="Times New Roman" w:hAnsi="Times New Roman" w:cs="Times New Roman"/>
          <w:sz w:val="20"/>
          <w:szCs w:val="20"/>
        </w:rPr>
        <w:t>k</w:t>
      </w:r>
      <w:r w:rsidR="00021A20" w:rsidRPr="00992125">
        <w:rPr>
          <w:rFonts w:ascii="Times New Roman" w:hAnsi="Times New Roman" w:cs="Times New Roman"/>
          <w:sz w:val="20"/>
          <w:szCs w:val="20"/>
        </w:rPr>
        <w:t>Hz. This dispersion occurs near the cell membrane, where charged particle mobility is restricted.</w:t>
      </w:r>
    </w:p>
    <w:p w:rsidR="003C7113" w:rsidRPr="00992125" w:rsidRDefault="007C633C" w:rsidP="003C7113">
      <w:pPr>
        <w:rPr>
          <w:rFonts w:ascii="Times New Roman" w:hAnsi="Times New Roman" w:cs="Times New Roman"/>
          <w:sz w:val="20"/>
          <w:szCs w:val="20"/>
        </w:rPr>
      </w:pPr>
      <w:r>
        <w:rPr>
          <w:rFonts w:ascii="Times New Roman" w:hAnsi="Times New Roman" w:cs="Times New Roman"/>
          <w:sz w:val="20"/>
          <w:szCs w:val="20"/>
        </w:rPr>
        <w:t>S.3</w:t>
      </w:r>
      <w:r w:rsidR="003C7113" w:rsidRPr="00992125">
        <w:rPr>
          <w:rFonts w:ascii="Times New Roman" w:hAnsi="Times New Roman" w:cs="Times New Roman"/>
          <w:sz w:val="20"/>
          <w:szCs w:val="20"/>
        </w:rPr>
        <w:t>.</w:t>
      </w:r>
      <w:r w:rsidR="00C46800" w:rsidRPr="00992125">
        <w:rPr>
          <w:rFonts w:ascii="Times New Roman" w:hAnsi="Times New Roman" w:cs="Times New Roman"/>
          <w:sz w:val="20"/>
          <w:szCs w:val="20"/>
        </w:rPr>
        <w:t>2</w:t>
      </w:r>
      <w:r w:rsidR="003C7113" w:rsidRPr="00992125">
        <w:rPr>
          <w:rFonts w:ascii="Times New Roman" w:hAnsi="Times New Roman" w:cs="Times New Roman"/>
          <w:sz w:val="20"/>
          <w:szCs w:val="20"/>
        </w:rPr>
        <w:t xml:space="preserve"> </w:t>
      </w:r>
      <w:r w:rsidR="00C46800" w:rsidRPr="00992125">
        <w:rPr>
          <w:rFonts w:ascii="Times New Roman" w:hAnsi="Times New Roman" w:cs="Times New Roman"/>
          <w:sz w:val="20"/>
          <w:szCs w:val="20"/>
        </w:rPr>
        <w:t>Beta</w:t>
      </w:r>
      <w:r w:rsidR="003C7113" w:rsidRPr="00992125">
        <w:rPr>
          <w:rFonts w:ascii="Times New Roman" w:hAnsi="Times New Roman" w:cs="Times New Roman"/>
          <w:sz w:val="20"/>
          <w:szCs w:val="20"/>
        </w:rPr>
        <w:t xml:space="preserve"> Dispersion</w:t>
      </w:r>
    </w:p>
    <w:p w:rsidR="008124C2" w:rsidRPr="00992125" w:rsidRDefault="008124C2" w:rsidP="00CF028B">
      <w:pPr>
        <w:jc w:val="both"/>
        <w:rPr>
          <w:rFonts w:ascii="Times New Roman" w:hAnsi="Times New Roman" w:cs="Times New Roman"/>
          <w:sz w:val="20"/>
          <w:szCs w:val="20"/>
        </w:rPr>
      </w:pPr>
      <w:r w:rsidRPr="00992125">
        <w:rPr>
          <w:rFonts w:ascii="Times New Roman" w:hAnsi="Times New Roman" w:cs="Times New Roman"/>
          <w:sz w:val="20"/>
          <w:szCs w:val="20"/>
        </w:rPr>
        <w:lastRenderedPageBreak/>
        <w:t xml:space="preserve">The </w:t>
      </w:r>
      <w:r w:rsidRPr="00E346D3">
        <w:rPr>
          <w:rFonts w:ascii="Times New Roman" w:hAnsi="Times New Roman" w:cs="Times New Roman"/>
          <w:i/>
          <w:sz w:val="20"/>
          <w:szCs w:val="20"/>
        </w:rPr>
        <w:t>β</w:t>
      </w:r>
      <w:r w:rsidRPr="00992125">
        <w:rPr>
          <w:rFonts w:ascii="Times New Roman" w:hAnsi="Times New Roman" w:cs="Times New Roman"/>
          <w:sz w:val="20"/>
          <w:szCs w:val="20"/>
        </w:rPr>
        <w:t>-dispersion arises withi</w:t>
      </w:r>
      <w:r w:rsidR="005257A3" w:rsidRPr="00992125">
        <w:rPr>
          <w:rFonts w:ascii="Times New Roman" w:hAnsi="Times New Roman" w:cs="Times New Roman"/>
          <w:sz w:val="20"/>
          <w:szCs w:val="20"/>
        </w:rPr>
        <w:t>n the frequency of 10 kHz–10MHz</w:t>
      </w:r>
      <w:r w:rsidRPr="00992125">
        <w:rPr>
          <w:rFonts w:ascii="Times New Roman" w:hAnsi="Times New Roman" w:cs="Times New Roman"/>
          <w:sz w:val="20"/>
          <w:szCs w:val="20"/>
        </w:rPr>
        <w:t xml:space="preserve">, which the cellular membranes and other intracellular bodies </w:t>
      </w:r>
      <w:r w:rsidR="00F917F3" w:rsidRPr="00992125">
        <w:rPr>
          <w:rFonts w:ascii="Times New Roman" w:hAnsi="Times New Roman" w:cs="Times New Roman"/>
          <w:sz w:val="20"/>
          <w:szCs w:val="20"/>
        </w:rPr>
        <w:t>become,</w:t>
      </w:r>
      <w:r w:rsidRPr="00992125">
        <w:rPr>
          <w:rFonts w:ascii="Times New Roman" w:hAnsi="Times New Roman" w:cs="Times New Roman"/>
          <w:sz w:val="20"/>
          <w:szCs w:val="20"/>
        </w:rPr>
        <w:t xml:space="preserve"> charge (capacitive).</w:t>
      </w:r>
      <w:r w:rsidR="00CF028B" w:rsidRPr="00992125">
        <w:rPr>
          <w:rFonts w:ascii="Times New Roman" w:hAnsi="Times New Roman" w:cs="Times New Roman"/>
          <w:sz w:val="20"/>
          <w:szCs w:val="20"/>
        </w:rPr>
        <w:t xml:space="preserve"> The cell membranes are electrically shorted, allowing current to pass through the cytoplasm. This penetration lowers the impedance, resulting in </w:t>
      </w:r>
      <w:r w:rsidR="00E346D3" w:rsidRPr="00E346D3">
        <w:rPr>
          <w:rFonts w:ascii="Times New Roman" w:hAnsi="Times New Roman" w:cs="Times New Roman"/>
          <w:i/>
          <w:sz w:val="20"/>
          <w:szCs w:val="20"/>
        </w:rPr>
        <w:t>β</w:t>
      </w:r>
      <w:r w:rsidR="00E346D3" w:rsidRPr="00992125">
        <w:rPr>
          <w:rFonts w:ascii="Times New Roman" w:hAnsi="Times New Roman" w:cs="Times New Roman"/>
          <w:sz w:val="20"/>
          <w:szCs w:val="20"/>
        </w:rPr>
        <w:t>-dispersion</w:t>
      </w:r>
      <w:r w:rsidR="00CF028B" w:rsidRPr="00992125">
        <w:rPr>
          <w:rFonts w:ascii="Times New Roman" w:hAnsi="Times New Roman" w:cs="Times New Roman"/>
          <w:sz w:val="20"/>
          <w:szCs w:val="20"/>
        </w:rPr>
        <w:t xml:space="preserve">, interfacial </w:t>
      </w:r>
      <w:proofErr w:type="spellStart"/>
      <w:r w:rsidR="00CF028B" w:rsidRPr="00992125">
        <w:rPr>
          <w:rFonts w:ascii="Times New Roman" w:hAnsi="Times New Roman" w:cs="Times New Roman"/>
          <w:sz w:val="20"/>
          <w:szCs w:val="20"/>
        </w:rPr>
        <w:t>polarisation</w:t>
      </w:r>
      <w:proofErr w:type="spellEnd"/>
      <w:r w:rsidR="00CF028B" w:rsidRPr="00992125">
        <w:rPr>
          <w:rFonts w:ascii="Times New Roman" w:hAnsi="Times New Roman" w:cs="Times New Roman"/>
          <w:sz w:val="20"/>
          <w:szCs w:val="20"/>
        </w:rPr>
        <w:t>, and the Maxwell–Wagner relation. This phenomenon happens at the interface of membrane-electrolyte systems with two different dielectrics, resulting in charge generation</w:t>
      </w:r>
      <w:r w:rsidR="00F917F3" w:rsidRPr="00992125">
        <w:rPr>
          <w:rFonts w:ascii="Times New Roman" w:hAnsi="Times New Roman" w:cs="Times New Roman"/>
          <w:sz w:val="20"/>
          <w:szCs w:val="20"/>
        </w:rPr>
        <w:t xml:space="preserve"> </w:t>
      </w:r>
      <w:r w:rsidR="00F917F3" w:rsidRPr="00992125">
        <w:rPr>
          <w:rFonts w:ascii="Times New Roman" w:hAnsi="Times New Roman" w:cs="Times New Roman"/>
          <w:sz w:val="20"/>
          <w:szCs w:val="20"/>
        </w:rPr>
        <w:fldChar w:fldCharType="begin" w:fldLock="1"/>
      </w:r>
      <w:r w:rsidR="0013227B">
        <w:rPr>
          <w:rFonts w:ascii="Times New Roman" w:hAnsi="Times New Roman" w:cs="Times New Roman"/>
          <w:sz w:val="20"/>
          <w:szCs w:val="20"/>
        </w:rPr>
        <w:instrText>ADDIN CSL_CITATION {"citationItems":[{"id":"ITEM-1","itemData":{"DOI":"10.1155/2020/9475490","ISSN":"23144912","abstract":"Electrical detection of biotic materials and their properties is always crucial in Biomedical Engineering. It emphasizes elaborate analysis of a certain disease diagnosis using electrical means which includes the study of electrical properties followed by detection, identification, and quantification of biotic entities. Proper and early detection of cells, which can be normal or cancerous, holds never-ending demand. This review emphasizes the electrical characterization methods in modeling and classification of cell properties. Moreover, standard methods have been highlighted and discussed to yield performance analysis. This study suggests that techniques presented for single-cell analysis (SCA) are always precise and hold great scope compared to those for cell mixture. SCA plays a promising role in disease diagnosis and treatment planning, as it not only detects the cells but also helps in identification. Distinct electrical-based cell detection techniques are highlighted, along with the pros and cons of various SCA devices. The content, in terms of methodologies and available techniques, of this review paper is useful to attract researchers working in this area.","author":[{"dropping-particle":"","family":"Nasir","given":"Nida","non-dropping-particle":"","parse-names":false,"suffix":""},{"dropping-particle":"","family":"Ahmad","given":"Mahmoud","non-dropping-particle":"Al","parse-names":false,"suffix":""}],"container-title":"Journal of Engineering (United Kingdom)","id":"ITEM-1","issued":{"date-parts":[["2020"]]},"title":"Cells Electrical Characterization: Dielectric Properties, Mixture, and Modeling Theories","type":"article-journal","volume":"2020"},"uris":["http://www.mendeley.com/documents/?uuid=9b0e17d0-544e-48ea-8cdc-574f33591135"]}],"mendeley":{"formattedCitation":"[2]","plainTextFormattedCitation":"[2]","previouslyFormattedCitation":"[2]"},"properties":{"noteIndex":0},"schema":"https://github.com/citation-style-language/schema/raw/master/csl-citation.json"}</w:instrText>
      </w:r>
      <w:r w:rsidR="00F917F3" w:rsidRPr="00992125">
        <w:rPr>
          <w:rFonts w:ascii="Times New Roman" w:hAnsi="Times New Roman" w:cs="Times New Roman"/>
          <w:sz w:val="20"/>
          <w:szCs w:val="20"/>
        </w:rPr>
        <w:fldChar w:fldCharType="separate"/>
      </w:r>
      <w:r w:rsidR="00F917F3" w:rsidRPr="00992125">
        <w:rPr>
          <w:rFonts w:ascii="Times New Roman" w:hAnsi="Times New Roman" w:cs="Times New Roman"/>
          <w:noProof/>
          <w:sz w:val="20"/>
          <w:szCs w:val="20"/>
        </w:rPr>
        <w:t>[2]</w:t>
      </w:r>
      <w:r w:rsidR="00F917F3" w:rsidRPr="00992125">
        <w:rPr>
          <w:rFonts w:ascii="Times New Roman" w:hAnsi="Times New Roman" w:cs="Times New Roman"/>
          <w:sz w:val="20"/>
          <w:szCs w:val="20"/>
        </w:rPr>
        <w:fldChar w:fldCharType="end"/>
      </w:r>
      <w:r w:rsidR="00CF028B" w:rsidRPr="00992125">
        <w:rPr>
          <w:rFonts w:ascii="Times New Roman" w:hAnsi="Times New Roman" w:cs="Times New Roman"/>
          <w:sz w:val="20"/>
          <w:szCs w:val="20"/>
        </w:rPr>
        <w:t>.</w:t>
      </w:r>
      <w:r w:rsidR="0089192D" w:rsidRPr="00992125">
        <w:rPr>
          <w:rFonts w:ascii="Times New Roman" w:hAnsi="Times New Roman" w:cs="Times New Roman"/>
          <w:sz w:val="20"/>
          <w:szCs w:val="20"/>
        </w:rPr>
        <w:t xml:space="preserve"> The degree of </w:t>
      </w:r>
      <w:r w:rsidR="00E346D3" w:rsidRPr="00992125">
        <w:rPr>
          <w:rFonts w:ascii="Times New Roman" w:hAnsi="Times New Roman" w:cs="Times New Roman"/>
          <w:sz w:val="20"/>
          <w:szCs w:val="20"/>
        </w:rPr>
        <w:t>polarization</w:t>
      </w:r>
      <w:r w:rsidR="0089192D" w:rsidRPr="00992125">
        <w:rPr>
          <w:rFonts w:ascii="Times New Roman" w:hAnsi="Times New Roman" w:cs="Times New Roman"/>
          <w:sz w:val="20"/>
          <w:szCs w:val="20"/>
        </w:rPr>
        <w:t xml:space="preserve"> is determined by the conductivity, permittivity, and structure of the various intracellular components. With rising frequency, the number of resistive components is cancelled out by their parallel capacitances, resulting in more electrically identical intracellular structures.</w:t>
      </w:r>
    </w:p>
    <w:p w:rsidR="003C7113" w:rsidRPr="00992125" w:rsidRDefault="007C633C" w:rsidP="003C7113">
      <w:pPr>
        <w:rPr>
          <w:rFonts w:ascii="Times New Roman" w:hAnsi="Times New Roman" w:cs="Times New Roman"/>
          <w:sz w:val="20"/>
          <w:szCs w:val="20"/>
        </w:rPr>
      </w:pPr>
      <w:r>
        <w:rPr>
          <w:rFonts w:ascii="Times New Roman" w:hAnsi="Times New Roman" w:cs="Times New Roman"/>
          <w:sz w:val="20"/>
          <w:szCs w:val="20"/>
        </w:rPr>
        <w:t>S.3</w:t>
      </w:r>
      <w:r w:rsidR="003C7113" w:rsidRPr="00992125">
        <w:rPr>
          <w:rFonts w:ascii="Times New Roman" w:hAnsi="Times New Roman" w:cs="Times New Roman"/>
          <w:sz w:val="20"/>
          <w:szCs w:val="20"/>
        </w:rPr>
        <w:t>.</w:t>
      </w:r>
      <w:r w:rsidR="00C46800" w:rsidRPr="00992125">
        <w:rPr>
          <w:rFonts w:ascii="Times New Roman" w:hAnsi="Times New Roman" w:cs="Times New Roman"/>
          <w:sz w:val="20"/>
          <w:szCs w:val="20"/>
        </w:rPr>
        <w:t>3</w:t>
      </w:r>
      <w:r w:rsidR="003C7113" w:rsidRPr="00992125">
        <w:rPr>
          <w:rFonts w:ascii="Times New Roman" w:hAnsi="Times New Roman" w:cs="Times New Roman"/>
          <w:sz w:val="20"/>
          <w:szCs w:val="20"/>
        </w:rPr>
        <w:t xml:space="preserve"> </w:t>
      </w:r>
      <w:r w:rsidR="00C46800" w:rsidRPr="00992125">
        <w:rPr>
          <w:rFonts w:ascii="Times New Roman" w:hAnsi="Times New Roman" w:cs="Times New Roman"/>
          <w:sz w:val="20"/>
          <w:szCs w:val="20"/>
        </w:rPr>
        <w:t>Gamma</w:t>
      </w:r>
      <w:r w:rsidR="003C7113" w:rsidRPr="00992125">
        <w:rPr>
          <w:rFonts w:ascii="Times New Roman" w:hAnsi="Times New Roman" w:cs="Times New Roman"/>
          <w:sz w:val="20"/>
          <w:szCs w:val="20"/>
        </w:rPr>
        <w:t xml:space="preserve"> Dispersion</w:t>
      </w:r>
    </w:p>
    <w:p w:rsidR="003C7113" w:rsidRDefault="003C7113" w:rsidP="009708B9">
      <w:pPr>
        <w:jc w:val="both"/>
        <w:rPr>
          <w:rFonts w:ascii="Times New Roman" w:hAnsi="Times New Roman" w:cs="Times New Roman"/>
          <w:sz w:val="20"/>
          <w:szCs w:val="20"/>
        </w:rPr>
      </w:pPr>
      <w:r w:rsidRPr="00992125">
        <w:rPr>
          <w:rFonts w:ascii="Times New Roman" w:hAnsi="Times New Roman" w:cs="Times New Roman"/>
          <w:sz w:val="20"/>
          <w:szCs w:val="20"/>
        </w:rPr>
        <w:t xml:space="preserve">The </w:t>
      </w:r>
      <w:r w:rsidR="00C46800" w:rsidRPr="00E346D3">
        <w:rPr>
          <w:rFonts w:ascii="Times New Roman" w:hAnsi="Times New Roman" w:cs="Times New Roman"/>
          <w:i/>
          <w:sz w:val="20"/>
          <w:szCs w:val="20"/>
        </w:rPr>
        <w:t>γ</w:t>
      </w:r>
      <w:r w:rsidRPr="00992125">
        <w:rPr>
          <w:rFonts w:ascii="Times New Roman" w:hAnsi="Times New Roman" w:cs="Times New Roman"/>
          <w:sz w:val="20"/>
          <w:szCs w:val="20"/>
        </w:rPr>
        <w:t xml:space="preserve"> dispersion </w:t>
      </w:r>
      <w:r w:rsidR="009B321A" w:rsidRPr="00992125">
        <w:rPr>
          <w:rFonts w:ascii="Times New Roman" w:hAnsi="Times New Roman" w:cs="Times New Roman"/>
          <w:sz w:val="20"/>
          <w:szCs w:val="20"/>
        </w:rPr>
        <w:t xml:space="preserve">at </w:t>
      </w:r>
      <w:r w:rsidR="0054483B">
        <w:rPr>
          <w:rFonts w:ascii="Times New Roman" w:hAnsi="Times New Roman" w:cs="Times New Roman"/>
          <w:sz w:val="20"/>
          <w:szCs w:val="20"/>
        </w:rPr>
        <w:t xml:space="preserve">a </w:t>
      </w:r>
      <w:r w:rsidR="009B321A" w:rsidRPr="00992125">
        <w:rPr>
          <w:rFonts w:ascii="Times New Roman" w:hAnsi="Times New Roman" w:cs="Times New Roman"/>
          <w:sz w:val="20"/>
          <w:szCs w:val="20"/>
        </w:rPr>
        <w:t xml:space="preserve">frequency </w:t>
      </w:r>
      <w:r w:rsidR="00C46800" w:rsidRPr="00992125">
        <w:rPr>
          <w:rFonts w:ascii="Times New Roman" w:hAnsi="Times New Roman" w:cs="Times New Roman"/>
          <w:sz w:val="20"/>
          <w:szCs w:val="20"/>
        </w:rPr>
        <w:t>range</w:t>
      </w:r>
      <w:r w:rsidR="009B321A" w:rsidRPr="00992125">
        <w:rPr>
          <w:rFonts w:ascii="Times New Roman" w:hAnsi="Times New Roman" w:cs="Times New Roman"/>
          <w:sz w:val="20"/>
          <w:szCs w:val="20"/>
        </w:rPr>
        <w:t xml:space="preserve"> above 1 GHz</w:t>
      </w:r>
      <w:r w:rsidR="00C46800" w:rsidRPr="00992125">
        <w:rPr>
          <w:rFonts w:ascii="Times New Roman" w:hAnsi="Times New Roman" w:cs="Times New Roman"/>
          <w:sz w:val="20"/>
          <w:szCs w:val="20"/>
        </w:rPr>
        <w:t xml:space="preserve"> is attributed to the dipolar relaxation of water</w:t>
      </w:r>
      <w:r w:rsidR="00F917F3" w:rsidRPr="00992125">
        <w:rPr>
          <w:rFonts w:ascii="Times New Roman" w:hAnsi="Times New Roman" w:cs="Times New Roman"/>
          <w:sz w:val="20"/>
          <w:szCs w:val="20"/>
        </w:rPr>
        <w:t xml:space="preserve"> </w:t>
      </w:r>
      <w:r w:rsidR="00F917F3" w:rsidRPr="00992125">
        <w:rPr>
          <w:rFonts w:ascii="Times New Roman" w:hAnsi="Times New Roman" w:cs="Times New Roman"/>
          <w:sz w:val="20"/>
          <w:szCs w:val="20"/>
        </w:rPr>
        <w:fldChar w:fldCharType="begin" w:fldLock="1"/>
      </w:r>
      <w:r w:rsidR="00F917F3" w:rsidRPr="00992125">
        <w:rPr>
          <w:rFonts w:ascii="Times New Roman" w:hAnsi="Times New Roman" w:cs="Times New Roman"/>
          <w:sz w:val="20"/>
          <w:szCs w:val="20"/>
        </w:rPr>
        <w:instrText>ADDIN CSL_CITATION {"citationItems":[{"id":"ITEM-1","itemData":{"ISSN":"0278-940X","PMID":"2651001","abstract":"We critically review bulk electrical properties of tissues and other biological materials, from DC to 20 GHz, with emphasis on the underlying mechanisms responsible for the properties. We summarize the classical principles behind dielectric relaxation and critically review recent developments in this field. Special topics include a summary of the significant recent advances in theories of counterion polarization effects, dielectric properties of cancer vs. normal tissues, properties of low-water-content tissues, and macroscopic field-coupling considerations. Finally, the dielectric properties of tissues are summarized as empirical correlations with tissue water content in other compositional variables; in addition, a comprehensive table is presented of dielectric properties. The bulk electrical properties of tissues are needed for many bioengineering applications of electric fields or currents, and they provide insight into the basic mechanisms that govern the interaction of electric fields with tissue.","author":[{"dropping-particle":"","family":"Foster","given":"K R","non-dropping-particle":"","parse-names":false,"suffix":""},{"dropping-particle":"","family":"Schwan","given":"H P","non-dropping-particle":"","parse-names":false,"suffix":""}],"container-title":"Critical reviews in biomedical engineering","id":"ITEM-1","issue":"1","issued":{"date-parts":[["1989"]]},"page":"25-104","title":"Dielectric properties of tissues and biological materials: a critical review.","type":"article-journal","volume":"17"},"uris":["http://www.mendeley.com/documents/?uuid=faf0628b-5180-4125-9f62-3fd45bb14587"]}],"mendeley":{"formattedCitation":"[3]","plainTextFormattedCitation":"[3]","previouslyFormattedCitation":"[3]"},"properties":{"noteIndex":0},"schema":"https://github.com/citation-style-language/schema/raw/master/csl-citation.json"}</w:instrText>
      </w:r>
      <w:r w:rsidR="00F917F3" w:rsidRPr="00992125">
        <w:rPr>
          <w:rFonts w:ascii="Times New Roman" w:hAnsi="Times New Roman" w:cs="Times New Roman"/>
          <w:sz w:val="20"/>
          <w:szCs w:val="20"/>
        </w:rPr>
        <w:fldChar w:fldCharType="separate"/>
      </w:r>
      <w:r w:rsidR="00F917F3" w:rsidRPr="00992125">
        <w:rPr>
          <w:rFonts w:ascii="Times New Roman" w:hAnsi="Times New Roman" w:cs="Times New Roman"/>
          <w:noProof/>
          <w:sz w:val="20"/>
          <w:szCs w:val="20"/>
        </w:rPr>
        <w:t>[3]</w:t>
      </w:r>
      <w:r w:rsidR="00F917F3" w:rsidRPr="00992125">
        <w:rPr>
          <w:rFonts w:ascii="Times New Roman" w:hAnsi="Times New Roman" w:cs="Times New Roman"/>
          <w:sz w:val="20"/>
          <w:szCs w:val="20"/>
        </w:rPr>
        <w:fldChar w:fldCharType="end"/>
      </w:r>
      <w:r w:rsidR="00C46800" w:rsidRPr="00992125">
        <w:rPr>
          <w:rFonts w:ascii="Times New Roman" w:hAnsi="Times New Roman" w:cs="Times New Roman"/>
          <w:sz w:val="20"/>
          <w:szCs w:val="20"/>
        </w:rPr>
        <w:t>. The majority of biological tissue investigation at these frequencies has simply included measuring the particular dielectric properties.</w:t>
      </w:r>
      <w:r w:rsidR="009708B9" w:rsidRPr="00992125">
        <w:rPr>
          <w:rFonts w:ascii="Times New Roman" w:hAnsi="Times New Roman" w:cs="Times New Roman"/>
          <w:sz w:val="20"/>
          <w:szCs w:val="20"/>
        </w:rPr>
        <w:t xml:space="preserve"> However, it is expected that information about the cell's molecular structure will ultimately be discernible from measurements at these frequencies. Overall, IFC allows you to study diverse features of the cell and its surroundings, such as extracellular conductance, membrane impedance properties, and effective dielectric properties of intracellular structures, by adjusting the interrogation frequency.</w:t>
      </w:r>
    </w:p>
    <w:p w:rsidR="00A15221" w:rsidRPr="00992125" w:rsidRDefault="00A15221" w:rsidP="009708B9">
      <w:pPr>
        <w:jc w:val="both"/>
        <w:rPr>
          <w:rFonts w:ascii="Times New Roman" w:hAnsi="Times New Roman" w:cs="Times New Roman"/>
          <w:sz w:val="20"/>
          <w:szCs w:val="20"/>
        </w:rPr>
      </w:pPr>
    </w:p>
    <w:p w:rsidR="009B38A5" w:rsidRPr="009B38A5" w:rsidRDefault="007C633C" w:rsidP="009B38A5">
      <w:pPr>
        <w:rPr>
          <w:rFonts w:ascii="Times New Roman" w:hAnsi="Times New Roman" w:cs="Times New Roman"/>
          <w:sz w:val="20"/>
          <w:szCs w:val="20"/>
        </w:rPr>
      </w:pPr>
      <w:r>
        <w:rPr>
          <w:rFonts w:ascii="Times New Roman" w:hAnsi="Times New Roman" w:cs="Times New Roman"/>
          <w:sz w:val="20"/>
          <w:szCs w:val="20"/>
        </w:rPr>
        <w:t>S.4</w:t>
      </w:r>
      <w:r w:rsidR="009B38A5" w:rsidRPr="009B38A5">
        <w:rPr>
          <w:rFonts w:ascii="Times New Roman" w:hAnsi="Times New Roman" w:cs="Times New Roman"/>
          <w:sz w:val="20"/>
          <w:szCs w:val="20"/>
        </w:rPr>
        <w:t xml:space="preserve"> Tungsten needle view</w:t>
      </w:r>
    </w:p>
    <w:p w:rsidR="009B38A5" w:rsidRDefault="009B38A5" w:rsidP="00C2583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3"/>
        <w:gridCol w:w="4643"/>
      </w:tblGrid>
      <w:tr w:rsidR="00503EE0" w:rsidTr="00D86E4C">
        <w:tc>
          <w:tcPr>
            <w:tcW w:w="4933" w:type="dxa"/>
          </w:tcPr>
          <w:p w:rsidR="00503EE0" w:rsidRDefault="00503EE0" w:rsidP="005F719B">
            <w:pPr>
              <w:jc w:val="center"/>
            </w:pPr>
            <w:r>
              <w:rPr>
                <w:noProof/>
              </w:rPr>
              <w:drawing>
                <wp:inline distT="0" distB="0" distL="0" distR="0" wp14:anchorId="6BADBE4C" wp14:editId="036A6971">
                  <wp:extent cx="2691423" cy="31089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view electrode.jpg"/>
                          <pic:cNvPicPr/>
                        </pic:nvPicPr>
                        <pic:blipFill>
                          <a:blip r:embed="rId9">
                            <a:extLst>
                              <a:ext uri="{28A0092B-C50C-407E-A947-70E740481C1C}">
                                <a14:useLocalDpi xmlns:a14="http://schemas.microsoft.com/office/drawing/2010/main" val="0"/>
                              </a:ext>
                            </a:extLst>
                          </a:blip>
                          <a:stretch>
                            <a:fillRect/>
                          </a:stretch>
                        </pic:blipFill>
                        <pic:spPr>
                          <a:xfrm>
                            <a:off x="0" y="0"/>
                            <a:ext cx="2691423" cy="3108960"/>
                          </a:xfrm>
                          <a:prstGeom prst="rect">
                            <a:avLst/>
                          </a:prstGeom>
                        </pic:spPr>
                      </pic:pic>
                    </a:graphicData>
                  </a:graphic>
                </wp:inline>
              </w:drawing>
            </w:r>
          </w:p>
        </w:tc>
        <w:tc>
          <w:tcPr>
            <w:tcW w:w="4643" w:type="dxa"/>
          </w:tcPr>
          <w:p w:rsidR="00503EE0" w:rsidRDefault="00503EE0" w:rsidP="005F719B">
            <w:pPr>
              <w:jc w:val="center"/>
            </w:pPr>
            <w:r>
              <w:rPr>
                <w:noProof/>
              </w:rPr>
              <w:drawing>
                <wp:inline distT="0" distB="0" distL="0" distR="0" wp14:anchorId="245BC2E2" wp14:editId="6F501FBB">
                  <wp:extent cx="2464364" cy="31089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 view electrode.jpg"/>
                          <pic:cNvPicPr/>
                        </pic:nvPicPr>
                        <pic:blipFill>
                          <a:blip r:embed="rId10">
                            <a:extLst>
                              <a:ext uri="{28A0092B-C50C-407E-A947-70E740481C1C}">
                                <a14:useLocalDpi xmlns:a14="http://schemas.microsoft.com/office/drawing/2010/main" val="0"/>
                              </a:ext>
                            </a:extLst>
                          </a:blip>
                          <a:stretch>
                            <a:fillRect/>
                          </a:stretch>
                        </pic:blipFill>
                        <pic:spPr>
                          <a:xfrm>
                            <a:off x="0" y="0"/>
                            <a:ext cx="2464364" cy="3108960"/>
                          </a:xfrm>
                          <a:prstGeom prst="rect">
                            <a:avLst/>
                          </a:prstGeom>
                        </pic:spPr>
                      </pic:pic>
                    </a:graphicData>
                  </a:graphic>
                </wp:inline>
              </w:drawing>
            </w:r>
          </w:p>
          <w:p w:rsidR="00E346D3" w:rsidRDefault="00E346D3" w:rsidP="005F719B">
            <w:pPr>
              <w:jc w:val="center"/>
            </w:pPr>
          </w:p>
        </w:tc>
      </w:tr>
      <w:tr w:rsidR="00503EE0" w:rsidTr="00D86E4C">
        <w:trPr>
          <w:trHeight w:val="323"/>
        </w:trPr>
        <w:tc>
          <w:tcPr>
            <w:tcW w:w="9576" w:type="dxa"/>
            <w:gridSpan w:val="2"/>
          </w:tcPr>
          <w:p w:rsidR="00503EE0" w:rsidRPr="00992125" w:rsidRDefault="00503EE0" w:rsidP="007C633C">
            <w:pPr>
              <w:rPr>
                <w:rFonts w:ascii="Times New Roman" w:hAnsi="Times New Roman" w:cs="Times New Roman"/>
                <w:sz w:val="20"/>
                <w:szCs w:val="20"/>
              </w:rPr>
            </w:pPr>
            <w:r w:rsidRPr="00992125">
              <w:rPr>
                <w:rFonts w:ascii="Times New Roman" w:hAnsi="Times New Roman" w:cs="Times New Roman"/>
                <w:sz w:val="20"/>
                <w:szCs w:val="20"/>
              </w:rPr>
              <w:t>Figure S</w:t>
            </w:r>
            <w:r w:rsidR="007C633C">
              <w:rPr>
                <w:rFonts w:ascii="Times New Roman" w:hAnsi="Times New Roman" w:cs="Times New Roman"/>
                <w:sz w:val="20"/>
                <w:szCs w:val="20"/>
              </w:rPr>
              <w:t>4</w:t>
            </w:r>
            <w:r w:rsidRPr="00992125">
              <w:rPr>
                <w:rFonts w:ascii="Times New Roman" w:hAnsi="Times New Roman" w:cs="Times New Roman"/>
                <w:sz w:val="20"/>
                <w:szCs w:val="20"/>
              </w:rPr>
              <w:t>: Tungsten needle in FIB-SEM view (a) Top view (b) Front view</w:t>
            </w:r>
          </w:p>
        </w:tc>
      </w:tr>
    </w:tbl>
    <w:p w:rsidR="00F34866" w:rsidRDefault="00F34866" w:rsidP="00C25830"/>
    <w:p w:rsidR="009B38A5" w:rsidRPr="00815106" w:rsidRDefault="007C633C" w:rsidP="009B38A5">
      <w:pPr>
        <w:rPr>
          <w:rFonts w:ascii="Times New Roman" w:hAnsi="Times New Roman" w:cs="Times New Roman"/>
          <w:sz w:val="20"/>
          <w:szCs w:val="20"/>
        </w:rPr>
      </w:pPr>
      <w:r>
        <w:rPr>
          <w:rFonts w:ascii="Times New Roman" w:hAnsi="Times New Roman" w:cs="Times New Roman"/>
          <w:sz w:val="20"/>
          <w:szCs w:val="20"/>
        </w:rPr>
        <w:t>S.5</w:t>
      </w:r>
      <w:r w:rsidR="009B38A5" w:rsidRPr="00815106">
        <w:rPr>
          <w:rFonts w:ascii="Times New Roman" w:hAnsi="Times New Roman" w:cs="Times New Roman"/>
          <w:sz w:val="20"/>
          <w:szCs w:val="20"/>
        </w:rPr>
        <w:t xml:space="preserve"> </w:t>
      </w:r>
      <w:r w:rsidR="00647811" w:rsidRPr="00815106">
        <w:rPr>
          <w:rFonts w:ascii="Times New Roman" w:hAnsi="Times New Roman" w:cs="Times New Roman"/>
          <w:sz w:val="20"/>
          <w:szCs w:val="20"/>
        </w:rPr>
        <w:t xml:space="preserve">Device Sensitivity Characterization </w:t>
      </w:r>
    </w:p>
    <w:p w:rsidR="00647811" w:rsidRPr="00815106" w:rsidRDefault="00647811" w:rsidP="00647811">
      <w:pPr>
        <w:ind w:firstLine="720"/>
        <w:jc w:val="both"/>
        <w:rPr>
          <w:rFonts w:ascii="Times New Roman" w:hAnsi="Times New Roman" w:cs="Times New Roman"/>
          <w:sz w:val="20"/>
          <w:szCs w:val="20"/>
        </w:rPr>
      </w:pPr>
      <w:r w:rsidRPr="00815106">
        <w:rPr>
          <w:rFonts w:ascii="Times New Roman" w:hAnsi="Times New Roman" w:cs="Times New Roman"/>
          <w:sz w:val="20"/>
          <w:szCs w:val="20"/>
        </w:rPr>
        <w:lastRenderedPageBreak/>
        <w:t xml:space="preserve">In principle, the diameter and the gap of electrodes affect the sensitivity of the measurement </w:t>
      </w:r>
      <w:r w:rsidRPr="00815106">
        <w:rPr>
          <w:rFonts w:ascii="Times New Roman" w:hAnsi="Times New Roman" w:cs="Times New Roman"/>
          <w:sz w:val="20"/>
          <w:szCs w:val="20"/>
        </w:rPr>
        <w:fldChar w:fldCharType="begin" w:fldLock="1"/>
      </w:r>
      <w:r w:rsidR="00D95AB7">
        <w:rPr>
          <w:rFonts w:ascii="Times New Roman" w:hAnsi="Times New Roman" w:cs="Times New Roman"/>
          <w:sz w:val="20"/>
          <w:szCs w:val="20"/>
        </w:rPr>
        <w:instrText>ADDIN CSL_CITATION {"citationItems":[{"id":"ITEM-1","itemData":{"DOI":"10.1016/j.snb.2006.08.009","ISSN":"09254005","abstract":"The paper presents an original fabrication process of a microfluidic device for identification and characterization of cells in suspensions using impedance spectroscopy. The device consists of two glass wafers: a bottom wafer comprising a microfluidic channel with two electrodes added for impedance measurement, and a top glass wafer in which inlets and outlets are realized. The fact that the device is glass-based provides a few key advantages: reduced influence from parasitic components during measurements (due to the good isolation properties of the substrate), optical transparency and hydrophilic surface of the microfluidic channel. The latter feature is especially important as it enables sample suction due to capillarity forces only. Thus, no external pumping is required and only a small volume sample suffices for the measurement. The fabrication process of this device consists of three major steps. First, via-holes and inlet/outlet holes are executed in the top glass wafer by wet etching in a 49% HF solution using a low stress amorphous silicon/silicon carbide/photoresist mask. Second, the microfluidic channel is etched into the bottom wafer and Ti/Pt electrodes are then patterned on top of it using a spray coating-based lithography. The last processing step is bonding together the top and bottom glass wafers by employing a very thin adhesive intermediate layer (SU8). This adhesive layer was applied selectively only on the bottom die, from a Teflon cylinder, using a contact imprinting method. Finally, devices with three different electrode geometries were successfully tested using DI water, phosphate buffer saline (PBS), and both dead and living yeast cells resuspended in PBS. Clear differences between dead and live cells have been observed. © 2006 Elsevier B.V. All rights reserved.","author":[{"dropping-particle":"","family":"Iliescu","given":"Ciprian","non-dropping-particle":"","parse-names":false,"suffix":""},{"dropping-particle":"","family":"Poenar","given":"Daniel P.","non-dropping-particle":"","parse-names":false,"suffix":""},{"dropping-particle":"","family":"Carp","given":"Mihaela","non-dropping-particle":"","parse-names":false,"suffix":""},{"dropping-particle":"","family":"Loe","given":"Felicia C.","non-dropping-particle":"","parse-names":false,"suffix":""}],"container-title":"Sensors and Actuators, B: Chemical","id":"ITEM-1","issue":"1","issued":{"date-parts":[["2007"]]},"page":"168-176","title":"A microfluidic device for impedance spectroscopy analysis of biological samples","type":"article-journal","volume":"123"},"uris":["http://www.mendeley.com/documents/?uuid=5222b778-fe80-48a7-b7ae-444fb51a63b8"]}],"mendeley":{"formattedCitation":"[4]","plainTextFormattedCitation":"[4]","previouslyFormattedCitation":"[4]"},"properties":{"noteIndex":0},"schema":"https://github.com/citation-style-language/schema/raw/master/csl-citation.json"}</w:instrText>
      </w:r>
      <w:r w:rsidRPr="00815106">
        <w:rPr>
          <w:rFonts w:ascii="Times New Roman" w:hAnsi="Times New Roman" w:cs="Times New Roman"/>
          <w:sz w:val="20"/>
          <w:szCs w:val="20"/>
        </w:rPr>
        <w:fldChar w:fldCharType="separate"/>
      </w:r>
      <w:r w:rsidRPr="00815106">
        <w:rPr>
          <w:rFonts w:ascii="Times New Roman" w:hAnsi="Times New Roman" w:cs="Times New Roman"/>
          <w:noProof/>
          <w:sz w:val="20"/>
          <w:szCs w:val="20"/>
        </w:rPr>
        <w:t>[4]</w:t>
      </w:r>
      <w:r w:rsidRPr="00815106">
        <w:rPr>
          <w:rFonts w:ascii="Times New Roman" w:hAnsi="Times New Roman" w:cs="Times New Roman"/>
          <w:sz w:val="20"/>
          <w:szCs w:val="20"/>
        </w:rPr>
        <w:fldChar w:fldCharType="end"/>
      </w:r>
      <w:r w:rsidRPr="00815106">
        <w:rPr>
          <w:rFonts w:ascii="Times New Roman" w:hAnsi="Times New Roman" w:cs="Times New Roman"/>
          <w:sz w:val="20"/>
          <w:szCs w:val="20"/>
        </w:rPr>
        <w:t xml:space="preserve">. Sensitivity is improved by reducing the electrodes gap and diameter. Therefore minimizing the gap of electrodes for single-cell measurement is desirable. The sensitivity (S) of microfluidic IFC device can be represented as </w:t>
      </w:r>
      <w:r w:rsidRPr="00815106">
        <w:rPr>
          <w:rFonts w:ascii="Times New Roman" w:hAnsi="Times New Roman" w:cs="Times New Roman"/>
          <w:sz w:val="20"/>
          <w:szCs w:val="20"/>
        </w:rPr>
        <w:fldChar w:fldCharType="begin" w:fldLock="1"/>
      </w:r>
      <w:r w:rsidR="00D95AB7">
        <w:rPr>
          <w:rFonts w:ascii="Times New Roman" w:hAnsi="Times New Roman" w:cs="Times New Roman"/>
          <w:sz w:val="20"/>
          <w:szCs w:val="20"/>
        </w:rPr>
        <w:instrText>ADDIN CSL_CITATION {"citationItems":[{"id":"ITEM-1","itemData":{"DOI":"10.1049/iet-nbt:20070019","ISSN":"1751-8741","PMID":"17764376","abstract":"Microfabricated impedance cytometers have been developed to measure the electrical impedance of single biological particles at high speed. A general approach to analytically solve the electric field distributions for two different designs of cytometers: parallel facing electrodes and coplanar electrodes, using the Schwarz-Christoffel Mapping method is presented. Compared to previous analytical solutions, our derivations are more systematic and solutions are more straightforward. The solutions have been validated by comparison with numerical simulations performed using the finite element method. The influences on the electric field distribution due to the variations in the geometry of the devices have been discussed. A simple method is used to determine the impedance sensitivity of the system and to compare the two electrode designs. For identical geometrical parameters, we conclude that the parallel electrodes design is more sensitive than the coplanar electrodes.","author":[{"dropping-particle":"","family":"Sun","given":"T","non-dropping-particle":"","parse-names":false,"suffix":""},{"dropping-particle":"","family":"Green","given":"N G","non-dropping-particle":"","parse-names":false,"suffix":""},{"dropping-particle":"","family":"Gawad","given":"S","non-dropping-particle":"","parse-names":false,"suffix":""},{"dropping-particle":"","family":"Morgan","given":"H","non-dropping-particle":"","parse-names":false,"suffix":""}],"container-title":"IET nanobiotechnology / IET","id":"ITEM-1","issue":"5","issued":{"date-parts":[["2007","10"]]},"page":"69-79","title":"Analytical electric field and sensitivity analysis for two microfluidic impedance cytometer designs.","type":"article-journal","volume":"1"},"uris":["http://www.mendeley.com/documents/?uuid=64795149-2e09-499e-855f-cc3ca0928c9b"]},{"id":"ITEM-2","itemData":{"ISBN":"3333333333","abstract":"Human gait kinematics trajectories are then extracted by fitting the gait model into the gait data. At each frame we generate a correlation energy map between the gait model and the data. Dynamic programming is used to extract the gait kinematics trajectories by selecting the most likely path in the whole sequence. We are successfully able to extract both gait structural and dynamics features. Some of the features extracted here are inherently unique to 3D data. Analysis on a database of 46 subjects each with 4 sample sequences, shows an encouraging correct classification rate and suggests that 3D features can contribute even more.Human gait can be classified as a behavioural trait that is impacted by the musculo- skeletal structure of the human body [24, 70, 87]. It is a repetitive motion with a gait period as illustrated in Figure 1.1. A Gait period involves stance and swing which are phases of the legs’ motion. The stance phase starts with heel strike (HS) and ends with toe-off (TO). Similarly but conversely, swing phase starts with toe off and ends with heel strike. The difference between running and walking gait is that in walking at least one foot is always in contact with the floor, whilst in running there is a time when neither foot is in contact with the floor. Generally, biometrics refers to the automatic identification of humans by their traits. Biometrics can identify people by measuring some aspects of their physiological or be- havioural characteristics. Gait biometrics means human identification based on their walking manner. Identification","author":[{"dropping-particle":"","family":"Malleo","given":"Daniele","non-dropping-particle":"","parse-names":false,"suffix":""}],"id":"ITEM-2","issued":{"date-parts":[["2009"]]},"title":"Impedance Spectroscopy for Cellular and Biomolecular Analysis","type":"thesis"},"uris":["http://www.mendeley.com/documents/?uuid=cc847794-e74c-439f-838e-b0e955d8d899"]}],"mendeley":{"formattedCitation":"[5,6]","plainTextFormattedCitation":"[5,6]","previouslyFormattedCitation":"[5,6]"},"properties":{"noteIndex":0},"schema":"https://github.com/citation-style-language/schema/raw/master/csl-citation.json"}</w:instrText>
      </w:r>
      <w:r w:rsidRPr="00815106">
        <w:rPr>
          <w:rFonts w:ascii="Times New Roman" w:hAnsi="Times New Roman" w:cs="Times New Roman"/>
          <w:sz w:val="20"/>
          <w:szCs w:val="20"/>
        </w:rPr>
        <w:fldChar w:fldCharType="separate"/>
      </w:r>
      <w:r w:rsidRPr="00815106">
        <w:rPr>
          <w:rFonts w:ascii="Times New Roman" w:hAnsi="Times New Roman" w:cs="Times New Roman"/>
          <w:noProof/>
          <w:sz w:val="20"/>
          <w:szCs w:val="20"/>
        </w:rPr>
        <w:t>[5,6]</w:t>
      </w:r>
      <w:r w:rsidRPr="00815106">
        <w:rPr>
          <w:rFonts w:ascii="Times New Roman" w:hAnsi="Times New Roman" w:cs="Times New Roman"/>
          <w:sz w:val="20"/>
          <w:szCs w:val="20"/>
        </w:rPr>
        <w:fldChar w:fldCharType="end"/>
      </w:r>
      <w:r w:rsidRPr="00815106">
        <w:rPr>
          <w:rFonts w:ascii="Times New Roman" w:hAnsi="Times New Roman" w:cs="Times New Roman"/>
          <w:sz w:val="20"/>
          <w:szCs w:val="20"/>
        </w:rPr>
        <w:t>:</w:t>
      </w:r>
    </w:p>
    <w:p w:rsidR="00647811" w:rsidRPr="00815106" w:rsidRDefault="00647811" w:rsidP="00647811">
      <w:pPr>
        <w:ind w:firstLine="720"/>
        <w:jc w:val="both"/>
        <w:rPr>
          <w:rFonts w:ascii="Times New Roman" w:hAnsi="Times New Roman" w:cs="Times New Roman"/>
          <w:sz w:val="20"/>
          <w:szCs w:val="20"/>
        </w:rPr>
      </w:pPr>
    </w:p>
    <w:p w:rsidR="00647811" w:rsidRPr="00815106" w:rsidRDefault="00647811" w:rsidP="00647811">
      <w:pPr>
        <w:ind w:firstLine="720"/>
        <w:jc w:val="both"/>
        <w:rPr>
          <w:rFonts w:ascii="Times New Roman" w:eastAsiaTheme="minorEastAsia" w:hAnsi="Times New Roman" w:cs="Times New Roman"/>
          <w:sz w:val="20"/>
          <w:szCs w:val="20"/>
        </w:rPr>
      </w:pPr>
      <m:oMathPara>
        <m:oMath>
          <m:r>
            <w:rPr>
              <w:rFonts w:ascii="Cambria Math" w:hAnsi="Cambria Math" w:cs="Times New Roman"/>
              <w:sz w:val="20"/>
              <w:szCs w:val="20"/>
            </w:rPr>
            <m:t>S=</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mix</m:t>
                  </m:r>
                </m:sub>
              </m:sSub>
              <m:r>
                <w:rPr>
                  <w:rFonts w:ascii="Cambria Math" w:hAnsi="Cambria Math" w:cs="Times New Roman"/>
                  <w:sz w:val="20"/>
                  <w:szCs w:val="20"/>
                </w:rPr>
                <m:t xml:space="preserve"> - </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solution</m:t>
                  </m:r>
                </m:sub>
              </m:sSub>
              <m:r>
                <w:rPr>
                  <w:rFonts w:ascii="Cambria Math" w:hAnsi="Cambria Math" w:cs="Times New Roman"/>
                  <w:sz w:val="20"/>
                  <w:szCs w:val="20"/>
                </w:rPr>
                <m:t xml:space="preserve"> </m:t>
              </m:r>
            </m:num>
            <m:den>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solution</m:t>
                  </m:r>
                </m:sub>
              </m:sSub>
            </m:den>
          </m:f>
        </m:oMath>
      </m:oMathPara>
    </w:p>
    <w:p w:rsidR="00647811" w:rsidRPr="00815106" w:rsidRDefault="00647811" w:rsidP="00647811">
      <w:pPr>
        <w:ind w:firstLine="720"/>
        <w:jc w:val="both"/>
        <w:rPr>
          <w:rFonts w:ascii="Times New Roman" w:hAnsi="Times New Roman" w:cs="Times New Roman"/>
          <w:sz w:val="20"/>
          <w:szCs w:val="20"/>
        </w:rPr>
      </w:pPr>
    </w:p>
    <w:p w:rsidR="00647811" w:rsidRPr="00815106" w:rsidRDefault="00647811" w:rsidP="00647811">
      <w:pPr>
        <w:jc w:val="both"/>
        <w:rPr>
          <w:rFonts w:ascii="Times New Roman" w:eastAsiaTheme="minorEastAsia" w:hAnsi="Times New Roman" w:cs="Times New Roman"/>
          <w:sz w:val="20"/>
          <w:szCs w:val="20"/>
        </w:rPr>
      </w:pPr>
      <w:proofErr w:type="gramStart"/>
      <w:r w:rsidRPr="00815106">
        <w:rPr>
          <w:rFonts w:ascii="Times New Roman" w:hAnsi="Times New Roman" w:cs="Times New Roman"/>
          <w:sz w:val="20"/>
          <w:szCs w:val="20"/>
        </w:rPr>
        <w:t>where</w:t>
      </w:r>
      <w:proofErr w:type="gramEnd"/>
      <w:r w:rsidRPr="00815106">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solution</m:t>
            </m:r>
          </m:sub>
        </m:sSub>
      </m:oMath>
      <w:r w:rsidRPr="00815106">
        <w:rPr>
          <w:rFonts w:ascii="Times New Roman" w:eastAsiaTheme="minorEastAsia" w:hAnsi="Times New Roman"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mix</m:t>
            </m:r>
          </m:sub>
        </m:sSub>
      </m:oMath>
      <w:r w:rsidRPr="00815106">
        <w:rPr>
          <w:rFonts w:ascii="Times New Roman" w:eastAsiaTheme="minorEastAsia" w:hAnsi="Times New Roman" w:cs="Times New Roman"/>
          <w:sz w:val="20"/>
          <w:szCs w:val="20"/>
        </w:rPr>
        <w:t xml:space="preserve"> are the complex impedance of the PBS and PBS with presence of particle, respectively. The device sensitivity of various electrode gaps with two different electrode</w:t>
      </w:r>
      <w:r w:rsidR="00785E82">
        <w:rPr>
          <w:rFonts w:ascii="Times New Roman" w:eastAsiaTheme="minorEastAsia" w:hAnsi="Times New Roman" w:cs="Times New Roman"/>
          <w:sz w:val="20"/>
          <w:szCs w:val="20"/>
        </w:rPr>
        <w:t xml:space="preserve"> tip</w:t>
      </w:r>
      <w:r w:rsidRPr="00815106">
        <w:rPr>
          <w:rFonts w:ascii="Times New Roman" w:eastAsiaTheme="minorEastAsia" w:hAnsi="Times New Roman" w:cs="Times New Roman"/>
          <w:sz w:val="20"/>
          <w:szCs w:val="20"/>
        </w:rPr>
        <w:t xml:space="preserve"> diameters (25 µm and 35 µm) measured at a frequency of 500 kHz is shown in Table S1 and Table S2. The </w:t>
      </w:r>
      <w:r w:rsidRPr="00815106">
        <w:rPr>
          <w:rFonts w:ascii="Times New Roman" w:hAnsi="Times New Roman" w:cs="Times New Roman"/>
          <w:sz w:val="20"/>
          <w:szCs w:val="20"/>
        </w:rPr>
        <w:t xml:space="preserve">7 µm diameter </w:t>
      </w:r>
      <w:proofErr w:type="spellStart"/>
      <w:r w:rsidRPr="00815106">
        <w:rPr>
          <w:rFonts w:ascii="Times New Roman" w:hAnsi="Times New Roman" w:cs="Times New Roman"/>
          <w:sz w:val="20"/>
          <w:szCs w:val="20"/>
        </w:rPr>
        <w:t>microbead</w:t>
      </w:r>
      <w:proofErr w:type="spellEnd"/>
      <w:r w:rsidRPr="00815106">
        <w:rPr>
          <w:rFonts w:ascii="Times New Roman" w:hAnsi="Times New Roman" w:cs="Times New Roman"/>
          <w:sz w:val="20"/>
          <w:szCs w:val="20"/>
        </w:rPr>
        <w:t xml:space="preserve"> and was utilized for sensitivity characterization.</w:t>
      </w:r>
      <w:r w:rsidRPr="00815106">
        <w:rPr>
          <w:rFonts w:ascii="Times New Roman" w:eastAsiaTheme="minorEastAsia" w:hAnsi="Times New Roman" w:cs="Times New Roman"/>
          <w:sz w:val="20"/>
          <w:szCs w:val="20"/>
        </w:rPr>
        <w:t xml:space="preserve"> As expected, the bigger gap between electrodes gives the lowest sensitivity: 8.65x10</w:t>
      </w:r>
      <w:r w:rsidRPr="00815106">
        <w:rPr>
          <w:rFonts w:ascii="Times New Roman" w:eastAsiaTheme="minorEastAsia" w:hAnsi="Times New Roman" w:cs="Times New Roman"/>
          <w:sz w:val="20"/>
          <w:szCs w:val="20"/>
          <w:vertAlign w:val="superscript"/>
        </w:rPr>
        <w:t xml:space="preserve">-2 </w:t>
      </w:r>
      <w:r w:rsidRPr="00815106">
        <w:rPr>
          <w:rFonts w:ascii="Times New Roman" w:eastAsiaTheme="minorEastAsia" w:hAnsi="Times New Roman" w:cs="Times New Roman"/>
          <w:sz w:val="20"/>
          <w:szCs w:val="20"/>
        </w:rPr>
        <w:t xml:space="preserve">and </w:t>
      </w:r>
      <w:r w:rsidRPr="00815106">
        <w:rPr>
          <w:rFonts w:ascii="Times New Roman" w:hAnsi="Times New Roman" w:cs="Times New Roman"/>
          <w:sz w:val="20"/>
          <w:szCs w:val="20"/>
        </w:rPr>
        <w:t>7.</w:t>
      </w:r>
      <w:r w:rsidRPr="00815106">
        <w:rPr>
          <w:rFonts w:ascii="Times New Roman" w:eastAsiaTheme="minorEastAsia" w:hAnsi="Times New Roman" w:cs="Times New Roman"/>
          <w:sz w:val="20"/>
          <w:szCs w:val="20"/>
        </w:rPr>
        <w:t>06x10</w:t>
      </w:r>
      <w:r w:rsidRPr="00815106">
        <w:rPr>
          <w:rFonts w:ascii="Times New Roman" w:eastAsiaTheme="minorEastAsia" w:hAnsi="Times New Roman" w:cs="Times New Roman"/>
          <w:sz w:val="20"/>
          <w:szCs w:val="20"/>
          <w:vertAlign w:val="superscript"/>
        </w:rPr>
        <w:t>-2</w:t>
      </w:r>
      <w:r w:rsidRPr="00815106">
        <w:rPr>
          <w:rFonts w:ascii="Times New Roman" w:eastAsiaTheme="minorEastAsia" w:hAnsi="Times New Roman" w:cs="Times New Roman"/>
          <w:sz w:val="20"/>
          <w:szCs w:val="20"/>
        </w:rPr>
        <w:t xml:space="preserve"> for </w:t>
      </w:r>
      <w:r w:rsidR="00785E82">
        <w:rPr>
          <w:rFonts w:ascii="Times New Roman" w:eastAsiaTheme="minorEastAsia" w:hAnsi="Times New Roman" w:cs="Times New Roman"/>
          <w:sz w:val="20"/>
          <w:szCs w:val="20"/>
        </w:rPr>
        <w:t xml:space="preserve">tip </w:t>
      </w:r>
      <w:r w:rsidRPr="00815106">
        <w:rPr>
          <w:rFonts w:ascii="Times New Roman" w:eastAsiaTheme="minorEastAsia" w:hAnsi="Times New Roman" w:cs="Times New Roman"/>
          <w:sz w:val="20"/>
          <w:szCs w:val="20"/>
        </w:rPr>
        <w:t xml:space="preserve">diameters of electrode 25 µm and 35 µm, respectively. </w:t>
      </w:r>
    </w:p>
    <w:p w:rsidR="00647811" w:rsidRPr="00D95AB7" w:rsidRDefault="00647811" w:rsidP="00647811">
      <w:pPr>
        <w:ind w:firstLine="720"/>
        <w:jc w:val="both"/>
        <w:rPr>
          <w:rFonts w:ascii="Times New Roman" w:eastAsiaTheme="minorEastAsia" w:hAnsi="Times New Roman" w:cs="Times New Roman"/>
          <w:sz w:val="20"/>
          <w:szCs w:val="20"/>
        </w:rPr>
      </w:pPr>
      <w:r w:rsidRPr="00D95AB7">
        <w:rPr>
          <w:rFonts w:ascii="Times New Roman" w:eastAsiaTheme="minorEastAsia" w:hAnsi="Times New Roman" w:cs="Times New Roman"/>
          <w:sz w:val="20"/>
          <w:szCs w:val="20"/>
        </w:rPr>
        <w:t xml:space="preserve">Meanwhile, the high sensitivity occurs at the smallest electrodes gap </w:t>
      </w:r>
      <w:r w:rsidRPr="00D95AB7">
        <w:rPr>
          <w:rFonts w:ascii="Times New Roman" w:hAnsi="Times New Roman" w:cs="Times New Roman"/>
          <w:sz w:val="20"/>
          <w:szCs w:val="20"/>
        </w:rPr>
        <w:t>13.23</w:t>
      </w:r>
      <w:r w:rsidRPr="00D95AB7">
        <w:rPr>
          <w:rFonts w:ascii="Times New Roman" w:eastAsiaTheme="minorEastAsia" w:hAnsi="Times New Roman" w:cs="Times New Roman"/>
          <w:sz w:val="20"/>
          <w:szCs w:val="20"/>
        </w:rPr>
        <w:t>x10</w:t>
      </w:r>
      <w:r w:rsidRPr="00D95AB7">
        <w:rPr>
          <w:rFonts w:ascii="Times New Roman" w:eastAsiaTheme="minorEastAsia" w:hAnsi="Times New Roman" w:cs="Times New Roman"/>
          <w:sz w:val="20"/>
          <w:szCs w:val="20"/>
          <w:vertAlign w:val="superscript"/>
        </w:rPr>
        <w:t xml:space="preserve">-2 </w:t>
      </w:r>
      <w:r w:rsidRPr="00D95AB7">
        <w:rPr>
          <w:rFonts w:ascii="Times New Roman" w:eastAsiaTheme="minorEastAsia" w:hAnsi="Times New Roman" w:cs="Times New Roman"/>
          <w:sz w:val="20"/>
          <w:szCs w:val="20"/>
        </w:rPr>
        <w:t xml:space="preserve">and </w:t>
      </w:r>
      <w:r w:rsidRPr="00D95AB7">
        <w:rPr>
          <w:rFonts w:ascii="Times New Roman" w:hAnsi="Times New Roman" w:cs="Times New Roman"/>
          <w:sz w:val="20"/>
          <w:szCs w:val="20"/>
        </w:rPr>
        <w:t>11.14</w:t>
      </w:r>
      <w:r w:rsidRPr="00D95AB7">
        <w:rPr>
          <w:rFonts w:ascii="Times New Roman" w:eastAsiaTheme="minorEastAsia" w:hAnsi="Times New Roman" w:cs="Times New Roman"/>
          <w:sz w:val="20"/>
          <w:szCs w:val="20"/>
        </w:rPr>
        <w:t>x10</w:t>
      </w:r>
      <w:r w:rsidRPr="00D95AB7">
        <w:rPr>
          <w:rFonts w:ascii="Times New Roman" w:eastAsiaTheme="minorEastAsia" w:hAnsi="Times New Roman" w:cs="Times New Roman"/>
          <w:sz w:val="20"/>
          <w:szCs w:val="20"/>
          <w:vertAlign w:val="superscript"/>
        </w:rPr>
        <w:t>-2</w:t>
      </w:r>
      <w:r w:rsidRPr="00D95AB7">
        <w:rPr>
          <w:rFonts w:ascii="Times New Roman" w:eastAsiaTheme="minorEastAsia" w:hAnsi="Times New Roman" w:cs="Times New Roman"/>
          <w:sz w:val="20"/>
          <w:szCs w:val="20"/>
        </w:rPr>
        <w:t xml:space="preserve"> for diameters of electrode 25 µm and 35 µm, respectively. </w:t>
      </w:r>
      <w:r w:rsidR="00D95AB7" w:rsidRPr="00D95AB7">
        <w:rPr>
          <w:rFonts w:ascii="Times New Roman" w:eastAsiaTheme="minorEastAsia" w:hAnsi="Times New Roman" w:cs="Times New Roman"/>
          <w:sz w:val="20"/>
          <w:szCs w:val="20"/>
        </w:rPr>
        <w:t xml:space="preserve">Increased electrode diameter reduces the magnitude of impedance, </w:t>
      </w:r>
      <w:r w:rsidR="00D95AB7" w:rsidRPr="00D95AB7">
        <w:rPr>
          <w:rFonts w:ascii="Times New Roman" w:hAnsi="Times New Roman" w:cs="Times New Roman"/>
          <w:color w:val="000000"/>
          <w:sz w:val="20"/>
          <w:szCs w:val="20"/>
        </w:rPr>
        <w:t>which is consistent with the impedance behavior of a capacitor</w:t>
      </w:r>
      <w:r w:rsidRPr="00D95AB7">
        <w:rPr>
          <w:rFonts w:ascii="Times New Roman" w:eastAsiaTheme="minorEastAsia" w:hAnsi="Times New Roman" w:cs="Times New Roman"/>
          <w:sz w:val="20"/>
          <w:szCs w:val="20"/>
        </w:rPr>
        <w:t xml:space="preserve"> </w:t>
      </w:r>
      <w:r w:rsidRPr="00D95AB7">
        <w:rPr>
          <w:rFonts w:ascii="Times New Roman" w:eastAsiaTheme="minorEastAsia" w:hAnsi="Times New Roman" w:cs="Times New Roman"/>
          <w:sz w:val="20"/>
          <w:szCs w:val="20"/>
        </w:rPr>
        <w:fldChar w:fldCharType="begin" w:fldLock="1"/>
      </w:r>
      <w:r w:rsidR="00D95AB7">
        <w:rPr>
          <w:rFonts w:ascii="Times New Roman" w:eastAsiaTheme="minorEastAsia" w:hAnsi="Times New Roman" w:cs="Times New Roman"/>
          <w:sz w:val="20"/>
          <w:szCs w:val="20"/>
        </w:rPr>
        <w:instrText>ADDIN CSL_CITATION {"citationItems":[{"id":"ITEM-1","itemData":{"DOI":"10.1109/EMBC.2014.6945202","ISBN":"9781424479290","PMID":"25571570","abstract":"The impedance, cyclic voltammetry, and charge-injection properties of rectangular, sputtered iridium oxide (SIROF) electrodes have been measured in buffered physiological saline over a range of geometric surface areas (GSA) and perimeter-to-area ratios (P/A). Electrodes with a higher P/A are expected to have a lower impedance and higher charge injection capacity (Qinj), and both these effects were evident for SIROF electrodes with a GSA in the range 0.0023-0.0031 mm2. However, the magnitude of the effect was modest. The increase in Qinj for rectangular electrodes with a P/A ranging from 94 to 255 mm-1 was 21-26% depending on pulse width. There was a corresponding decrease in impedance (0.1 to 105 Hz) with increasing P/A and an increase in the SIROF charge storage capacity calculated from cyclic voltammetry. To assess the full usefulness of high P/A electrodes for increasing the reversible Qinj of an electrode, measurements should now be extended to chronic in vivo preparations.","author":[{"dropping-particle":"","family":"Cogan","given":"Stuart F.","non-dropping-particle":"","parse-names":false,"suffix":""},{"dropping-particle":"","family":"Ehrlich","given":"Julia","non-dropping-particle":"","parse-names":false,"suffix":""},{"dropping-particle":"","family":"Plante","given":"Timothy D.","non-dropping-particle":"","parse-names":false,"suffix":""}],"container-title":"2014 36th Annual International Conference of the IEEE Engineering in Medicine and Biology Society, EMBC 2014","id":"ITEM-1","issued":{"date-parts":[["2014"]]},"page":"6850-6853","title":"The effect of electrode geometry on electrochemical properties measured in saline","type":"article"},"uris":["http://www.mendeley.com/documents/?uuid=94a0aee1-533d-47db-8eb1-8550f360574b"]},{"id":"ITEM-2","itemData":{"DOI":"10.1139/v97-194","ISSN":"0008-4042","abstract":"Although the platinum electrode is used regularly in the practice of electroanalytical chemistry, there are some caveats that should be considered in experimental design and data interpretation when ac impedance measurements are made. A wire electrode was immersed only partially with the purpose of decreasing its effective area. Impedance was used to study the effect of partial immersion. In the case of an NaOH solution, a good impedance fit was found if a transmission line was added to the equivalent circuit. Transmission line behavior corresponds to the transversal conductivity in the wet, though not immersed, surface. Impedance was further compared for a wire electrode, as well as for short wire electrodes with metal spheres attached to their end. The shorter, predominantly spherical, electrode minimizes impedance artifacts at higher frequencies, thus serving as a better electrode for impedance studies. The change in impedance after depositing platinum black was used to estimate the effective surface area increase. Keywords: electrochemical impedance spectroscopy, platinum, electrode shape, partial immersion, platinum black, sodium hydroxide.","author":[{"dropping-particle":"","family":"Vanýsek","given":"Petr","non-dropping-particle":"","parse-names":false,"suffix":""}],"container-title":"Canadian Journal of Chemistry","id":"ITEM-2","issue":"11","issued":{"date-parts":[["1997","11","1"]]},"page":"1635-1642","title":"Impact of electrode geometry, depth of immersion, and size on impedance measurements","type":"article-journal","volume":"75"},"uris":["http://www.mendeley.com/documents/?uuid=c422eb9e-6de1-4459-aa6b-a177c47bd1bf"]},{"id":"ITEM-3","itemData":{"DOI":"10.1016/j.snb.2007.07.038","ISSN":"09254005","abstract":"This paper explores the effect of electrode geometry on bio-impedance measurements of a simple binary electrolyte (KCl), conductive gel used in electrocardiography (ECG), human umbilical vein endothelial cell (HUVEC) culture and excised human skin tissue. The aim of this paper is (a) to understand the effect of electrode area on the impedance characteristics of various biologically relevant materials and (b) to determine the optimum microelectrode geometry for effective characterization of the electrical properties of these materials, namely, complex conductivity and permittivity. Impedance measurements were performed on four different electrode geometries in the frequency range of 100 Hz to 100 MHz. Four different materials listed above were evaluated on identical sets of electrodes. Results indicate a material-dependent lower limit of 100-50 μm electrode diameter beyond which non-uniform current distribution effects are noticeable. The skin tissue does not lend itself well to characterization using microelectrodes less than 250 μm, due to its high degree of heterogeneity. © 2007 Elsevier B.V. All rights reserved.","author":[{"dropping-particle":"","family":"Abdur Rahman","given":"Abdur Rub","non-dropping-particle":"","parse-names":false,"suffix":""},{"dropping-particle":"","family":"Price","given":"Dorielle T.","non-dropping-particle":"","parse-names":false,"suffix":""},{"dropping-particle":"","family":"Bhansali","given":"Shekhar","non-dropping-particle":"","parse-names":false,"suffix":""}],"container-title":"Sensors and Actuators, B: Chemical","id":"ITEM-3","issue":"1","issued":{"date-parts":[["2007"]]},"page":"89-96","title":"Effect of electrode geometry on the impedance evaluation of tissue and cell culture","type":"article-journal","volume":"127"},"uris":["http://www.mendeley.com/documents/?uuid=00134a9b-90dd-4160-a696-54afb92a1878"]}],"mendeley":{"formattedCitation":"[7–9]","plainTextFormattedCitation":"[7–9]","previouslyFormattedCitation":"[7–9]"},"properties":{"noteIndex":0},"schema":"https://github.com/citation-style-language/schema/raw/master/csl-citation.json"}</w:instrText>
      </w:r>
      <w:r w:rsidRPr="00D95AB7">
        <w:rPr>
          <w:rFonts w:ascii="Times New Roman" w:eastAsiaTheme="minorEastAsia" w:hAnsi="Times New Roman" w:cs="Times New Roman"/>
          <w:sz w:val="20"/>
          <w:szCs w:val="20"/>
        </w:rPr>
        <w:fldChar w:fldCharType="separate"/>
      </w:r>
      <w:r w:rsidRPr="00D95AB7">
        <w:rPr>
          <w:rFonts w:ascii="Times New Roman" w:eastAsiaTheme="minorEastAsia" w:hAnsi="Times New Roman" w:cs="Times New Roman"/>
          <w:noProof/>
          <w:sz w:val="20"/>
          <w:szCs w:val="20"/>
        </w:rPr>
        <w:t>[7–9]</w:t>
      </w:r>
      <w:r w:rsidRPr="00D95AB7">
        <w:rPr>
          <w:rFonts w:ascii="Times New Roman" w:eastAsiaTheme="minorEastAsia" w:hAnsi="Times New Roman" w:cs="Times New Roman"/>
          <w:sz w:val="20"/>
          <w:szCs w:val="20"/>
        </w:rPr>
        <w:fldChar w:fldCharType="end"/>
      </w:r>
      <w:r w:rsidRPr="00D95AB7">
        <w:rPr>
          <w:rFonts w:ascii="Times New Roman" w:eastAsiaTheme="minorEastAsia" w:hAnsi="Times New Roman" w:cs="Times New Roman"/>
          <w:sz w:val="20"/>
          <w:szCs w:val="20"/>
        </w:rPr>
        <w:t xml:space="preserve">. As a result, expanding the electrode width decreases overall sensitivity while increasing the sensing area </w:t>
      </w:r>
      <w:r w:rsidRPr="00D95AB7">
        <w:rPr>
          <w:rFonts w:ascii="Times New Roman" w:eastAsiaTheme="minorEastAsia" w:hAnsi="Times New Roman" w:cs="Times New Roman"/>
          <w:sz w:val="20"/>
          <w:szCs w:val="20"/>
        </w:rPr>
        <w:fldChar w:fldCharType="begin" w:fldLock="1"/>
      </w:r>
      <w:r w:rsidR="00D95AB7">
        <w:rPr>
          <w:rFonts w:ascii="Times New Roman" w:eastAsiaTheme="minorEastAsia" w:hAnsi="Times New Roman" w:cs="Times New Roman"/>
          <w:sz w:val="20"/>
          <w:szCs w:val="20"/>
        </w:rPr>
        <w:instrText>ADDIN CSL_CITATION {"citationItems":[{"id":"ITEM-1","itemData":{"DOI":"10.1016/j.bios.2008.03.018","ISSN":"09565663","author":[{"dropping-particle":"","family":"Wang","given":"Lei","non-dropping-particle":"","parse-names":false,"suffix":""},{"dropping-particle":"","family":"Wang","given":"He","non-dropping-particle":"","parse-names":false,"suffix":""},{"dropping-particle":"","family":"Wang","given":"Lei","non-dropping-particle":"","parse-names":false,"suffix":""},{"dropping-particle":"","family":"Mitchelson","given":"Keith","non-dropping-particle":"","parse-names":false,"suffix":""},{"dropping-particle":"","family":"Yu","given":"Zhongyao","non-dropping-particle":"","parse-names":false,"suffix":""},{"dropping-particle":"","family":"Cheng","given":"Jing","non-dropping-particle":"","parse-names":false,"suffix":""}],"container-title":"Biosensors and Bioelectronics","id":"ITEM-1","issue":"1","issued":{"date-parts":[["2008","9"]]},"page":"14-21","title":"Analysis of the sensitivity and frequency characteristics of coplanar electrical cell–substrate impedance sensors","type":"article-journal","volume":"24"},"uris":["http://www.mendeley.com/documents/?uuid=79462cf7-f374-4220-bc73-f94eb207b1b4"]}],"mendeley":{"formattedCitation":"[10]","plainTextFormattedCitation":"[10]","previouslyFormattedCitation":"[10]"},"properties":{"noteIndex":0},"schema":"https://github.com/citation-style-language/schema/raw/master/csl-citation.json"}</w:instrText>
      </w:r>
      <w:r w:rsidRPr="00D95AB7">
        <w:rPr>
          <w:rFonts w:ascii="Times New Roman" w:eastAsiaTheme="minorEastAsia" w:hAnsi="Times New Roman" w:cs="Times New Roman"/>
          <w:sz w:val="20"/>
          <w:szCs w:val="20"/>
        </w:rPr>
        <w:fldChar w:fldCharType="separate"/>
      </w:r>
      <w:r w:rsidRPr="00D95AB7">
        <w:rPr>
          <w:rFonts w:ascii="Times New Roman" w:eastAsiaTheme="minorEastAsia" w:hAnsi="Times New Roman" w:cs="Times New Roman"/>
          <w:noProof/>
          <w:sz w:val="20"/>
          <w:szCs w:val="20"/>
        </w:rPr>
        <w:t>[10]</w:t>
      </w:r>
      <w:r w:rsidRPr="00D95AB7">
        <w:rPr>
          <w:rFonts w:ascii="Times New Roman" w:eastAsiaTheme="minorEastAsia" w:hAnsi="Times New Roman" w:cs="Times New Roman"/>
          <w:sz w:val="20"/>
          <w:szCs w:val="20"/>
        </w:rPr>
        <w:fldChar w:fldCharType="end"/>
      </w:r>
      <w:r w:rsidRPr="00D95AB7">
        <w:rPr>
          <w:rFonts w:ascii="Times New Roman" w:eastAsiaTheme="minorEastAsia" w:hAnsi="Times New Roman" w:cs="Times New Roman"/>
          <w:sz w:val="20"/>
          <w:szCs w:val="20"/>
        </w:rPr>
        <w:t xml:space="preserve">. This result is in agreement with the previous work, in which decreasing the gap and diameter of the electrode increases the measurement sensitivity </w:t>
      </w:r>
      <w:r w:rsidRPr="00D95AB7">
        <w:rPr>
          <w:rFonts w:ascii="Times New Roman" w:hAnsi="Times New Roman" w:cs="Times New Roman"/>
          <w:sz w:val="20"/>
          <w:szCs w:val="20"/>
        </w:rPr>
        <w:fldChar w:fldCharType="begin" w:fldLock="1"/>
      </w:r>
      <w:r w:rsidR="00D95AB7">
        <w:rPr>
          <w:rFonts w:ascii="Times New Roman" w:hAnsi="Times New Roman" w:cs="Times New Roman"/>
          <w:sz w:val="20"/>
          <w:szCs w:val="20"/>
        </w:rPr>
        <w:instrText>ADDIN CSL_CITATION {"citationItems":[{"id":"ITEM-1","itemData":{"DOI":"10.1016/j.bios.2009.10.015","ISSN":"1873-4235","PMID":"19926465","abstract":"Measurements on single cells provide more accurate and in-depth information about electrical properties than those on pathological tissues. The relationship between electrode geometry and the location of a cell on microfluidic devices greatly affects the accuracy of single-cell impedance measurement. Accordingly, this study presents numerical solutions from the FEM simulation of the COMSOL multiphysics package and experimental measurements to analyze the effects of electrode geometry and cell location on microfluidic devices. An equivalent electrical circuit model is developed to obtain the impedance and sensitivity of various cell locations on various electrode geometries using FEM simulation. According to the simulation results, the parallel electrodes have the largest sensing area (39 microm(2)) and the highest sensitivity (0.976) at a voltage of 0.1 V and a frequency of 100 kHz. Increasing the width of electrodes provides a large sensing area but reduces sensitivity, whereas decreasing the gap between electrodes increases both sensing area and sensitivity. In experiments, the results demonstrate that the magnitude is inversely proportional to the overlap area of the cell and electrodes. Moreover, the impedance of single HeLa cells measured at various cell locations can be modified using equations determined from the modeling and experimental results.","author":[{"dropping-particle":"","family":"Wang","given":"Ji-Wei","non-dropping-particle":"","parse-names":false,"suffix":""},{"dropping-particle":"","family":"Wang","given":"Min-Haw","non-dropping-particle":"","parse-names":false,"suffix":""},{"dropping-particle":"","family":"Jang","given":"Ling-Sheng","non-dropping-particle":"","parse-names":false,"suffix":""}],"container-title":"Biosensors &amp; bioelectronics","id":"ITEM-1","issue":"6","issued":{"date-parts":[["2010","2","15"]]},"page":"1271-6","title":"Effects of electrode geometry and cell location on single-cell impedance measurement.","type":"article-journal","volume":"25"},"uris":["http://www.mendeley.com/documents/?uuid=f161cd88-a2ac-4ed2-99a2-a9ad2727c150"]}],"mendeley":{"formattedCitation":"[11]","plainTextFormattedCitation":"[11]","previouslyFormattedCitation":"[11]"},"properties":{"noteIndex":0},"schema":"https://github.com/citation-style-language/schema/raw/master/csl-citation.json"}</w:instrText>
      </w:r>
      <w:r w:rsidRPr="00D95AB7">
        <w:rPr>
          <w:rFonts w:ascii="Times New Roman" w:hAnsi="Times New Roman" w:cs="Times New Roman"/>
          <w:sz w:val="20"/>
          <w:szCs w:val="20"/>
        </w:rPr>
        <w:fldChar w:fldCharType="separate"/>
      </w:r>
      <w:r w:rsidRPr="00D95AB7">
        <w:rPr>
          <w:rFonts w:ascii="Times New Roman" w:hAnsi="Times New Roman" w:cs="Times New Roman"/>
          <w:noProof/>
          <w:sz w:val="20"/>
          <w:szCs w:val="20"/>
        </w:rPr>
        <w:t>[11]</w:t>
      </w:r>
      <w:r w:rsidRPr="00D95AB7">
        <w:rPr>
          <w:rFonts w:ascii="Times New Roman" w:hAnsi="Times New Roman" w:cs="Times New Roman"/>
          <w:sz w:val="20"/>
          <w:szCs w:val="20"/>
        </w:rPr>
        <w:fldChar w:fldCharType="end"/>
      </w:r>
      <w:r w:rsidRPr="00D95AB7">
        <w:rPr>
          <w:rFonts w:ascii="Times New Roman" w:eastAsiaTheme="minorEastAsia" w:hAnsi="Times New Roman" w:cs="Times New Roman"/>
          <w:sz w:val="20"/>
          <w:szCs w:val="20"/>
        </w:rPr>
        <w:t>. However, due to the clogging issue when the electrodes gap near to the diameter size of the particle, the 15 µm gap of the electrode has been chosen.</w:t>
      </w:r>
    </w:p>
    <w:p w:rsidR="0047123B" w:rsidRPr="00815106" w:rsidRDefault="0047123B" w:rsidP="00C25830">
      <w:pPr>
        <w:rPr>
          <w:rFonts w:ascii="Times New Roman" w:hAnsi="Times New Roman" w:cs="Times New Roman"/>
          <w:sz w:val="20"/>
          <w:szCs w:val="20"/>
        </w:rPr>
      </w:pPr>
    </w:p>
    <w:p w:rsidR="00647811" w:rsidRPr="00815106" w:rsidRDefault="00815106" w:rsidP="00647811">
      <w:pPr>
        <w:pStyle w:val="BodyText"/>
        <w:rPr>
          <w:w w:val="105"/>
        </w:rPr>
      </w:pPr>
      <w:r w:rsidRPr="00815106">
        <w:rPr>
          <w:b/>
          <w:w w:val="105"/>
        </w:rPr>
        <w:t>Table S</w:t>
      </w:r>
      <w:r w:rsidR="00647811" w:rsidRPr="00815106">
        <w:rPr>
          <w:b/>
          <w:w w:val="105"/>
        </w:rPr>
        <w:t>1:</w:t>
      </w:r>
      <w:r w:rsidR="00647811" w:rsidRPr="00815106">
        <w:rPr>
          <w:w w:val="105"/>
        </w:rPr>
        <w:t xml:space="preserve"> Sensitivity of the IFC device at 500 kHz frequency measurement for various electrode gaps with </w:t>
      </w:r>
      <w:r w:rsidR="00647811" w:rsidRPr="00815106">
        <w:rPr>
          <w:rFonts w:eastAsiaTheme="minorEastAsia"/>
        </w:rPr>
        <w:t>electrode diameters of 25 µm</w:t>
      </w:r>
      <w:r w:rsidR="00647811" w:rsidRPr="00815106">
        <w:rPr>
          <w:w w:val="105"/>
        </w:rPr>
        <w:t>.</w:t>
      </w:r>
    </w:p>
    <w:tbl>
      <w:tblPr>
        <w:tblStyle w:val="TableGrid"/>
        <w:tblW w:w="0" w:type="auto"/>
        <w:tblLook w:val="04A0" w:firstRow="1" w:lastRow="0" w:firstColumn="1" w:lastColumn="0" w:noHBand="0" w:noVBand="1"/>
      </w:tblPr>
      <w:tblGrid>
        <w:gridCol w:w="1342"/>
        <w:gridCol w:w="2365"/>
        <w:gridCol w:w="2365"/>
        <w:gridCol w:w="2365"/>
      </w:tblGrid>
      <w:tr w:rsidR="00647811" w:rsidRPr="00815106" w:rsidTr="0095559F">
        <w:tc>
          <w:tcPr>
            <w:tcW w:w="1342"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Gap</w:t>
            </w:r>
          </w:p>
        </w:tc>
        <w:tc>
          <w:tcPr>
            <w:tcW w:w="2365" w:type="dxa"/>
          </w:tcPr>
          <w:p w:rsidR="00647811" w:rsidRPr="00815106" w:rsidRDefault="00647811" w:rsidP="0095559F">
            <w:pPr>
              <w:jc w:val="center"/>
              <w:rPr>
                <w:rFonts w:ascii="Times New Roman" w:hAnsi="Times New Roman" w:cs="Times New Roman"/>
                <w:sz w:val="20"/>
                <w:szCs w:val="20"/>
                <w:vertAlign w:val="subscript"/>
              </w:rPr>
            </w:pPr>
            <w:proofErr w:type="spellStart"/>
            <w:r w:rsidRPr="00815106">
              <w:rPr>
                <w:rFonts w:ascii="Times New Roman" w:hAnsi="Times New Roman" w:cs="Times New Roman"/>
                <w:sz w:val="20"/>
                <w:szCs w:val="20"/>
              </w:rPr>
              <w:t>Z</w:t>
            </w:r>
            <w:r w:rsidRPr="00815106">
              <w:rPr>
                <w:rFonts w:ascii="Times New Roman" w:hAnsi="Times New Roman" w:cs="Times New Roman"/>
                <w:sz w:val="20"/>
                <w:szCs w:val="20"/>
                <w:vertAlign w:val="subscript"/>
              </w:rPr>
              <w:t>mix</w:t>
            </w:r>
            <w:proofErr w:type="spellEnd"/>
            <w:r w:rsidRPr="00815106">
              <w:rPr>
                <w:rFonts w:ascii="Times New Roman" w:hAnsi="Times New Roman" w:cs="Times New Roman"/>
                <w:sz w:val="20"/>
                <w:szCs w:val="20"/>
                <w:vertAlign w:val="subscript"/>
              </w:rPr>
              <w:t xml:space="preserve"> </w:t>
            </w:r>
            <w:r w:rsidRPr="00815106">
              <w:rPr>
                <w:rFonts w:ascii="Times New Roman" w:hAnsi="Times New Roman" w:cs="Times New Roman"/>
                <w:sz w:val="20"/>
                <w:szCs w:val="20"/>
              </w:rPr>
              <w:t>(Ω)</w:t>
            </w:r>
          </w:p>
        </w:tc>
        <w:tc>
          <w:tcPr>
            <w:tcW w:w="2365" w:type="dxa"/>
          </w:tcPr>
          <w:p w:rsidR="00647811" w:rsidRPr="00815106" w:rsidRDefault="00647811" w:rsidP="0095559F">
            <w:pPr>
              <w:jc w:val="center"/>
              <w:rPr>
                <w:rFonts w:ascii="Times New Roman" w:hAnsi="Times New Roman" w:cs="Times New Roman"/>
                <w:sz w:val="20"/>
                <w:szCs w:val="20"/>
              </w:rPr>
            </w:pPr>
            <w:proofErr w:type="spellStart"/>
            <w:r w:rsidRPr="00815106">
              <w:rPr>
                <w:rFonts w:ascii="Times New Roman" w:hAnsi="Times New Roman" w:cs="Times New Roman"/>
                <w:sz w:val="20"/>
                <w:szCs w:val="20"/>
              </w:rPr>
              <w:t>Z</w:t>
            </w:r>
            <w:r w:rsidRPr="00815106">
              <w:rPr>
                <w:rFonts w:ascii="Times New Roman" w:hAnsi="Times New Roman" w:cs="Times New Roman"/>
                <w:sz w:val="20"/>
                <w:szCs w:val="20"/>
                <w:vertAlign w:val="subscript"/>
              </w:rPr>
              <w:t>Solution</w:t>
            </w:r>
            <w:proofErr w:type="spellEnd"/>
            <w:r w:rsidRPr="00815106">
              <w:rPr>
                <w:rFonts w:ascii="Times New Roman" w:hAnsi="Times New Roman" w:cs="Times New Roman"/>
                <w:sz w:val="20"/>
                <w:szCs w:val="20"/>
                <w:vertAlign w:val="subscript"/>
              </w:rPr>
              <w:t xml:space="preserve"> </w:t>
            </w:r>
            <w:r w:rsidRPr="00815106">
              <w:rPr>
                <w:rFonts w:ascii="Times New Roman" w:hAnsi="Times New Roman" w:cs="Times New Roman"/>
                <w:sz w:val="20"/>
                <w:szCs w:val="20"/>
              </w:rPr>
              <w:t>(Ω)</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S (x10</w:t>
            </w:r>
            <w:r w:rsidRPr="00815106">
              <w:rPr>
                <w:rFonts w:ascii="Times New Roman" w:hAnsi="Times New Roman" w:cs="Times New Roman"/>
                <w:sz w:val="20"/>
                <w:szCs w:val="20"/>
                <w:vertAlign w:val="superscript"/>
              </w:rPr>
              <w:t>-2</w:t>
            </w:r>
            <w:r w:rsidRPr="00815106">
              <w:rPr>
                <w:rFonts w:ascii="Times New Roman" w:hAnsi="Times New Roman" w:cs="Times New Roman"/>
                <w:sz w:val="20"/>
                <w:szCs w:val="20"/>
              </w:rPr>
              <w:t>)</w:t>
            </w:r>
          </w:p>
        </w:tc>
      </w:tr>
      <w:tr w:rsidR="00647811" w:rsidRPr="00815106" w:rsidTr="0095559F">
        <w:tc>
          <w:tcPr>
            <w:tcW w:w="1342"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10 µm</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42889</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37876</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13.23</w:t>
            </w:r>
          </w:p>
        </w:tc>
      </w:tr>
      <w:tr w:rsidR="00647811" w:rsidRPr="00815106" w:rsidTr="0095559F">
        <w:tc>
          <w:tcPr>
            <w:tcW w:w="1342"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15 µm</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43851</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38921</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12.67</w:t>
            </w:r>
          </w:p>
        </w:tc>
      </w:tr>
      <w:tr w:rsidR="00647811" w:rsidRPr="00815106" w:rsidTr="0095559F">
        <w:tc>
          <w:tcPr>
            <w:tcW w:w="1342"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20 µm</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45254</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40753</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11.04</w:t>
            </w:r>
          </w:p>
        </w:tc>
      </w:tr>
      <w:tr w:rsidR="00647811" w:rsidRPr="00815106" w:rsidTr="0095559F">
        <w:tc>
          <w:tcPr>
            <w:tcW w:w="1342"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30 µm</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46879</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43147</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8.65</w:t>
            </w:r>
          </w:p>
        </w:tc>
      </w:tr>
    </w:tbl>
    <w:p w:rsidR="00647811" w:rsidRPr="00815106" w:rsidRDefault="00647811" w:rsidP="00647811">
      <w:pPr>
        <w:ind w:firstLine="720"/>
        <w:jc w:val="both"/>
        <w:rPr>
          <w:rFonts w:ascii="Times New Roman" w:hAnsi="Times New Roman" w:cs="Times New Roman"/>
          <w:sz w:val="20"/>
          <w:szCs w:val="20"/>
        </w:rPr>
      </w:pPr>
    </w:p>
    <w:p w:rsidR="00647811" w:rsidRPr="00815106" w:rsidRDefault="00647811" w:rsidP="00647811">
      <w:pPr>
        <w:ind w:firstLine="720"/>
        <w:jc w:val="both"/>
        <w:rPr>
          <w:rFonts w:ascii="Times New Roman" w:hAnsi="Times New Roman" w:cs="Times New Roman"/>
          <w:sz w:val="20"/>
          <w:szCs w:val="20"/>
        </w:rPr>
      </w:pPr>
    </w:p>
    <w:p w:rsidR="00647811" w:rsidRPr="00815106" w:rsidRDefault="00815106" w:rsidP="00647811">
      <w:pPr>
        <w:pStyle w:val="BodyText"/>
        <w:rPr>
          <w:w w:val="105"/>
        </w:rPr>
      </w:pPr>
      <w:r w:rsidRPr="00815106">
        <w:rPr>
          <w:b/>
          <w:w w:val="105"/>
        </w:rPr>
        <w:t>Table S</w:t>
      </w:r>
      <w:r w:rsidR="00647811" w:rsidRPr="00815106">
        <w:rPr>
          <w:b/>
          <w:w w:val="105"/>
        </w:rPr>
        <w:t>2:</w:t>
      </w:r>
      <w:r w:rsidR="00647811" w:rsidRPr="00815106">
        <w:rPr>
          <w:w w:val="105"/>
        </w:rPr>
        <w:t xml:space="preserve"> Sensitivity of the IFC device at 500 kHz frequency measurement for various electrode gaps with </w:t>
      </w:r>
      <w:r w:rsidR="00647811" w:rsidRPr="00815106">
        <w:rPr>
          <w:rFonts w:eastAsiaTheme="minorEastAsia"/>
        </w:rPr>
        <w:t>electrode diameters of 35 µm</w:t>
      </w:r>
      <w:r w:rsidR="00647811" w:rsidRPr="00815106">
        <w:rPr>
          <w:w w:val="105"/>
        </w:rPr>
        <w:t>.</w:t>
      </w:r>
    </w:p>
    <w:tbl>
      <w:tblPr>
        <w:tblStyle w:val="TableGrid"/>
        <w:tblW w:w="0" w:type="auto"/>
        <w:tblLook w:val="04A0" w:firstRow="1" w:lastRow="0" w:firstColumn="1" w:lastColumn="0" w:noHBand="0" w:noVBand="1"/>
      </w:tblPr>
      <w:tblGrid>
        <w:gridCol w:w="1342"/>
        <w:gridCol w:w="2365"/>
        <w:gridCol w:w="2365"/>
        <w:gridCol w:w="2365"/>
      </w:tblGrid>
      <w:tr w:rsidR="00647811" w:rsidRPr="00815106" w:rsidTr="0095559F">
        <w:tc>
          <w:tcPr>
            <w:tcW w:w="1342"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Gap</w:t>
            </w:r>
          </w:p>
        </w:tc>
        <w:tc>
          <w:tcPr>
            <w:tcW w:w="2365" w:type="dxa"/>
          </w:tcPr>
          <w:p w:rsidR="00647811" w:rsidRPr="00815106" w:rsidRDefault="00647811" w:rsidP="0095559F">
            <w:pPr>
              <w:jc w:val="center"/>
              <w:rPr>
                <w:rFonts w:ascii="Times New Roman" w:hAnsi="Times New Roman" w:cs="Times New Roman"/>
                <w:sz w:val="20"/>
                <w:szCs w:val="20"/>
                <w:vertAlign w:val="subscript"/>
              </w:rPr>
            </w:pPr>
            <w:proofErr w:type="spellStart"/>
            <w:r w:rsidRPr="00815106">
              <w:rPr>
                <w:rFonts w:ascii="Times New Roman" w:hAnsi="Times New Roman" w:cs="Times New Roman"/>
                <w:sz w:val="20"/>
                <w:szCs w:val="20"/>
              </w:rPr>
              <w:t>Z</w:t>
            </w:r>
            <w:r w:rsidRPr="00815106">
              <w:rPr>
                <w:rFonts w:ascii="Times New Roman" w:hAnsi="Times New Roman" w:cs="Times New Roman"/>
                <w:sz w:val="20"/>
                <w:szCs w:val="20"/>
                <w:vertAlign w:val="subscript"/>
              </w:rPr>
              <w:t>mix</w:t>
            </w:r>
            <w:proofErr w:type="spellEnd"/>
            <w:r w:rsidRPr="00815106">
              <w:rPr>
                <w:rFonts w:ascii="Times New Roman" w:hAnsi="Times New Roman" w:cs="Times New Roman"/>
                <w:sz w:val="20"/>
                <w:szCs w:val="20"/>
                <w:vertAlign w:val="subscript"/>
              </w:rPr>
              <w:t xml:space="preserve"> </w:t>
            </w:r>
            <w:r w:rsidRPr="00815106">
              <w:rPr>
                <w:rFonts w:ascii="Times New Roman" w:hAnsi="Times New Roman" w:cs="Times New Roman"/>
                <w:sz w:val="20"/>
                <w:szCs w:val="20"/>
              </w:rPr>
              <w:t>(Ω)</w:t>
            </w:r>
          </w:p>
        </w:tc>
        <w:tc>
          <w:tcPr>
            <w:tcW w:w="2365" w:type="dxa"/>
          </w:tcPr>
          <w:p w:rsidR="00647811" w:rsidRPr="00815106" w:rsidRDefault="00647811" w:rsidP="0095559F">
            <w:pPr>
              <w:jc w:val="center"/>
              <w:rPr>
                <w:rFonts w:ascii="Times New Roman" w:hAnsi="Times New Roman" w:cs="Times New Roman"/>
                <w:sz w:val="20"/>
                <w:szCs w:val="20"/>
              </w:rPr>
            </w:pPr>
            <w:proofErr w:type="spellStart"/>
            <w:r w:rsidRPr="00815106">
              <w:rPr>
                <w:rFonts w:ascii="Times New Roman" w:hAnsi="Times New Roman" w:cs="Times New Roman"/>
                <w:sz w:val="20"/>
                <w:szCs w:val="20"/>
              </w:rPr>
              <w:t>Z</w:t>
            </w:r>
            <w:r w:rsidRPr="00815106">
              <w:rPr>
                <w:rFonts w:ascii="Times New Roman" w:hAnsi="Times New Roman" w:cs="Times New Roman"/>
                <w:sz w:val="20"/>
                <w:szCs w:val="20"/>
                <w:vertAlign w:val="subscript"/>
              </w:rPr>
              <w:t>Solution</w:t>
            </w:r>
            <w:proofErr w:type="spellEnd"/>
            <w:r w:rsidRPr="00815106">
              <w:rPr>
                <w:rFonts w:ascii="Times New Roman" w:hAnsi="Times New Roman" w:cs="Times New Roman"/>
                <w:sz w:val="20"/>
                <w:szCs w:val="20"/>
                <w:vertAlign w:val="subscript"/>
              </w:rPr>
              <w:t xml:space="preserve"> </w:t>
            </w:r>
            <w:r w:rsidRPr="00815106">
              <w:rPr>
                <w:rFonts w:ascii="Times New Roman" w:hAnsi="Times New Roman" w:cs="Times New Roman"/>
                <w:sz w:val="20"/>
                <w:szCs w:val="20"/>
              </w:rPr>
              <w:t>(Ω)</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S (x10</w:t>
            </w:r>
            <w:r w:rsidRPr="00815106">
              <w:rPr>
                <w:rFonts w:ascii="Times New Roman" w:hAnsi="Times New Roman" w:cs="Times New Roman"/>
                <w:sz w:val="20"/>
                <w:szCs w:val="20"/>
                <w:vertAlign w:val="superscript"/>
              </w:rPr>
              <w:t>-2</w:t>
            </w:r>
            <w:r w:rsidRPr="00815106">
              <w:rPr>
                <w:rFonts w:ascii="Times New Roman" w:hAnsi="Times New Roman" w:cs="Times New Roman"/>
                <w:sz w:val="20"/>
                <w:szCs w:val="20"/>
              </w:rPr>
              <w:t>)</w:t>
            </w:r>
          </w:p>
        </w:tc>
      </w:tr>
      <w:tr w:rsidR="00647811" w:rsidRPr="00815106" w:rsidTr="0095559F">
        <w:tc>
          <w:tcPr>
            <w:tcW w:w="1342"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10 µm</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40654</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36579</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11.14</w:t>
            </w:r>
          </w:p>
        </w:tc>
      </w:tr>
      <w:tr w:rsidR="00647811" w:rsidRPr="00815106" w:rsidTr="0095559F">
        <w:tc>
          <w:tcPr>
            <w:tcW w:w="1342"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15 µm</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41421</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37433</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10.65</w:t>
            </w:r>
          </w:p>
        </w:tc>
      </w:tr>
      <w:tr w:rsidR="00647811" w:rsidRPr="00815106" w:rsidTr="0095559F">
        <w:tc>
          <w:tcPr>
            <w:tcW w:w="1342"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20 µm</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43098</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39265</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9.76</w:t>
            </w:r>
          </w:p>
        </w:tc>
      </w:tr>
      <w:tr w:rsidR="00647811" w:rsidRPr="00815106" w:rsidTr="0095559F">
        <w:tc>
          <w:tcPr>
            <w:tcW w:w="1342"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30 µm</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44737</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41788</w:t>
            </w:r>
          </w:p>
        </w:tc>
        <w:tc>
          <w:tcPr>
            <w:tcW w:w="2365" w:type="dxa"/>
          </w:tcPr>
          <w:p w:rsidR="00647811" w:rsidRPr="00815106" w:rsidRDefault="00647811" w:rsidP="0095559F">
            <w:pPr>
              <w:jc w:val="center"/>
              <w:rPr>
                <w:rFonts w:ascii="Times New Roman" w:hAnsi="Times New Roman" w:cs="Times New Roman"/>
                <w:sz w:val="20"/>
                <w:szCs w:val="20"/>
              </w:rPr>
            </w:pPr>
            <w:r w:rsidRPr="00815106">
              <w:rPr>
                <w:rFonts w:ascii="Times New Roman" w:hAnsi="Times New Roman" w:cs="Times New Roman"/>
                <w:sz w:val="20"/>
                <w:szCs w:val="20"/>
              </w:rPr>
              <w:t>7.06</w:t>
            </w:r>
          </w:p>
        </w:tc>
      </w:tr>
    </w:tbl>
    <w:p w:rsidR="0047123B" w:rsidRPr="00647811" w:rsidRDefault="0047123B" w:rsidP="00C25830">
      <w:pPr>
        <w:rPr>
          <w:rFonts w:ascii="Times New Roman" w:hAnsi="Times New Roman" w:cs="Times New Roman"/>
        </w:rPr>
      </w:pPr>
    </w:p>
    <w:p w:rsidR="0047123B" w:rsidRDefault="0047123B" w:rsidP="00C25830"/>
    <w:p w:rsidR="00647811" w:rsidRDefault="00647811" w:rsidP="00C25830"/>
    <w:p w:rsidR="00BA4F88" w:rsidRDefault="00BA4F88" w:rsidP="008F3EDA">
      <w:pPr>
        <w:tabs>
          <w:tab w:val="left" w:pos="5172"/>
        </w:tabs>
        <w:rPr>
          <w:rFonts w:ascii="Times New Roman" w:hAnsi="Times New Roman" w:cs="Times New Roman"/>
          <w:sz w:val="20"/>
          <w:szCs w:val="20"/>
        </w:rPr>
      </w:pPr>
    </w:p>
    <w:p w:rsidR="00EB2070" w:rsidRPr="0047123B" w:rsidRDefault="007C633C" w:rsidP="008F3EDA">
      <w:pPr>
        <w:tabs>
          <w:tab w:val="left" w:pos="5172"/>
        </w:tabs>
        <w:rPr>
          <w:rFonts w:ascii="Times New Roman" w:hAnsi="Times New Roman" w:cs="Times New Roman"/>
          <w:sz w:val="20"/>
          <w:szCs w:val="20"/>
        </w:rPr>
      </w:pPr>
      <w:r>
        <w:rPr>
          <w:rFonts w:ascii="Times New Roman" w:hAnsi="Times New Roman" w:cs="Times New Roman"/>
          <w:sz w:val="20"/>
          <w:szCs w:val="20"/>
        </w:rPr>
        <w:lastRenderedPageBreak/>
        <w:t>S.6</w:t>
      </w:r>
      <w:r w:rsidR="00823AF1" w:rsidRPr="0047123B">
        <w:rPr>
          <w:rFonts w:ascii="Times New Roman" w:hAnsi="Times New Roman" w:cs="Times New Roman"/>
          <w:sz w:val="20"/>
          <w:szCs w:val="20"/>
        </w:rPr>
        <w:t xml:space="preserve"> </w:t>
      </w:r>
      <w:r w:rsidR="0035771E" w:rsidRPr="0047123B">
        <w:rPr>
          <w:rFonts w:ascii="Times New Roman" w:hAnsi="Times New Roman" w:cs="Times New Roman"/>
          <w:sz w:val="20"/>
          <w:szCs w:val="20"/>
        </w:rPr>
        <w:t>Individual at Low</w:t>
      </w:r>
      <w:r w:rsidR="00823AF1" w:rsidRPr="0047123B">
        <w:rPr>
          <w:rFonts w:ascii="Times New Roman" w:hAnsi="Times New Roman" w:cs="Times New Roman"/>
          <w:sz w:val="20"/>
          <w:szCs w:val="20"/>
        </w:rPr>
        <w:t xml:space="preserve"> Frequency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951"/>
      </w:tblGrid>
      <w:tr w:rsidR="0035771E" w:rsidTr="00816C91">
        <w:tc>
          <w:tcPr>
            <w:tcW w:w="4788" w:type="dxa"/>
          </w:tcPr>
          <w:p w:rsidR="0035771E" w:rsidRDefault="0035771E" w:rsidP="008F3EDA">
            <w:pPr>
              <w:tabs>
                <w:tab w:val="left" w:pos="5172"/>
              </w:tabs>
            </w:pPr>
            <w:r>
              <w:rPr>
                <w:noProof/>
              </w:rPr>
              <w:drawing>
                <wp:inline distT="0" distB="0" distL="0" distR="0" wp14:anchorId="60B34683" wp14:editId="58A5030E">
                  <wp:extent cx="2702412" cy="219456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w RBC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2412" cy="2194560"/>
                          </a:xfrm>
                          <a:prstGeom prst="rect">
                            <a:avLst/>
                          </a:prstGeom>
                        </pic:spPr>
                      </pic:pic>
                    </a:graphicData>
                  </a:graphic>
                </wp:inline>
              </w:drawing>
            </w:r>
          </w:p>
        </w:tc>
        <w:tc>
          <w:tcPr>
            <w:tcW w:w="4788" w:type="dxa"/>
          </w:tcPr>
          <w:p w:rsidR="0035771E" w:rsidRDefault="0035771E" w:rsidP="008F3EDA">
            <w:pPr>
              <w:tabs>
                <w:tab w:val="left" w:pos="5172"/>
              </w:tabs>
            </w:pPr>
            <w:r>
              <w:rPr>
                <w:noProof/>
              </w:rPr>
              <w:drawing>
                <wp:inline distT="0" distB="0" distL="0" distR="0" wp14:anchorId="4D730667" wp14:editId="50C980D9">
                  <wp:extent cx="2949180" cy="21945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w 5um bea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49180" cy="2194560"/>
                          </a:xfrm>
                          <a:prstGeom prst="rect">
                            <a:avLst/>
                          </a:prstGeom>
                        </pic:spPr>
                      </pic:pic>
                    </a:graphicData>
                  </a:graphic>
                </wp:inline>
              </w:drawing>
            </w:r>
          </w:p>
        </w:tc>
      </w:tr>
      <w:tr w:rsidR="0035771E" w:rsidTr="00816C91">
        <w:tc>
          <w:tcPr>
            <w:tcW w:w="4788" w:type="dxa"/>
          </w:tcPr>
          <w:p w:rsidR="0035771E" w:rsidRDefault="0035771E" w:rsidP="008F3EDA">
            <w:pPr>
              <w:tabs>
                <w:tab w:val="left" w:pos="5172"/>
              </w:tabs>
            </w:pPr>
            <w:r>
              <w:rPr>
                <w:noProof/>
              </w:rPr>
              <w:drawing>
                <wp:inline distT="0" distB="0" distL="0" distR="0" wp14:anchorId="5D60E018" wp14:editId="6881DBB2">
                  <wp:extent cx="2821188" cy="21945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w 7um bea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21188" cy="2194560"/>
                          </a:xfrm>
                          <a:prstGeom prst="rect">
                            <a:avLst/>
                          </a:prstGeom>
                        </pic:spPr>
                      </pic:pic>
                    </a:graphicData>
                  </a:graphic>
                </wp:inline>
              </w:drawing>
            </w:r>
          </w:p>
        </w:tc>
        <w:tc>
          <w:tcPr>
            <w:tcW w:w="4788" w:type="dxa"/>
          </w:tcPr>
          <w:p w:rsidR="0035771E" w:rsidRDefault="000F4558" w:rsidP="008F3EDA">
            <w:pPr>
              <w:tabs>
                <w:tab w:val="left" w:pos="5172"/>
              </w:tabs>
            </w:pPr>
            <w:r>
              <w:rPr>
                <w:noProof/>
              </w:rPr>
              <w:drawing>
                <wp:inline distT="0" distB="0" distL="0" distR="0" wp14:anchorId="58D639D8" wp14:editId="2D75E8D0">
                  <wp:extent cx="3023412" cy="2194560"/>
                  <wp:effectExtent l="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w 10um bead_ne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23412" cy="2194560"/>
                          </a:xfrm>
                          <a:prstGeom prst="rect">
                            <a:avLst/>
                          </a:prstGeom>
                        </pic:spPr>
                      </pic:pic>
                    </a:graphicData>
                  </a:graphic>
                </wp:inline>
              </w:drawing>
            </w:r>
          </w:p>
        </w:tc>
      </w:tr>
      <w:tr w:rsidR="0035771E" w:rsidRPr="00C64723" w:rsidTr="00816C91">
        <w:tc>
          <w:tcPr>
            <w:tcW w:w="9576" w:type="dxa"/>
            <w:gridSpan w:val="2"/>
          </w:tcPr>
          <w:p w:rsidR="0035771E" w:rsidRPr="00C64723" w:rsidRDefault="0035771E" w:rsidP="0035771E">
            <w:pPr>
              <w:tabs>
                <w:tab w:val="left" w:pos="5172"/>
              </w:tabs>
              <w:rPr>
                <w:rFonts w:ascii="Times New Roman" w:hAnsi="Times New Roman" w:cs="Times New Roman"/>
                <w:sz w:val="20"/>
                <w:szCs w:val="20"/>
              </w:rPr>
            </w:pPr>
            <w:r w:rsidRPr="00C64723">
              <w:rPr>
                <w:rFonts w:ascii="Times New Roman" w:hAnsi="Times New Roman" w:cs="Times New Roman"/>
                <w:sz w:val="20"/>
                <w:szCs w:val="20"/>
              </w:rPr>
              <w:t xml:space="preserve">Figure </w:t>
            </w:r>
            <w:r w:rsidR="007C633C">
              <w:rPr>
                <w:rFonts w:ascii="Times New Roman" w:hAnsi="Times New Roman" w:cs="Times New Roman"/>
                <w:sz w:val="20"/>
                <w:szCs w:val="20"/>
              </w:rPr>
              <w:t>S6</w:t>
            </w:r>
            <w:r w:rsidRPr="00C64723">
              <w:rPr>
                <w:rFonts w:ascii="Times New Roman" w:hAnsi="Times New Roman" w:cs="Times New Roman"/>
                <w:sz w:val="20"/>
                <w:szCs w:val="20"/>
              </w:rPr>
              <w:t>: Impedance mea</w:t>
            </w:r>
            <w:r w:rsidR="00C64723">
              <w:rPr>
                <w:rFonts w:ascii="Times New Roman" w:hAnsi="Times New Roman" w:cs="Times New Roman"/>
                <w:sz w:val="20"/>
                <w:szCs w:val="20"/>
              </w:rPr>
              <w:t xml:space="preserve">surement of </w:t>
            </w:r>
            <w:r w:rsidR="0054483B">
              <w:rPr>
                <w:rFonts w:ascii="Times New Roman" w:hAnsi="Times New Roman" w:cs="Times New Roman"/>
                <w:sz w:val="20"/>
                <w:szCs w:val="20"/>
              </w:rPr>
              <w:t xml:space="preserve">the </w:t>
            </w:r>
            <w:r w:rsidR="00C64723">
              <w:rPr>
                <w:rFonts w:ascii="Times New Roman" w:hAnsi="Times New Roman" w:cs="Times New Roman"/>
                <w:sz w:val="20"/>
                <w:szCs w:val="20"/>
              </w:rPr>
              <w:t xml:space="preserve">individual particle </w:t>
            </w:r>
            <w:r w:rsidR="00C64723" w:rsidRPr="00C64723">
              <w:rPr>
                <w:rFonts w:ascii="Times New Roman" w:hAnsi="Times New Roman" w:cs="Times New Roman"/>
                <w:sz w:val="20"/>
                <w:szCs w:val="20"/>
              </w:rPr>
              <w:t xml:space="preserve">(n~50) </w:t>
            </w:r>
            <w:r w:rsidRPr="00C64723">
              <w:rPr>
                <w:rFonts w:ascii="Times New Roman" w:hAnsi="Times New Roman" w:cs="Times New Roman"/>
                <w:sz w:val="20"/>
                <w:szCs w:val="20"/>
              </w:rPr>
              <w:t xml:space="preserve">at low frequency (100 kHz) (a) RBCs (b) 5 µm </w:t>
            </w:r>
            <w:r w:rsidR="000C5FFA">
              <w:rPr>
                <w:rFonts w:ascii="Times New Roman" w:hAnsi="Times New Roman" w:cs="Times New Roman"/>
                <w:sz w:val="20"/>
                <w:szCs w:val="20"/>
              </w:rPr>
              <w:t xml:space="preserve">diameter </w:t>
            </w:r>
            <w:proofErr w:type="spellStart"/>
            <w:r w:rsidRPr="00C64723">
              <w:rPr>
                <w:rFonts w:ascii="Times New Roman" w:hAnsi="Times New Roman" w:cs="Times New Roman"/>
                <w:sz w:val="20"/>
                <w:szCs w:val="20"/>
              </w:rPr>
              <w:t>microbead</w:t>
            </w:r>
            <w:proofErr w:type="spellEnd"/>
            <w:r w:rsidRPr="00C64723">
              <w:rPr>
                <w:rFonts w:ascii="Times New Roman" w:hAnsi="Times New Roman" w:cs="Times New Roman"/>
                <w:sz w:val="20"/>
                <w:szCs w:val="20"/>
              </w:rPr>
              <w:t xml:space="preserve"> (c) 7 µm </w:t>
            </w:r>
            <w:r w:rsidR="000C5FFA">
              <w:rPr>
                <w:rFonts w:ascii="Times New Roman" w:hAnsi="Times New Roman" w:cs="Times New Roman"/>
                <w:sz w:val="20"/>
                <w:szCs w:val="20"/>
              </w:rPr>
              <w:t xml:space="preserve">diameter </w:t>
            </w:r>
            <w:proofErr w:type="spellStart"/>
            <w:r w:rsidRPr="00C64723">
              <w:rPr>
                <w:rFonts w:ascii="Times New Roman" w:hAnsi="Times New Roman" w:cs="Times New Roman"/>
                <w:sz w:val="20"/>
                <w:szCs w:val="20"/>
              </w:rPr>
              <w:t>microbead</w:t>
            </w:r>
            <w:proofErr w:type="spellEnd"/>
            <w:r w:rsidRPr="00C64723">
              <w:rPr>
                <w:rFonts w:ascii="Times New Roman" w:hAnsi="Times New Roman" w:cs="Times New Roman"/>
                <w:sz w:val="20"/>
                <w:szCs w:val="20"/>
              </w:rPr>
              <w:t xml:space="preserve"> (d) 10 µm </w:t>
            </w:r>
            <w:r w:rsidR="000C5FFA">
              <w:rPr>
                <w:rFonts w:ascii="Times New Roman" w:hAnsi="Times New Roman" w:cs="Times New Roman"/>
                <w:sz w:val="20"/>
                <w:szCs w:val="20"/>
              </w:rPr>
              <w:t xml:space="preserve">diameter </w:t>
            </w:r>
            <w:proofErr w:type="spellStart"/>
            <w:r w:rsidRPr="00C64723">
              <w:rPr>
                <w:rFonts w:ascii="Times New Roman" w:hAnsi="Times New Roman" w:cs="Times New Roman"/>
                <w:sz w:val="20"/>
                <w:szCs w:val="20"/>
              </w:rPr>
              <w:t>microbead</w:t>
            </w:r>
            <w:proofErr w:type="spellEnd"/>
          </w:p>
        </w:tc>
      </w:tr>
    </w:tbl>
    <w:p w:rsidR="0035771E" w:rsidRDefault="0035771E" w:rsidP="008F3EDA">
      <w:pPr>
        <w:tabs>
          <w:tab w:val="left" w:pos="5172"/>
        </w:tabs>
      </w:pPr>
    </w:p>
    <w:p w:rsidR="004D1B14" w:rsidRDefault="004D1B14" w:rsidP="008F3EDA">
      <w:pPr>
        <w:tabs>
          <w:tab w:val="left" w:pos="5172"/>
        </w:tabs>
      </w:pPr>
    </w:p>
    <w:p w:rsidR="009744F9" w:rsidRDefault="009744F9" w:rsidP="008F3EDA">
      <w:pPr>
        <w:tabs>
          <w:tab w:val="left" w:pos="5172"/>
        </w:tabs>
      </w:pPr>
    </w:p>
    <w:p w:rsidR="00815106" w:rsidRDefault="00815106" w:rsidP="008F3EDA">
      <w:pPr>
        <w:tabs>
          <w:tab w:val="left" w:pos="5172"/>
        </w:tabs>
      </w:pPr>
    </w:p>
    <w:p w:rsidR="00815106" w:rsidRDefault="00815106" w:rsidP="008F3EDA">
      <w:pPr>
        <w:tabs>
          <w:tab w:val="left" w:pos="5172"/>
        </w:tabs>
      </w:pPr>
    </w:p>
    <w:p w:rsidR="00815106" w:rsidRDefault="00815106" w:rsidP="008F3EDA">
      <w:pPr>
        <w:tabs>
          <w:tab w:val="left" w:pos="5172"/>
        </w:tabs>
      </w:pPr>
    </w:p>
    <w:p w:rsidR="00815106" w:rsidRDefault="00815106" w:rsidP="008F3EDA">
      <w:pPr>
        <w:tabs>
          <w:tab w:val="left" w:pos="5172"/>
        </w:tabs>
      </w:pPr>
    </w:p>
    <w:p w:rsidR="00815106" w:rsidRDefault="00815106" w:rsidP="008F3EDA">
      <w:pPr>
        <w:tabs>
          <w:tab w:val="left" w:pos="5172"/>
        </w:tabs>
      </w:pPr>
    </w:p>
    <w:p w:rsidR="00815106" w:rsidRDefault="00815106" w:rsidP="008F3EDA">
      <w:pPr>
        <w:tabs>
          <w:tab w:val="left" w:pos="5172"/>
        </w:tabs>
      </w:pPr>
    </w:p>
    <w:p w:rsidR="00815106" w:rsidRDefault="00815106" w:rsidP="008F3EDA">
      <w:pPr>
        <w:tabs>
          <w:tab w:val="left" w:pos="5172"/>
        </w:tabs>
      </w:pPr>
    </w:p>
    <w:p w:rsidR="004D1B14" w:rsidRPr="0047123B" w:rsidRDefault="007C633C" w:rsidP="008F3EDA">
      <w:pPr>
        <w:tabs>
          <w:tab w:val="left" w:pos="5172"/>
        </w:tabs>
        <w:rPr>
          <w:rFonts w:ascii="Times New Roman" w:hAnsi="Times New Roman" w:cs="Times New Roman"/>
          <w:sz w:val="20"/>
          <w:szCs w:val="20"/>
        </w:rPr>
      </w:pPr>
      <w:r>
        <w:rPr>
          <w:rFonts w:ascii="Times New Roman" w:hAnsi="Times New Roman" w:cs="Times New Roman"/>
          <w:sz w:val="20"/>
          <w:szCs w:val="20"/>
        </w:rPr>
        <w:lastRenderedPageBreak/>
        <w:t>S.7</w:t>
      </w:r>
      <w:r w:rsidR="001F0C5E" w:rsidRPr="0047123B">
        <w:rPr>
          <w:rFonts w:ascii="Times New Roman" w:hAnsi="Times New Roman" w:cs="Times New Roman"/>
          <w:sz w:val="20"/>
          <w:szCs w:val="20"/>
        </w:rPr>
        <w:t xml:space="preserve"> I</w:t>
      </w:r>
      <w:r w:rsidR="004D1B14" w:rsidRPr="0047123B">
        <w:rPr>
          <w:rFonts w:ascii="Times New Roman" w:hAnsi="Times New Roman" w:cs="Times New Roman"/>
          <w:sz w:val="20"/>
          <w:szCs w:val="20"/>
        </w:rPr>
        <w:t xml:space="preserve">ndividual at high frequency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887"/>
      </w:tblGrid>
      <w:tr w:rsidR="000F4558" w:rsidTr="00816C91">
        <w:tc>
          <w:tcPr>
            <w:tcW w:w="4788" w:type="dxa"/>
          </w:tcPr>
          <w:p w:rsidR="004D1B14" w:rsidRDefault="009744F9" w:rsidP="009744F9">
            <w:pPr>
              <w:tabs>
                <w:tab w:val="left" w:pos="5172"/>
              </w:tabs>
              <w:jc w:val="center"/>
            </w:pPr>
            <w:r>
              <w:rPr>
                <w:noProof/>
              </w:rPr>
              <w:drawing>
                <wp:inline distT="0" distB="0" distL="0" distR="0" wp14:anchorId="1F714922" wp14:editId="580F6176">
                  <wp:extent cx="2697444" cy="219456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 RBC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97444" cy="2194560"/>
                          </a:xfrm>
                          <a:prstGeom prst="rect">
                            <a:avLst/>
                          </a:prstGeom>
                        </pic:spPr>
                      </pic:pic>
                    </a:graphicData>
                  </a:graphic>
                </wp:inline>
              </w:drawing>
            </w:r>
          </w:p>
        </w:tc>
        <w:tc>
          <w:tcPr>
            <w:tcW w:w="4788" w:type="dxa"/>
          </w:tcPr>
          <w:p w:rsidR="004D1B14" w:rsidRDefault="000F4558" w:rsidP="009744F9">
            <w:pPr>
              <w:tabs>
                <w:tab w:val="left" w:pos="5172"/>
              </w:tabs>
              <w:jc w:val="center"/>
            </w:pPr>
            <w:r>
              <w:rPr>
                <w:noProof/>
              </w:rPr>
              <w:drawing>
                <wp:inline distT="0" distB="0" distL="0" distR="0" wp14:anchorId="611AC9FA" wp14:editId="5BC35B0E">
                  <wp:extent cx="2981724" cy="219456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 5um bead_ne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81724" cy="2194560"/>
                          </a:xfrm>
                          <a:prstGeom prst="rect">
                            <a:avLst/>
                          </a:prstGeom>
                        </pic:spPr>
                      </pic:pic>
                    </a:graphicData>
                  </a:graphic>
                </wp:inline>
              </w:drawing>
            </w:r>
          </w:p>
        </w:tc>
      </w:tr>
      <w:tr w:rsidR="000F4558" w:rsidTr="00816C91">
        <w:tc>
          <w:tcPr>
            <w:tcW w:w="4788" w:type="dxa"/>
          </w:tcPr>
          <w:p w:rsidR="004D1B14" w:rsidRDefault="000F4558" w:rsidP="009744F9">
            <w:pPr>
              <w:tabs>
                <w:tab w:val="left" w:pos="5172"/>
              </w:tabs>
              <w:jc w:val="center"/>
            </w:pPr>
            <w:r>
              <w:rPr>
                <w:noProof/>
              </w:rPr>
              <w:drawing>
                <wp:inline distT="0" distB="0" distL="0" distR="0" wp14:anchorId="7088FCC1" wp14:editId="52555BB1">
                  <wp:extent cx="2864068" cy="21945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 7um bead_ne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64068" cy="2194560"/>
                          </a:xfrm>
                          <a:prstGeom prst="rect">
                            <a:avLst/>
                          </a:prstGeom>
                        </pic:spPr>
                      </pic:pic>
                    </a:graphicData>
                  </a:graphic>
                </wp:inline>
              </w:drawing>
            </w:r>
          </w:p>
        </w:tc>
        <w:tc>
          <w:tcPr>
            <w:tcW w:w="4788" w:type="dxa"/>
          </w:tcPr>
          <w:p w:rsidR="004D1B14" w:rsidRDefault="000F4558" w:rsidP="009744F9">
            <w:pPr>
              <w:tabs>
                <w:tab w:val="left" w:pos="5172"/>
              </w:tabs>
              <w:jc w:val="center"/>
            </w:pPr>
            <w:r>
              <w:rPr>
                <w:noProof/>
              </w:rPr>
              <w:drawing>
                <wp:inline distT="0" distB="0" distL="0" distR="0" wp14:anchorId="2FAB7E94" wp14:editId="6123AF1B">
                  <wp:extent cx="2790529" cy="21945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 10um bead_new.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90529" cy="2194560"/>
                          </a:xfrm>
                          <a:prstGeom prst="rect">
                            <a:avLst/>
                          </a:prstGeom>
                        </pic:spPr>
                      </pic:pic>
                    </a:graphicData>
                  </a:graphic>
                </wp:inline>
              </w:drawing>
            </w:r>
          </w:p>
        </w:tc>
      </w:tr>
      <w:tr w:rsidR="004D1B14" w:rsidTr="00816C91">
        <w:tc>
          <w:tcPr>
            <w:tcW w:w="9576" w:type="dxa"/>
            <w:gridSpan w:val="2"/>
          </w:tcPr>
          <w:p w:rsidR="004D1B14" w:rsidRPr="00C64723" w:rsidRDefault="004D1B14" w:rsidP="007C633C">
            <w:pPr>
              <w:tabs>
                <w:tab w:val="left" w:pos="5172"/>
              </w:tabs>
              <w:rPr>
                <w:rFonts w:ascii="Times New Roman" w:hAnsi="Times New Roman" w:cs="Times New Roman"/>
                <w:sz w:val="20"/>
                <w:szCs w:val="20"/>
              </w:rPr>
            </w:pPr>
            <w:r w:rsidRPr="00C64723">
              <w:rPr>
                <w:rFonts w:ascii="Times New Roman" w:hAnsi="Times New Roman" w:cs="Times New Roman"/>
                <w:sz w:val="20"/>
                <w:szCs w:val="20"/>
              </w:rPr>
              <w:t>Figure</w:t>
            </w:r>
            <w:r w:rsidR="009B38A5">
              <w:rPr>
                <w:rFonts w:ascii="Times New Roman" w:hAnsi="Times New Roman" w:cs="Times New Roman"/>
                <w:sz w:val="20"/>
                <w:szCs w:val="20"/>
              </w:rPr>
              <w:t xml:space="preserve"> S</w:t>
            </w:r>
            <w:r w:rsidR="007C633C">
              <w:rPr>
                <w:rFonts w:ascii="Times New Roman" w:hAnsi="Times New Roman" w:cs="Times New Roman"/>
                <w:sz w:val="20"/>
                <w:szCs w:val="20"/>
              </w:rPr>
              <w:t>7</w:t>
            </w:r>
            <w:r w:rsidRPr="00C64723">
              <w:rPr>
                <w:rFonts w:ascii="Times New Roman" w:hAnsi="Times New Roman" w:cs="Times New Roman"/>
                <w:sz w:val="20"/>
                <w:szCs w:val="20"/>
              </w:rPr>
              <w:t xml:space="preserve">: Impedance measurement of </w:t>
            </w:r>
            <w:r w:rsidR="0054483B">
              <w:rPr>
                <w:rFonts w:ascii="Times New Roman" w:hAnsi="Times New Roman" w:cs="Times New Roman"/>
                <w:sz w:val="20"/>
                <w:szCs w:val="20"/>
              </w:rPr>
              <w:t xml:space="preserve">the </w:t>
            </w:r>
            <w:r w:rsidRPr="00C64723">
              <w:rPr>
                <w:rFonts w:ascii="Times New Roman" w:hAnsi="Times New Roman" w:cs="Times New Roman"/>
                <w:sz w:val="20"/>
                <w:szCs w:val="20"/>
              </w:rPr>
              <w:t>individual particle</w:t>
            </w:r>
            <w:r w:rsidR="00C64723" w:rsidRPr="00C64723">
              <w:rPr>
                <w:rFonts w:ascii="Times New Roman" w:hAnsi="Times New Roman" w:cs="Times New Roman"/>
                <w:sz w:val="20"/>
                <w:szCs w:val="20"/>
              </w:rPr>
              <w:t xml:space="preserve"> (</w:t>
            </w:r>
            <w:r w:rsidR="00C64723">
              <w:rPr>
                <w:rFonts w:ascii="Times New Roman" w:hAnsi="Times New Roman" w:cs="Times New Roman"/>
                <w:sz w:val="20"/>
                <w:szCs w:val="20"/>
              </w:rPr>
              <w:t>n</w:t>
            </w:r>
            <w:r w:rsidR="00C64723" w:rsidRPr="00C64723">
              <w:rPr>
                <w:rFonts w:ascii="Times New Roman" w:hAnsi="Times New Roman" w:cs="Times New Roman"/>
                <w:sz w:val="20"/>
                <w:szCs w:val="20"/>
              </w:rPr>
              <w:t xml:space="preserve">~50) </w:t>
            </w:r>
            <w:r w:rsidRPr="00C64723">
              <w:rPr>
                <w:rFonts w:ascii="Times New Roman" w:hAnsi="Times New Roman" w:cs="Times New Roman"/>
                <w:sz w:val="20"/>
                <w:szCs w:val="20"/>
              </w:rPr>
              <w:t>at high frequency (2 MHz) (a) RBCs (b) 5 µm</w:t>
            </w:r>
            <w:r w:rsidR="000F3028">
              <w:rPr>
                <w:rFonts w:ascii="Times New Roman" w:hAnsi="Times New Roman" w:cs="Times New Roman"/>
                <w:sz w:val="20"/>
                <w:szCs w:val="20"/>
              </w:rPr>
              <w:t xml:space="preserve"> diameter</w:t>
            </w:r>
            <w:r w:rsidRPr="00C64723">
              <w:rPr>
                <w:rFonts w:ascii="Times New Roman" w:hAnsi="Times New Roman" w:cs="Times New Roman"/>
                <w:sz w:val="20"/>
                <w:szCs w:val="20"/>
              </w:rPr>
              <w:t xml:space="preserve"> </w:t>
            </w:r>
            <w:proofErr w:type="spellStart"/>
            <w:r w:rsidRPr="00C64723">
              <w:rPr>
                <w:rFonts w:ascii="Times New Roman" w:hAnsi="Times New Roman" w:cs="Times New Roman"/>
                <w:sz w:val="20"/>
                <w:szCs w:val="20"/>
              </w:rPr>
              <w:t>microbead</w:t>
            </w:r>
            <w:proofErr w:type="spellEnd"/>
            <w:r w:rsidRPr="00C64723">
              <w:rPr>
                <w:rFonts w:ascii="Times New Roman" w:hAnsi="Times New Roman" w:cs="Times New Roman"/>
                <w:sz w:val="20"/>
                <w:szCs w:val="20"/>
              </w:rPr>
              <w:t xml:space="preserve"> (c) 7 µm</w:t>
            </w:r>
            <w:r w:rsidR="000F3028">
              <w:rPr>
                <w:rFonts w:ascii="Times New Roman" w:hAnsi="Times New Roman" w:cs="Times New Roman"/>
                <w:sz w:val="20"/>
                <w:szCs w:val="20"/>
              </w:rPr>
              <w:t xml:space="preserve"> diameter</w:t>
            </w:r>
            <w:r w:rsidRPr="00C64723">
              <w:rPr>
                <w:rFonts w:ascii="Times New Roman" w:hAnsi="Times New Roman" w:cs="Times New Roman"/>
                <w:sz w:val="20"/>
                <w:szCs w:val="20"/>
              </w:rPr>
              <w:t xml:space="preserve"> </w:t>
            </w:r>
            <w:proofErr w:type="spellStart"/>
            <w:r w:rsidRPr="00C64723">
              <w:rPr>
                <w:rFonts w:ascii="Times New Roman" w:hAnsi="Times New Roman" w:cs="Times New Roman"/>
                <w:sz w:val="20"/>
                <w:szCs w:val="20"/>
              </w:rPr>
              <w:t>microbead</w:t>
            </w:r>
            <w:proofErr w:type="spellEnd"/>
            <w:r w:rsidRPr="00C64723">
              <w:rPr>
                <w:rFonts w:ascii="Times New Roman" w:hAnsi="Times New Roman" w:cs="Times New Roman"/>
                <w:sz w:val="20"/>
                <w:szCs w:val="20"/>
              </w:rPr>
              <w:t xml:space="preserve"> (d) 10 µm</w:t>
            </w:r>
            <w:r w:rsidR="000F3028">
              <w:rPr>
                <w:rFonts w:ascii="Times New Roman" w:hAnsi="Times New Roman" w:cs="Times New Roman"/>
                <w:sz w:val="20"/>
                <w:szCs w:val="20"/>
              </w:rPr>
              <w:t xml:space="preserve"> diameter</w:t>
            </w:r>
            <w:r w:rsidRPr="00C64723">
              <w:rPr>
                <w:rFonts w:ascii="Times New Roman" w:hAnsi="Times New Roman" w:cs="Times New Roman"/>
                <w:sz w:val="20"/>
                <w:szCs w:val="20"/>
              </w:rPr>
              <w:t xml:space="preserve"> </w:t>
            </w:r>
            <w:proofErr w:type="spellStart"/>
            <w:r w:rsidRPr="00C64723">
              <w:rPr>
                <w:rFonts w:ascii="Times New Roman" w:hAnsi="Times New Roman" w:cs="Times New Roman"/>
                <w:sz w:val="20"/>
                <w:szCs w:val="20"/>
              </w:rPr>
              <w:t>microbead</w:t>
            </w:r>
            <w:proofErr w:type="spellEnd"/>
            <w:r w:rsidR="00150DB2">
              <w:rPr>
                <w:rFonts w:ascii="Times New Roman" w:hAnsi="Times New Roman" w:cs="Times New Roman"/>
                <w:sz w:val="20"/>
                <w:szCs w:val="20"/>
              </w:rPr>
              <w:t>.</w:t>
            </w:r>
          </w:p>
        </w:tc>
      </w:tr>
    </w:tbl>
    <w:p w:rsidR="00816C91" w:rsidRDefault="00816C91" w:rsidP="008F3EDA">
      <w:pPr>
        <w:tabs>
          <w:tab w:val="left" w:pos="5172"/>
        </w:tabs>
      </w:pPr>
    </w:p>
    <w:p w:rsidR="004E376E" w:rsidRPr="0047123B" w:rsidRDefault="004E376E" w:rsidP="004E376E">
      <w:pPr>
        <w:tabs>
          <w:tab w:val="left" w:pos="5172"/>
        </w:tabs>
        <w:rPr>
          <w:rFonts w:ascii="Times New Roman" w:hAnsi="Times New Roman" w:cs="Times New Roman"/>
          <w:sz w:val="20"/>
          <w:szCs w:val="20"/>
        </w:rPr>
      </w:pPr>
      <w:r>
        <w:rPr>
          <w:rFonts w:ascii="Times New Roman" w:hAnsi="Times New Roman" w:cs="Times New Roman"/>
          <w:sz w:val="20"/>
          <w:szCs w:val="20"/>
        </w:rPr>
        <w:t>S.8</w:t>
      </w:r>
      <w:r w:rsidRPr="0047123B">
        <w:rPr>
          <w:rFonts w:ascii="Times New Roman" w:hAnsi="Times New Roman" w:cs="Times New Roman"/>
          <w:sz w:val="20"/>
          <w:szCs w:val="20"/>
        </w:rPr>
        <w:t xml:space="preserve"> </w:t>
      </w:r>
      <w:r w:rsidR="00150DB2">
        <w:rPr>
          <w:rFonts w:ascii="Times New Roman" w:hAnsi="Times New Roman" w:cs="Times New Roman"/>
          <w:sz w:val="20"/>
          <w:szCs w:val="20"/>
        </w:rPr>
        <w:t xml:space="preserve">RBC at sensing region </w:t>
      </w:r>
      <w:r w:rsidRPr="0047123B">
        <w:rPr>
          <w:rFonts w:ascii="Times New Roman" w:hAnsi="Times New Roman" w:cs="Times New Roman"/>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150DB2" w:rsidTr="0095559F">
        <w:tc>
          <w:tcPr>
            <w:tcW w:w="9061" w:type="dxa"/>
          </w:tcPr>
          <w:p w:rsidR="00150DB2" w:rsidRDefault="00115736" w:rsidP="0095559F">
            <w:pPr>
              <w:jc w:val="center"/>
              <w:rPr>
                <w:color w:val="000000" w:themeColor="text1"/>
                <w:sz w:val="18"/>
                <w:szCs w:val="18"/>
              </w:rPr>
            </w:pPr>
            <w:r>
              <w:rPr>
                <w:noProof/>
              </w:rPr>
              <w:drawing>
                <wp:inline distT="0" distB="0" distL="0" distR="0" wp14:anchorId="3101999E" wp14:editId="256F1113">
                  <wp:extent cx="1645920" cy="2233930"/>
                  <wp:effectExtent l="0" t="0" r="0" b="0"/>
                  <wp:docPr id="9"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645920" cy="2233930"/>
                          </a:xfrm>
                          <a:prstGeom prst="rect">
                            <a:avLst/>
                          </a:prstGeom>
                        </pic:spPr>
                      </pic:pic>
                    </a:graphicData>
                  </a:graphic>
                </wp:inline>
              </w:drawing>
            </w:r>
          </w:p>
        </w:tc>
      </w:tr>
      <w:tr w:rsidR="00150DB2" w:rsidTr="0095559F">
        <w:tc>
          <w:tcPr>
            <w:tcW w:w="9061" w:type="dxa"/>
          </w:tcPr>
          <w:p w:rsidR="00150DB2" w:rsidRDefault="00150DB2" w:rsidP="0095559F">
            <w:pPr>
              <w:rPr>
                <w:color w:val="000000" w:themeColor="text1"/>
                <w:sz w:val="18"/>
                <w:szCs w:val="18"/>
              </w:rPr>
            </w:pPr>
            <w:r w:rsidRPr="009A45CD">
              <w:rPr>
                <w:rFonts w:ascii="Times New Roman" w:hAnsi="Times New Roman" w:cs="Times New Roman"/>
                <w:color w:val="000000" w:themeColor="text1"/>
                <w:sz w:val="20"/>
                <w:szCs w:val="20"/>
              </w:rPr>
              <w:t xml:space="preserve">Figure </w:t>
            </w:r>
            <w:r w:rsidR="00F6789E">
              <w:rPr>
                <w:rFonts w:ascii="Times New Roman" w:hAnsi="Times New Roman" w:cs="Times New Roman"/>
                <w:color w:val="000000" w:themeColor="text1"/>
                <w:sz w:val="20"/>
                <w:szCs w:val="20"/>
              </w:rPr>
              <w:t>S</w:t>
            </w:r>
            <w:r w:rsidRPr="009A45CD">
              <w:rPr>
                <w:rFonts w:ascii="Times New Roman" w:hAnsi="Times New Roman" w:cs="Times New Roman"/>
                <w:color w:val="000000" w:themeColor="text1"/>
                <w:sz w:val="20"/>
                <w:szCs w:val="20"/>
              </w:rPr>
              <w:t>8: Image of the presence of single RBC at sensing area.</w:t>
            </w:r>
          </w:p>
        </w:tc>
      </w:tr>
    </w:tbl>
    <w:p w:rsidR="00A46211" w:rsidRDefault="00A46211" w:rsidP="008F3EDA">
      <w:pPr>
        <w:tabs>
          <w:tab w:val="left" w:pos="5172"/>
        </w:tabs>
      </w:pPr>
    </w:p>
    <w:p w:rsidR="006322EB" w:rsidRPr="0047123B" w:rsidRDefault="006322EB" w:rsidP="006322EB">
      <w:pPr>
        <w:tabs>
          <w:tab w:val="left" w:pos="5172"/>
        </w:tabs>
        <w:rPr>
          <w:rFonts w:ascii="Times New Roman" w:hAnsi="Times New Roman" w:cs="Times New Roman"/>
          <w:sz w:val="20"/>
          <w:szCs w:val="20"/>
        </w:rPr>
      </w:pPr>
      <w:r w:rsidRPr="0047123B">
        <w:rPr>
          <w:rFonts w:ascii="Times New Roman" w:hAnsi="Times New Roman" w:cs="Times New Roman"/>
          <w:sz w:val="20"/>
          <w:szCs w:val="20"/>
        </w:rPr>
        <w:lastRenderedPageBreak/>
        <w:t>S.</w:t>
      </w:r>
      <w:r>
        <w:rPr>
          <w:rFonts w:ascii="Times New Roman" w:hAnsi="Times New Roman" w:cs="Times New Roman"/>
          <w:sz w:val="20"/>
          <w:szCs w:val="20"/>
        </w:rPr>
        <w:t>9</w:t>
      </w:r>
      <w:r w:rsidRPr="0047123B">
        <w:rPr>
          <w:rFonts w:ascii="Times New Roman" w:hAnsi="Times New Roman" w:cs="Times New Roman"/>
          <w:sz w:val="20"/>
          <w:szCs w:val="20"/>
        </w:rPr>
        <w:t xml:space="preserve"> </w:t>
      </w:r>
      <w:r w:rsidRPr="00A763B8">
        <w:rPr>
          <w:rFonts w:ascii="Times New Roman" w:hAnsi="Times New Roman" w:cs="Times New Roman"/>
          <w:sz w:val="20"/>
          <w:szCs w:val="20"/>
        </w:rPr>
        <w:t>Threshold for accepted single RBC based on impedance change</w:t>
      </w:r>
      <w:r w:rsidRPr="0047123B">
        <w:rPr>
          <w:rFonts w:ascii="Times New Roman" w:hAnsi="Times New Roman" w:cs="Times New Roman"/>
          <w:sz w:val="20"/>
          <w:szCs w:val="20"/>
        </w:rPr>
        <w:t xml:space="preserve"> </w:t>
      </w:r>
      <w:r w:rsidR="00BB52B3" w:rsidRPr="00A763B8">
        <w:rPr>
          <w:rFonts w:ascii="Times New Roman" w:hAnsi="Times New Roman" w:cs="Times New Roman"/>
          <w:sz w:val="20"/>
          <w:szCs w:val="20"/>
        </w:rPr>
        <w:t>(</w:t>
      </w:r>
      <w:r w:rsidR="00BB52B3" w:rsidRPr="00BF5AF2">
        <w:rPr>
          <w:rFonts w:ascii="Times New Roman" w:hAnsi="Times New Roman" w:cs="Times New Roman"/>
          <w:i/>
          <w:sz w:val="20"/>
          <w:szCs w:val="20"/>
        </w:rPr>
        <w:t>ΔZ</w:t>
      </w:r>
      <w:r w:rsidR="00BB52B3" w:rsidRPr="00A763B8">
        <w:rPr>
          <w:rFonts w:ascii="Times New Roman" w:hAnsi="Times New Roman" w:cs="Times New Roman"/>
          <w:sz w:val="20"/>
          <w:szCs w:val="20"/>
        </w:rPr>
        <w:t>)</w:t>
      </w:r>
    </w:p>
    <w:p w:rsidR="00117CC7" w:rsidRDefault="00117CC7" w:rsidP="008F3EDA">
      <w:pPr>
        <w:tabs>
          <w:tab w:val="left" w:pos="5172"/>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818"/>
      </w:tblGrid>
      <w:tr w:rsidR="00474D93" w:rsidTr="00AF5078">
        <w:tc>
          <w:tcPr>
            <w:tcW w:w="4758" w:type="dxa"/>
          </w:tcPr>
          <w:p w:rsidR="00117CC7" w:rsidRDefault="00DC3DFC" w:rsidP="008F3EDA">
            <w:pPr>
              <w:tabs>
                <w:tab w:val="left" w:pos="5172"/>
              </w:tabs>
            </w:pPr>
            <w:r>
              <w:rPr>
                <w:noProof/>
              </w:rPr>
              <mc:AlternateContent>
                <mc:Choice Requires="wps">
                  <w:drawing>
                    <wp:anchor distT="0" distB="0" distL="114300" distR="114300" simplePos="0" relativeHeight="251659264" behindDoc="0" locked="0" layoutInCell="1" allowOverlap="1" wp14:anchorId="30EED51A" wp14:editId="5572200F">
                      <wp:simplePos x="0" y="0"/>
                      <wp:positionH relativeFrom="column">
                        <wp:posOffset>-48205</wp:posOffset>
                      </wp:positionH>
                      <wp:positionV relativeFrom="paragraph">
                        <wp:posOffset>56708</wp:posOffset>
                      </wp:positionV>
                      <wp:extent cx="413468" cy="286247"/>
                      <wp:effectExtent l="0" t="0" r="0" b="0"/>
                      <wp:wrapNone/>
                      <wp:docPr id="17" name="Rectangle 17"/>
                      <wp:cNvGraphicFramePr/>
                      <a:graphic xmlns:a="http://schemas.openxmlformats.org/drawingml/2006/main">
                        <a:graphicData uri="http://schemas.microsoft.com/office/word/2010/wordprocessingShape">
                          <wps:wsp>
                            <wps:cNvSpPr/>
                            <wps:spPr>
                              <a:xfrm>
                                <a:off x="0" y="0"/>
                                <a:ext cx="413468" cy="2862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559F" w:rsidRPr="00DC3DFC" w:rsidRDefault="0095559F" w:rsidP="00DC3DFC">
                                  <w:pPr>
                                    <w:jc w:val="center"/>
                                    <w:rPr>
                                      <w:color w:val="000000" w:themeColor="text1"/>
                                    </w:rPr>
                                  </w:pPr>
                                  <w:r w:rsidRPr="00DC3DFC">
                                    <w:rPr>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7" o:spid="_x0000_s1026" style="position:absolute;margin-left:-3.8pt;margin-top:4.45pt;width:32.55pt;height:22.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" filled="f" stroked="f" strokeweight="2pt">
                      <v:textbox>
                        <w:txbxContent>
                          <w:p w:rsidR="0095559F" w:rsidRPr="00DC3DFC" w:rsidRDefault="0095559F" w:rsidP="00DC3DFC">
                            <w:pPr>
                              <w:jc w:val="center"/>
                              <w:rPr>
                                <w:color w:val="000000" w:themeColor="text1"/>
                              </w:rPr>
                            </w:pPr>
                            <w:r w:rsidRPr="00DC3DFC">
                              <w:rPr>
                                <w:color w:val="000000" w:themeColor="text1"/>
                              </w:rPr>
                              <w:t>(a)</w:t>
                            </w:r>
                          </w:p>
                        </w:txbxContent>
                      </v:textbox>
                    </v:rect>
                  </w:pict>
                </mc:Fallback>
              </mc:AlternateContent>
            </w:r>
            <w:r w:rsidR="00474D93">
              <w:rPr>
                <w:noProof/>
              </w:rPr>
              <w:drawing>
                <wp:inline distT="0" distB="0" distL="0" distR="0" wp14:anchorId="1644C295" wp14:editId="66E98D84">
                  <wp:extent cx="2857102" cy="2926080"/>
                  <wp:effectExtent l="0" t="0" r="63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eshold rbc_impedance change_100khz_S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57102" cy="2926080"/>
                          </a:xfrm>
                          <a:prstGeom prst="rect">
                            <a:avLst/>
                          </a:prstGeom>
                        </pic:spPr>
                      </pic:pic>
                    </a:graphicData>
                  </a:graphic>
                </wp:inline>
              </w:drawing>
            </w:r>
          </w:p>
        </w:tc>
        <w:tc>
          <w:tcPr>
            <w:tcW w:w="4818" w:type="dxa"/>
          </w:tcPr>
          <w:p w:rsidR="00117CC7" w:rsidRDefault="00DC3DFC" w:rsidP="008F3EDA">
            <w:pPr>
              <w:tabs>
                <w:tab w:val="left" w:pos="5172"/>
              </w:tabs>
            </w:pPr>
            <w:r>
              <w:rPr>
                <w:noProof/>
              </w:rPr>
              <mc:AlternateContent>
                <mc:Choice Requires="wps">
                  <w:drawing>
                    <wp:anchor distT="0" distB="0" distL="114300" distR="114300" simplePos="0" relativeHeight="251661312" behindDoc="0" locked="0" layoutInCell="1" allowOverlap="1" wp14:anchorId="28E6F46B" wp14:editId="3F3B8330">
                      <wp:simplePos x="0" y="0"/>
                      <wp:positionH relativeFrom="column">
                        <wp:posOffset>-62230</wp:posOffset>
                      </wp:positionH>
                      <wp:positionV relativeFrom="paragraph">
                        <wp:posOffset>41910</wp:posOffset>
                      </wp:positionV>
                      <wp:extent cx="413385" cy="285750"/>
                      <wp:effectExtent l="0" t="0" r="0" b="0"/>
                      <wp:wrapNone/>
                      <wp:docPr id="24" name="Rectangle 24"/>
                      <wp:cNvGraphicFramePr/>
                      <a:graphic xmlns:a="http://schemas.openxmlformats.org/drawingml/2006/main">
                        <a:graphicData uri="http://schemas.microsoft.com/office/word/2010/wordprocessingShape">
                          <wps:wsp>
                            <wps:cNvSpPr/>
                            <wps:spPr>
                              <a:xfrm>
                                <a:off x="0" y="0"/>
                                <a:ext cx="413385" cy="285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559F" w:rsidRPr="00DC3DFC" w:rsidRDefault="0095559F" w:rsidP="00DC3DFC">
                                  <w:pPr>
                                    <w:jc w:val="center"/>
                                    <w:rPr>
                                      <w:color w:val="000000" w:themeColor="text1"/>
                                    </w:rPr>
                                  </w:pPr>
                                  <w:r w:rsidRPr="00DC3DFC">
                                    <w:rPr>
                                      <w:color w:val="000000" w:themeColor="text1"/>
                                    </w:rPr>
                                    <w:t>(</w:t>
                                  </w:r>
                                  <w:r>
                                    <w:rPr>
                                      <w:color w:val="000000" w:themeColor="text1"/>
                                    </w:rPr>
                                    <w:t>b</w:t>
                                  </w:r>
                                  <w:r w:rsidRPr="00DC3DFC">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4" o:spid="_x0000_s1027" style="position:absolute;margin-left:-4.9pt;margin-top:3.3pt;width:32.55pt;height:2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" filled="f" stroked="f" strokeweight="2pt">
                      <v:textbox>
                        <w:txbxContent>
                          <w:p w:rsidR="0095559F" w:rsidRPr="00DC3DFC" w:rsidRDefault="0095559F" w:rsidP="00DC3DFC">
                            <w:pPr>
                              <w:jc w:val="center"/>
                              <w:rPr>
                                <w:color w:val="000000" w:themeColor="text1"/>
                              </w:rPr>
                            </w:pPr>
                            <w:r w:rsidRPr="00DC3DFC">
                              <w:rPr>
                                <w:color w:val="000000" w:themeColor="text1"/>
                              </w:rPr>
                              <w:t>(</w:t>
                            </w:r>
                            <w:r>
                              <w:rPr>
                                <w:color w:val="000000" w:themeColor="text1"/>
                              </w:rPr>
                              <w:t>b</w:t>
                            </w:r>
                            <w:r w:rsidRPr="00DC3DFC">
                              <w:rPr>
                                <w:color w:val="000000" w:themeColor="text1"/>
                              </w:rPr>
                              <w:t>)</w:t>
                            </w:r>
                          </w:p>
                        </w:txbxContent>
                      </v:textbox>
                    </v:rect>
                  </w:pict>
                </mc:Fallback>
              </mc:AlternateContent>
            </w:r>
            <w:r w:rsidR="00474D93">
              <w:rPr>
                <w:noProof/>
              </w:rPr>
              <w:drawing>
                <wp:inline distT="0" distB="0" distL="0" distR="0" wp14:anchorId="6924ABDD" wp14:editId="3EE23EE9">
                  <wp:extent cx="2928896" cy="2926080"/>
                  <wp:effectExtent l="0" t="0" r="508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eshold rbc_impedance change_800khz_S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28896" cy="2926080"/>
                          </a:xfrm>
                          <a:prstGeom prst="rect">
                            <a:avLst/>
                          </a:prstGeom>
                        </pic:spPr>
                      </pic:pic>
                    </a:graphicData>
                  </a:graphic>
                </wp:inline>
              </w:drawing>
            </w:r>
          </w:p>
        </w:tc>
      </w:tr>
      <w:tr w:rsidR="00474D93" w:rsidTr="00AF5078">
        <w:tc>
          <w:tcPr>
            <w:tcW w:w="4758" w:type="dxa"/>
          </w:tcPr>
          <w:p w:rsidR="00117CC7" w:rsidRDefault="00DC3DFC" w:rsidP="008F3EDA">
            <w:pPr>
              <w:tabs>
                <w:tab w:val="left" w:pos="5172"/>
              </w:tabs>
            </w:pPr>
            <w:r>
              <w:rPr>
                <w:noProof/>
              </w:rPr>
              <mc:AlternateContent>
                <mc:Choice Requires="wps">
                  <w:drawing>
                    <wp:anchor distT="0" distB="0" distL="114300" distR="114300" simplePos="0" relativeHeight="251663360" behindDoc="0" locked="0" layoutInCell="1" allowOverlap="1" wp14:anchorId="089453A1" wp14:editId="3D58F8F1">
                      <wp:simplePos x="0" y="0"/>
                      <wp:positionH relativeFrom="column">
                        <wp:posOffset>-46355</wp:posOffset>
                      </wp:positionH>
                      <wp:positionV relativeFrom="paragraph">
                        <wp:posOffset>75565</wp:posOffset>
                      </wp:positionV>
                      <wp:extent cx="413385" cy="285750"/>
                      <wp:effectExtent l="0" t="0" r="0" b="0"/>
                      <wp:wrapNone/>
                      <wp:docPr id="25" name="Rectangle 25"/>
                      <wp:cNvGraphicFramePr/>
                      <a:graphic xmlns:a="http://schemas.openxmlformats.org/drawingml/2006/main">
                        <a:graphicData uri="http://schemas.microsoft.com/office/word/2010/wordprocessingShape">
                          <wps:wsp>
                            <wps:cNvSpPr/>
                            <wps:spPr>
                              <a:xfrm>
                                <a:off x="0" y="0"/>
                                <a:ext cx="413385" cy="285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559F" w:rsidRPr="00DC3DFC" w:rsidRDefault="0095559F" w:rsidP="00DC3DFC">
                                  <w:pPr>
                                    <w:jc w:val="center"/>
                                    <w:rPr>
                                      <w:color w:val="000000" w:themeColor="text1"/>
                                    </w:rPr>
                                  </w:pPr>
                                  <w:r>
                                    <w:rPr>
                                      <w:color w:val="000000" w:themeColor="text1"/>
                                    </w:rPr>
                                    <w:t>(c</w:t>
                                  </w:r>
                                  <w:r w:rsidRPr="00DC3DFC">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5" o:spid="_x0000_s1028" style="position:absolute;margin-left:-3.65pt;margin-top:5.95pt;width:32.55pt;height:2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" filled="f" stroked="f" strokeweight="2pt">
                      <v:textbox>
                        <w:txbxContent>
                          <w:p w:rsidR="0095559F" w:rsidRPr="00DC3DFC" w:rsidRDefault="0095559F" w:rsidP="00DC3DFC">
                            <w:pPr>
                              <w:jc w:val="center"/>
                              <w:rPr>
                                <w:color w:val="000000" w:themeColor="text1"/>
                              </w:rPr>
                            </w:pPr>
                            <w:r>
                              <w:rPr>
                                <w:color w:val="000000" w:themeColor="text1"/>
                              </w:rPr>
                              <w:t>(c</w:t>
                            </w:r>
                            <w:r w:rsidRPr="00DC3DFC">
                              <w:rPr>
                                <w:color w:val="000000" w:themeColor="text1"/>
                              </w:rPr>
                              <w:t>)</w:t>
                            </w:r>
                          </w:p>
                        </w:txbxContent>
                      </v:textbox>
                    </v:rect>
                  </w:pict>
                </mc:Fallback>
              </mc:AlternateContent>
            </w:r>
            <w:r w:rsidR="00474D93">
              <w:rPr>
                <w:noProof/>
              </w:rPr>
              <w:drawing>
                <wp:inline distT="0" distB="0" distL="0" distR="0" wp14:anchorId="19530AE6" wp14:editId="21D5C8C3">
                  <wp:extent cx="2894275" cy="3450866"/>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eshold rbc_impedance change_1Mhz_SD.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93062" cy="3449420"/>
                          </a:xfrm>
                          <a:prstGeom prst="rect">
                            <a:avLst/>
                          </a:prstGeom>
                        </pic:spPr>
                      </pic:pic>
                    </a:graphicData>
                  </a:graphic>
                </wp:inline>
              </w:drawing>
            </w:r>
          </w:p>
        </w:tc>
        <w:tc>
          <w:tcPr>
            <w:tcW w:w="4818" w:type="dxa"/>
          </w:tcPr>
          <w:p w:rsidR="00117CC7" w:rsidRDefault="00DC3DFC" w:rsidP="008F3EDA">
            <w:pPr>
              <w:tabs>
                <w:tab w:val="left" w:pos="5172"/>
              </w:tabs>
            </w:pPr>
            <w:r>
              <w:rPr>
                <w:noProof/>
              </w:rPr>
              <mc:AlternateContent>
                <mc:Choice Requires="wps">
                  <w:drawing>
                    <wp:anchor distT="0" distB="0" distL="114300" distR="114300" simplePos="0" relativeHeight="251665408" behindDoc="0" locked="0" layoutInCell="1" allowOverlap="1" wp14:anchorId="2183A4F4" wp14:editId="525BDC63">
                      <wp:simplePos x="0" y="0"/>
                      <wp:positionH relativeFrom="column">
                        <wp:posOffset>-14605</wp:posOffset>
                      </wp:positionH>
                      <wp:positionV relativeFrom="paragraph">
                        <wp:posOffset>74295</wp:posOffset>
                      </wp:positionV>
                      <wp:extent cx="413385" cy="285750"/>
                      <wp:effectExtent l="0" t="0" r="0" b="0"/>
                      <wp:wrapNone/>
                      <wp:docPr id="26" name="Rectangle 26"/>
                      <wp:cNvGraphicFramePr/>
                      <a:graphic xmlns:a="http://schemas.openxmlformats.org/drawingml/2006/main">
                        <a:graphicData uri="http://schemas.microsoft.com/office/word/2010/wordprocessingShape">
                          <wps:wsp>
                            <wps:cNvSpPr/>
                            <wps:spPr>
                              <a:xfrm>
                                <a:off x="0" y="0"/>
                                <a:ext cx="413385" cy="285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559F" w:rsidRPr="00DC3DFC" w:rsidRDefault="0095559F" w:rsidP="00DC3DFC">
                                  <w:pPr>
                                    <w:jc w:val="center"/>
                                    <w:rPr>
                                      <w:color w:val="000000" w:themeColor="text1"/>
                                    </w:rPr>
                                  </w:pPr>
                                  <w:r w:rsidRPr="00DC3DFC">
                                    <w:rPr>
                                      <w:color w:val="000000" w:themeColor="text1"/>
                                    </w:rPr>
                                    <w:t>(</w:t>
                                  </w:r>
                                  <w:r>
                                    <w:rPr>
                                      <w:color w:val="000000" w:themeColor="text1"/>
                                    </w:rPr>
                                    <w:t>d</w:t>
                                  </w:r>
                                  <w:r w:rsidRPr="00DC3DFC">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6" o:spid="_x0000_s1029" style="position:absolute;margin-left:-1.15pt;margin-top:5.85pt;width:32.55pt;height:2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" filled="f" stroked="f" strokeweight="2pt">
                      <v:textbox>
                        <w:txbxContent>
                          <w:p w:rsidR="0095559F" w:rsidRPr="00DC3DFC" w:rsidRDefault="0095559F" w:rsidP="00DC3DFC">
                            <w:pPr>
                              <w:jc w:val="center"/>
                              <w:rPr>
                                <w:color w:val="000000" w:themeColor="text1"/>
                              </w:rPr>
                            </w:pPr>
                            <w:r w:rsidRPr="00DC3DFC">
                              <w:rPr>
                                <w:color w:val="000000" w:themeColor="text1"/>
                              </w:rPr>
                              <w:t>(</w:t>
                            </w:r>
                            <w:r>
                              <w:rPr>
                                <w:color w:val="000000" w:themeColor="text1"/>
                              </w:rPr>
                              <w:t>d</w:t>
                            </w:r>
                            <w:r w:rsidRPr="00DC3DFC">
                              <w:rPr>
                                <w:color w:val="000000" w:themeColor="text1"/>
                              </w:rPr>
                              <w:t>)</w:t>
                            </w:r>
                          </w:p>
                        </w:txbxContent>
                      </v:textbox>
                    </v:rect>
                  </w:pict>
                </mc:Fallback>
              </mc:AlternateContent>
            </w:r>
            <w:r w:rsidR="00474D93">
              <w:rPr>
                <w:noProof/>
              </w:rPr>
              <w:drawing>
                <wp:inline distT="0" distB="0" distL="0" distR="0" wp14:anchorId="2922A133" wp14:editId="308EF633">
                  <wp:extent cx="2846567" cy="345086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eshold rbc_impedance change_2Mhz_SD.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47734" cy="3452281"/>
                          </a:xfrm>
                          <a:prstGeom prst="rect">
                            <a:avLst/>
                          </a:prstGeom>
                        </pic:spPr>
                      </pic:pic>
                    </a:graphicData>
                  </a:graphic>
                </wp:inline>
              </w:drawing>
            </w:r>
          </w:p>
        </w:tc>
      </w:tr>
      <w:tr w:rsidR="0038605A" w:rsidTr="00AF5078">
        <w:tc>
          <w:tcPr>
            <w:tcW w:w="9576" w:type="dxa"/>
            <w:gridSpan w:val="2"/>
          </w:tcPr>
          <w:p w:rsidR="00BF5AF2" w:rsidRDefault="00BF5AF2" w:rsidP="00EC61AC">
            <w:pPr>
              <w:tabs>
                <w:tab w:val="left" w:pos="5172"/>
              </w:tabs>
              <w:rPr>
                <w:rFonts w:ascii="Times New Roman" w:hAnsi="Times New Roman" w:cs="Times New Roman"/>
                <w:sz w:val="20"/>
                <w:szCs w:val="20"/>
              </w:rPr>
            </w:pPr>
          </w:p>
          <w:p w:rsidR="0038605A" w:rsidRPr="00A763B8" w:rsidRDefault="00D254FB" w:rsidP="006322EB">
            <w:pPr>
              <w:tabs>
                <w:tab w:val="left" w:pos="5172"/>
              </w:tabs>
              <w:rPr>
                <w:rFonts w:ascii="Times New Roman" w:hAnsi="Times New Roman" w:cs="Times New Roman"/>
                <w:sz w:val="20"/>
                <w:szCs w:val="20"/>
              </w:rPr>
            </w:pPr>
            <w:r w:rsidRPr="00A763B8">
              <w:rPr>
                <w:rFonts w:ascii="Times New Roman" w:hAnsi="Times New Roman" w:cs="Times New Roman"/>
                <w:sz w:val="20"/>
                <w:szCs w:val="20"/>
              </w:rPr>
              <w:t>Figure S</w:t>
            </w:r>
            <w:r w:rsidR="006322EB">
              <w:rPr>
                <w:rFonts w:ascii="Times New Roman" w:hAnsi="Times New Roman" w:cs="Times New Roman"/>
                <w:sz w:val="20"/>
                <w:szCs w:val="20"/>
              </w:rPr>
              <w:t>9</w:t>
            </w:r>
            <w:r w:rsidR="0038605A" w:rsidRPr="00A763B8">
              <w:rPr>
                <w:rFonts w:ascii="Times New Roman" w:hAnsi="Times New Roman" w:cs="Times New Roman"/>
                <w:sz w:val="20"/>
                <w:szCs w:val="20"/>
              </w:rPr>
              <w:t>:</w:t>
            </w:r>
            <w:r w:rsidR="00534A13" w:rsidRPr="00A763B8">
              <w:rPr>
                <w:rFonts w:ascii="Times New Roman" w:hAnsi="Times New Roman" w:cs="Times New Roman"/>
                <w:sz w:val="20"/>
                <w:szCs w:val="20"/>
              </w:rPr>
              <w:t xml:space="preserve"> Threshold for accepted single RBC based on impedance change (</w:t>
            </w:r>
            <w:r w:rsidR="00534A13" w:rsidRPr="00BF5AF2">
              <w:rPr>
                <w:rFonts w:ascii="Times New Roman" w:hAnsi="Times New Roman" w:cs="Times New Roman"/>
                <w:i/>
                <w:sz w:val="20"/>
                <w:szCs w:val="20"/>
              </w:rPr>
              <w:t>ΔZ</w:t>
            </w:r>
            <w:r w:rsidR="00534A13" w:rsidRPr="00A763B8">
              <w:rPr>
                <w:rFonts w:ascii="Times New Roman" w:hAnsi="Times New Roman" w:cs="Times New Roman"/>
                <w:sz w:val="20"/>
                <w:szCs w:val="20"/>
              </w:rPr>
              <w:t>) (presence and absence</w:t>
            </w:r>
            <w:r w:rsidR="00EC61AC" w:rsidRPr="00A763B8">
              <w:rPr>
                <w:rFonts w:ascii="Times New Roman" w:hAnsi="Times New Roman" w:cs="Times New Roman"/>
                <w:sz w:val="20"/>
                <w:szCs w:val="20"/>
              </w:rPr>
              <w:t xml:space="preserve"> of cell) at sensing area.</w:t>
            </w:r>
            <w:r w:rsidR="00534A13" w:rsidRPr="00A763B8">
              <w:rPr>
                <w:rFonts w:ascii="Times New Roman" w:hAnsi="Times New Roman" w:cs="Times New Roman"/>
                <w:sz w:val="20"/>
                <w:szCs w:val="20"/>
              </w:rPr>
              <w:t xml:space="preserve"> (a) </w:t>
            </w:r>
            <w:r w:rsidR="00140028" w:rsidRPr="00A763B8">
              <w:rPr>
                <w:rFonts w:ascii="Times New Roman" w:hAnsi="Times New Roman" w:cs="Times New Roman"/>
                <w:sz w:val="20"/>
                <w:szCs w:val="20"/>
              </w:rPr>
              <w:t xml:space="preserve">Threshold set in the range </w:t>
            </w:r>
            <w:r w:rsidR="004F6EC0" w:rsidRPr="00A763B8">
              <w:rPr>
                <w:rFonts w:ascii="Times New Roman" w:hAnsi="Times New Roman" w:cs="Times New Roman"/>
                <w:sz w:val="20"/>
                <w:szCs w:val="20"/>
              </w:rPr>
              <w:t>486</w:t>
            </w:r>
            <w:r w:rsidR="00140028" w:rsidRPr="00A763B8">
              <w:rPr>
                <w:rFonts w:ascii="Times New Roman" w:hAnsi="Times New Roman" w:cs="Times New Roman"/>
                <w:sz w:val="20"/>
                <w:szCs w:val="20"/>
              </w:rPr>
              <w:t xml:space="preserve">0 Ω to </w:t>
            </w:r>
            <w:r w:rsidR="004F6EC0" w:rsidRPr="00A763B8">
              <w:rPr>
                <w:rFonts w:ascii="Times New Roman" w:hAnsi="Times New Roman" w:cs="Times New Roman"/>
                <w:sz w:val="20"/>
                <w:szCs w:val="20"/>
              </w:rPr>
              <w:t>496</w:t>
            </w:r>
            <w:r w:rsidR="00140028" w:rsidRPr="00A763B8">
              <w:rPr>
                <w:rFonts w:ascii="Times New Roman" w:hAnsi="Times New Roman" w:cs="Times New Roman"/>
                <w:sz w:val="20"/>
                <w:szCs w:val="20"/>
              </w:rPr>
              <w:t xml:space="preserve">0 Ω based on data collected at </w:t>
            </w:r>
            <w:r w:rsidR="004F6EC0" w:rsidRPr="00A763B8">
              <w:rPr>
                <w:rFonts w:ascii="Times New Roman" w:hAnsi="Times New Roman" w:cs="Times New Roman"/>
                <w:sz w:val="20"/>
                <w:szCs w:val="20"/>
              </w:rPr>
              <w:t xml:space="preserve">low frequency (10 </w:t>
            </w:r>
            <w:r w:rsidR="00140028" w:rsidRPr="00A763B8">
              <w:rPr>
                <w:rFonts w:ascii="Times New Roman" w:hAnsi="Times New Roman" w:cs="Times New Roman"/>
                <w:sz w:val="20"/>
                <w:szCs w:val="20"/>
              </w:rPr>
              <w:t>kHz</w:t>
            </w:r>
            <w:r w:rsidR="004F6EC0" w:rsidRPr="00A763B8">
              <w:rPr>
                <w:rFonts w:ascii="Times New Roman" w:hAnsi="Times New Roman" w:cs="Times New Roman"/>
                <w:sz w:val="20"/>
                <w:szCs w:val="20"/>
              </w:rPr>
              <w:t>, 50 kH</w:t>
            </w:r>
            <w:r w:rsidR="00DA10D8">
              <w:rPr>
                <w:rFonts w:ascii="Times New Roman" w:hAnsi="Times New Roman" w:cs="Times New Roman"/>
                <w:sz w:val="20"/>
                <w:szCs w:val="20"/>
              </w:rPr>
              <w:t>z</w:t>
            </w:r>
            <w:r w:rsidR="004F6EC0" w:rsidRPr="00A763B8">
              <w:rPr>
                <w:rFonts w:ascii="Times New Roman" w:hAnsi="Times New Roman" w:cs="Times New Roman"/>
                <w:sz w:val="20"/>
                <w:szCs w:val="20"/>
              </w:rPr>
              <w:t xml:space="preserve"> and 100 kHz)</w:t>
            </w:r>
            <w:r w:rsidR="00EC61AC" w:rsidRPr="00A763B8">
              <w:rPr>
                <w:rFonts w:ascii="Times New Roman" w:hAnsi="Times New Roman" w:cs="Times New Roman"/>
                <w:sz w:val="20"/>
                <w:szCs w:val="20"/>
              </w:rPr>
              <w:t xml:space="preserve"> (b) Threshold set in the range 2810 Ω to 2900 Ω based on data collected at 800 kHz.(c) Threshold set in the range 1920 Ω to 1985 Ω based on data collected at 1MHz. (d) Threshold set in the range 1700 Ω to 1740 Ω based on data collected at 2 </w:t>
            </w:r>
            <w:proofErr w:type="spellStart"/>
            <w:r w:rsidR="00EC61AC" w:rsidRPr="00A763B8">
              <w:rPr>
                <w:rFonts w:ascii="Times New Roman" w:hAnsi="Times New Roman" w:cs="Times New Roman"/>
                <w:sz w:val="20"/>
                <w:szCs w:val="20"/>
              </w:rPr>
              <w:t>MHz.</w:t>
            </w:r>
            <w:proofErr w:type="spellEnd"/>
          </w:p>
        </w:tc>
      </w:tr>
    </w:tbl>
    <w:p w:rsidR="00117CC7" w:rsidRDefault="00117CC7" w:rsidP="008F3EDA">
      <w:pPr>
        <w:tabs>
          <w:tab w:val="left" w:pos="5172"/>
        </w:tabs>
      </w:pPr>
    </w:p>
    <w:p w:rsidR="00EB2070" w:rsidRPr="0047123B" w:rsidRDefault="00816C91" w:rsidP="008F3EDA">
      <w:pPr>
        <w:tabs>
          <w:tab w:val="left" w:pos="5172"/>
        </w:tabs>
        <w:rPr>
          <w:rFonts w:ascii="Times New Roman" w:hAnsi="Times New Roman" w:cs="Times New Roman"/>
          <w:sz w:val="20"/>
          <w:szCs w:val="20"/>
        </w:rPr>
      </w:pPr>
      <w:r w:rsidRPr="0047123B">
        <w:rPr>
          <w:rFonts w:ascii="Times New Roman" w:hAnsi="Times New Roman" w:cs="Times New Roman"/>
          <w:sz w:val="20"/>
          <w:szCs w:val="20"/>
        </w:rPr>
        <w:lastRenderedPageBreak/>
        <w:t>S.</w:t>
      </w:r>
      <w:r w:rsidR="006322EB">
        <w:rPr>
          <w:rFonts w:ascii="Times New Roman" w:hAnsi="Times New Roman" w:cs="Times New Roman"/>
          <w:sz w:val="20"/>
          <w:szCs w:val="20"/>
        </w:rPr>
        <w:t>10</w:t>
      </w:r>
      <w:r w:rsidRPr="0047123B">
        <w:rPr>
          <w:rFonts w:ascii="Times New Roman" w:hAnsi="Times New Roman" w:cs="Times New Roman"/>
          <w:sz w:val="20"/>
          <w:szCs w:val="20"/>
        </w:rPr>
        <w:t xml:space="preserve"> </w:t>
      </w:r>
      <w:r w:rsidR="00EB2070" w:rsidRPr="0047123B">
        <w:rPr>
          <w:rFonts w:ascii="Times New Roman" w:hAnsi="Times New Roman" w:cs="Times New Roman"/>
          <w:sz w:val="20"/>
          <w:szCs w:val="20"/>
        </w:rPr>
        <w:t xml:space="preserve">Opacity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B2070" w:rsidTr="00816C91">
        <w:tc>
          <w:tcPr>
            <w:tcW w:w="9576" w:type="dxa"/>
          </w:tcPr>
          <w:p w:rsidR="00EB2070" w:rsidRDefault="000D595A" w:rsidP="00EB2070">
            <w:pPr>
              <w:tabs>
                <w:tab w:val="left" w:pos="5172"/>
              </w:tabs>
              <w:jc w:val="center"/>
            </w:pPr>
            <w:r>
              <w:rPr>
                <w:noProof/>
              </w:rPr>
              <w:drawing>
                <wp:inline distT="0" distB="0" distL="0" distR="0" wp14:anchorId="7787BFBE" wp14:editId="2DD3C539">
                  <wp:extent cx="5382130" cy="41148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acity all_new1.jpg"/>
                          <pic:cNvPicPr/>
                        </pic:nvPicPr>
                        <pic:blipFill>
                          <a:blip r:embed="rId25">
                            <a:extLst>
                              <a:ext uri="{28A0092B-C50C-407E-A947-70E740481C1C}">
                                <a14:useLocalDpi xmlns:a14="http://schemas.microsoft.com/office/drawing/2010/main" val="0"/>
                              </a:ext>
                            </a:extLst>
                          </a:blip>
                          <a:stretch>
                            <a:fillRect/>
                          </a:stretch>
                        </pic:blipFill>
                        <pic:spPr>
                          <a:xfrm>
                            <a:off x="0" y="0"/>
                            <a:ext cx="5382130" cy="4114800"/>
                          </a:xfrm>
                          <a:prstGeom prst="rect">
                            <a:avLst/>
                          </a:prstGeom>
                        </pic:spPr>
                      </pic:pic>
                    </a:graphicData>
                  </a:graphic>
                </wp:inline>
              </w:drawing>
            </w:r>
          </w:p>
        </w:tc>
      </w:tr>
      <w:tr w:rsidR="00EB2070" w:rsidRPr="0047123B" w:rsidTr="00816C91">
        <w:tc>
          <w:tcPr>
            <w:tcW w:w="9576" w:type="dxa"/>
          </w:tcPr>
          <w:p w:rsidR="00BF5AF2" w:rsidRDefault="00BF5AF2" w:rsidP="007F1E06">
            <w:pPr>
              <w:tabs>
                <w:tab w:val="left" w:pos="5172"/>
              </w:tabs>
              <w:rPr>
                <w:rFonts w:ascii="Times New Roman" w:hAnsi="Times New Roman" w:cs="Times New Roman"/>
                <w:sz w:val="20"/>
                <w:szCs w:val="20"/>
              </w:rPr>
            </w:pPr>
          </w:p>
          <w:p w:rsidR="00EB2070" w:rsidRPr="0047123B" w:rsidRDefault="00EB2070" w:rsidP="006322EB">
            <w:pPr>
              <w:tabs>
                <w:tab w:val="left" w:pos="5172"/>
              </w:tabs>
              <w:rPr>
                <w:rFonts w:ascii="Times New Roman" w:hAnsi="Times New Roman" w:cs="Times New Roman"/>
                <w:sz w:val="20"/>
                <w:szCs w:val="20"/>
              </w:rPr>
            </w:pPr>
            <w:r w:rsidRPr="0047123B">
              <w:rPr>
                <w:rFonts w:ascii="Times New Roman" w:hAnsi="Times New Roman" w:cs="Times New Roman"/>
                <w:sz w:val="20"/>
                <w:szCs w:val="20"/>
              </w:rPr>
              <w:t>Figure</w:t>
            </w:r>
            <w:r w:rsidR="00816C91" w:rsidRPr="0047123B">
              <w:rPr>
                <w:rFonts w:ascii="Times New Roman" w:hAnsi="Times New Roman" w:cs="Times New Roman"/>
                <w:sz w:val="20"/>
                <w:szCs w:val="20"/>
              </w:rPr>
              <w:t xml:space="preserve"> S</w:t>
            </w:r>
            <w:r w:rsidR="006322EB">
              <w:rPr>
                <w:rFonts w:ascii="Times New Roman" w:hAnsi="Times New Roman" w:cs="Times New Roman"/>
                <w:sz w:val="20"/>
                <w:szCs w:val="20"/>
              </w:rPr>
              <w:t>10</w:t>
            </w:r>
            <w:r w:rsidRPr="0047123B">
              <w:rPr>
                <w:rFonts w:ascii="Times New Roman" w:hAnsi="Times New Roman" w:cs="Times New Roman"/>
                <w:sz w:val="20"/>
                <w:szCs w:val="20"/>
              </w:rPr>
              <w:t>: Opacity of three different size</w:t>
            </w:r>
            <w:r w:rsidR="0054483B">
              <w:rPr>
                <w:rFonts w:ascii="Times New Roman" w:hAnsi="Times New Roman" w:cs="Times New Roman"/>
                <w:sz w:val="20"/>
                <w:szCs w:val="20"/>
              </w:rPr>
              <w:t>s</w:t>
            </w:r>
            <w:r w:rsidRPr="0047123B">
              <w:rPr>
                <w:rFonts w:ascii="Times New Roman" w:hAnsi="Times New Roman" w:cs="Times New Roman"/>
                <w:sz w:val="20"/>
                <w:szCs w:val="20"/>
              </w:rPr>
              <w:t xml:space="preserve"> of </w:t>
            </w:r>
            <w:proofErr w:type="spellStart"/>
            <w:r w:rsidRPr="0047123B">
              <w:rPr>
                <w:rFonts w:ascii="Times New Roman" w:hAnsi="Times New Roman" w:cs="Times New Roman"/>
                <w:sz w:val="20"/>
                <w:szCs w:val="20"/>
              </w:rPr>
              <w:t>microbead</w:t>
            </w:r>
            <w:r w:rsidR="00AA7EC7">
              <w:rPr>
                <w:rFonts w:ascii="Times New Roman" w:hAnsi="Times New Roman" w:cs="Times New Roman"/>
                <w:sz w:val="20"/>
                <w:szCs w:val="20"/>
              </w:rPr>
              <w:t>s</w:t>
            </w:r>
            <w:proofErr w:type="spellEnd"/>
            <w:r w:rsidRPr="0047123B">
              <w:rPr>
                <w:rFonts w:ascii="Times New Roman" w:hAnsi="Times New Roman" w:cs="Times New Roman"/>
                <w:sz w:val="20"/>
                <w:szCs w:val="20"/>
              </w:rPr>
              <w:t xml:space="preserve"> and RBCs</w:t>
            </w:r>
          </w:p>
        </w:tc>
      </w:tr>
    </w:tbl>
    <w:p w:rsidR="00EB2070" w:rsidRDefault="00EB2070" w:rsidP="008F3EDA">
      <w:pPr>
        <w:tabs>
          <w:tab w:val="left" w:pos="5172"/>
        </w:tabs>
      </w:pPr>
    </w:p>
    <w:p w:rsidR="00C25830" w:rsidRPr="00347BB7" w:rsidRDefault="002F5D11" w:rsidP="008F3EDA">
      <w:pPr>
        <w:tabs>
          <w:tab w:val="left" w:pos="5172"/>
        </w:tabs>
        <w:rPr>
          <w:rFonts w:ascii="Times New Roman" w:hAnsi="Times New Roman" w:cs="Times New Roman"/>
          <w:sz w:val="20"/>
          <w:szCs w:val="20"/>
        </w:rPr>
      </w:pPr>
      <w:r w:rsidRPr="00347BB7">
        <w:rPr>
          <w:rFonts w:ascii="Times New Roman" w:hAnsi="Times New Roman" w:cs="Times New Roman"/>
          <w:sz w:val="20"/>
          <w:szCs w:val="20"/>
        </w:rPr>
        <w:t>References</w:t>
      </w:r>
    </w:p>
    <w:p w:rsidR="00AA4933" w:rsidRPr="00AA4933" w:rsidRDefault="00C25830" w:rsidP="00AA4933">
      <w:pPr>
        <w:widowControl w:val="0"/>
        <w:autoSpaceDE w:val="0"/>
        <w:autoSpaceDN w:val="0"/>
        <w:adjustRightInd w:val="0"/>
        <w:spacing w:line="240" w:lineRule="auto"/>
        <w:rPr>
          <w:rFonts w:ascii="Times New Roman" w:hAnsi="Times New Roman" w:cs="Times New Roman"/>
          <w:noProof/>
          <w:sz w:val="20"/>
          <w:szCs w:val="24"/>
        </w:rPr>
      </w:pPr>
      <w:r w:rsidRPr="00347BB7">
        <w:rPr>
          <w:rFonts w:ascii="Times New Roman" w:hAnsi="Times New Roman" w:cs="Times New Roman"/>
          <w:sz w:val="20"/>
          <w:szCs w:val="20"/>
        </w:rPr>
        <w:fldChar w:fldCharType="begin" w:fldLock="1"/>
      </w:r>
      <w:r w:rsidRPr="00347BB7">
        <w:rPr>
          <w:rFonts w:ascii="Times New Roman" w:hAnsi="Times New Roman" w:cs="Times New Roman"/>
          <w:sz w:val="20"/>
          <w:szCs w:val="20"/>
        </w:rPr>
        <w:instrText xml:space="preserve">ADDIN Mendeley Bibliography CSL_BIBLIOGRAPHY </w:instrText>
      </w:r>
      <w:r w:rsidRPr="00347BB7">
        <w:rPr>
          <w:rFonts w:ascii="Times New Roman" w:hAnsi="Times New Roman" w:cs="Times New Roman"/>
          <w:sz w:val="20"/>
          <w:szCs w:val="20"/>
        </w:rPr>
        <w:fldChar w:fldCharType="separate"/>
      </w:r>
      <w:r w:rsidR="00AA4933" w:rsidRPr="00AA4933">
        <w:rPr>
          <w:rFonts w:ascii="Times New Roman" w:hAnsi="Times New Roman" w:cs="Times New Roman"/>
          <w:noProof/>
          <w:sz w:val="20"/>
          <w:szCs w:val="24"/>
        </w:rPr>
        <w:t>1. Holmes D, Pettigrew D, Reccius CH, Gwyer JD, van Berkel C, Holloway J, et al. Leukocyte analysis and differentiation using high speed microfluidic single cell impedance cytometry. Lab Chip [Internet]. 2009 [cited 2014 Oct 17];9:2881–9. Available from: http://www.ncbi.nlm.nih.gov/pubmed/19789739</w:t>
      </w:r>
    </w:p>
    <w:p w:rsidR="00AA4933" w:rsidRPr="00AA4933" w:rsidRDefault="00AA4933" w:rsidP="00AA4933">
      <w:pPr>
        <w:widowControl w:val="0"/>
        <w:autoSpaceDE w:val="0"/>
        <w:autoSpaceDN w:val="0"/>
        <w:adjustRightInd w:val="0"/>
        <w:spacing w:line="240" w:lineRule="auto"/>
        <w:rPr>
          <w:rFonts w:ascii="Times New Roman" w:hAnsi="Times New Roman" w:cs="Times New Roman"/>
          <w:noProof/>
          <w:sz w:val="20"/>
          <w:szCs w:val="24"/>
        </w:rPr>
      </w:pPr>
      <w:r w:rsidRPr="00AA4933">
        <w:rPr>
          <w:rFonts w:ascii="Times New Roman" w:hAnsi="Times New Roman" w:cs="Times New Roman"/>
          <w:noProof/>
          <w:sz w:val="20"/>
          <w:szCs w:val="24"/>
        </w:rPr>
        <w:t xml:space="preserve">2. Nasir N, Al Ahmad M. Cells Electrical Characterization: Dielectric Properties, Mixture, and Modeling Theories. J Eng (United Kingdom). 2020;2020. </w:t>
      </w:r>
    </w:p>
    <w:p w:rsidR="00AA4933" w:rsidRPr="00AA4933" w:rsidRDefault="00AA4933" w:rsidP="00AA4933">
      <w:pPr>
        <w:widowControl w:val="0"/>
        <w:autoSpaceDE w:val="0"/>
        <w:autoSpaceDN w:val="0"/>
        <w:adjustRightInd w:val="0"/>
        <w:spacing w:line="240" w:lineRule="auto"/>
        <w:rPr>
          <w:rFonts w:ascii="Times New Roman" w:hAnsi="Times New Roman" w:cs="Times New Roman"/>
          <w:noProof/>
          <w:sz w:val="20"/>
          <w:szCs w:val="24"/>
        </w:rPr>
      </w:pPr>
      <w:r w:rsidRPr="00AA4933">
        <w:rPr>
          <w:rFonts w:ascii="Times New Roman" w:hAnsi="Times New Roman" w:cs="Times New Roman"/>
          <w:noProof/>
          <w:sz w:val="20"/>
          <w:szCs w:val="24"/>
        </w:rPr>
        <w:t>3. Foster KR, Schwan HP. Dielectric properties of tissues and biological materials: a critical review. Crit Rev Biomed Eng [Internet]. 1989;17:25–104. Available from: http://www.ncbi.nlm.nih.gov/pubmed/2651001</w:t>
      </w:r>
    </w:p>
    <w:p w:rsidR="00AA4933" w:rsidRPr="00AA4933" w:rsidRDefault="00AA4933" w:rsidP="00AA4933">
      <w:pPr>
        <w:widowControl w:val="0"/>
        <w:autoSpaceDE w:val="0"/>
        <w:autoSpaceDN w:val="0"/>
        <w:adjustRightInd w:val="0"/>
        <w:spacing w:line="240" w:lineRule="auto"/>
        <w:rPr>
          <w:rFonts w:ascii="Times New Roman" w:hAnsi="Times New Roman" w:cs="Times New Roman"/>
          <w:noProof/>
          <w:sz w:val="20"/>
          <w:szCs w:val="24"/>
        </w:rPr>
      </w:pPr>
      <w:r w:rsidRPr="00AA4933">
        <w:rPr>
          <w:rFonts w:ascii="Times New Roman" w:hAnsi="Times New Roman" w:cs="Times New Roman"/>
          <w:noProof/>
          <w:sz w:val="20"/>
          <w:szCs w:val="24"/>
        </w:rPr>
        <w:t xml:space="preserve">4. Iliescu C, Poenar DP, Carp M, Loe FC. A microfluidic device for impedance spectroscopy analysis of biological samples. Sensors Actuators, B Chem. 2007;123:168–76. </w:t>
      </w:r>
    </w:p>
    <w:p w:rsidR="00AA4933" w:rsidRPr="00AA4933" w:rsidRDefault="00AA4933" w:rsidP="00AA4933">
      <w:pPr>
        <w:widowControl w:val="0"/>
        <w:autoSpaceDE w:val="0"/>
        <w:autoSpaceDN w:val="0"/>
        <w:adjustRightInd w:val="0"/>
        <w:spacing w:line="240" w:lineRule="auto"/>
        <w:rPr>
          <w:rFonts w:ascii="Times New Roman" w:hAnsi="Times New Roman" w:cs="Times New Roman"/>
          <w:noProof/>
          <w:sz w:val="20"/>
          <w:szCs w:val="24"/>
        </w:rPr>
      </w:pPr>
      <w:r w:rsidRPr="00AA4933">
        <w:rPr>
          <w:rFonts w:ascii="Times New Roman" w:hAnsi="Times New Roman" w:cs="Times New Roman"/>
          <w:noProof/>
          <w:sz w:val="20"/>
          <w:szCs w:val="24"/>
        </w:rPr>
        <w:t>5. Sun T, Green NG, Gawad S, Morgan H. Analytical electric field and sensitivity analysis for two microfluidic impedance cytometer designs. IET Nanobiotechnol [Internet]. 2007 [cited 2014 Jul 15];1:69–79. Available from: http://www.ncbi.nlm.nih.gov/pubmed/17764376</w:t>
      </w:r>
    </w:p>
    <w:p w:rsidR="00AA4933" w:rsidRPr="00AA4933" w:rsidRDefault="00AA4933" w:rsidP="00AA4933">
      <w:pPr>
        <w:widowControl w:val="0"/>
        <w:autoSpaceDE w:val="0"/>
        <w:autoSpaceDN w:val="0"/>
        <w:adjustRightInd w:val="0"/>
        <w:spacing w:line="240" w:lineRule="auto"/>
        <w:rPr>
          <w:rFonts w:ascii="Times New Roman" w:hAnsi="Times New Roman" w:cs="Times New Roman"/>
          <w:noProof/>
          <w:sz w:val="20"/>
          <w:szCs w:val="24"/>
        </w:rPr>
      </w:pPr>
      <w:r w:rsidRPr="00AA4933">
        <w:rPr>
          <w:rFonts w:ascii="Times New Roman" w:hAnsi="Times New Roman" w:cs="Times New Roman"/>
          <w:noProof/>
          <w:sz w:val="20"/>
          <w:szCs w:val="24"/>
        </w:rPr>
        <w:t xml:space="preserve">6. Malleo D. Impedance Spectroscopy for Cellular and Biomolecular Analysis. 2009. </w:t>
      </w:r>
    </w:p>
    <w:p w:rsidR="00AA4933" w:rsidRPr="00AA4933" w:rsidRDefault="00AA4933" w:rsidP="00AA4933">
      <w:pPr>
        <w:widowControl w:val="0"/>
        <w:autoSpaceDE w:val="0"/>
        <w:autoSpaceDN w:val="0"/>
        <w:adjustRightInd w:val="0"/>
        <w:spacing w:line="240" w:lineRule="auto"/>
        <w:rPr>
          <w:rFonts w:ascii="Times New Roman" w:hAnsi="Times New Roman" w:cs="Times New Roman"/>
          <w:noProof/>
          <w:sz w:val="20"/>
          <w:szCs w:val="24"/>
        </w:rPr>
      </w:pPr>
      <w:r w:rsidRPr="00AA4933">
        <w:rPr>
          <w:rFonts w:ascii="Times New Roman" w:hAnsi="Times New Roman" w:cs="Times New Roman"/>
          <w:noProof/>
          <w:sz w:val="20"/>
          <w:szCs w:val="24"/>
        </w:rPr>
        <w:t xml:space="preserve">7. Cogan SF, Ehrlich J, Plante TD. The effect of electrode geometry on electrochemical properties measured in </w:t>
      </w:r>
      <w:r w:rsidRPr="00AA4933">
        <w:rPr>
          <w:rFonts w:ascii="Times New Roman" w:hAnsi="Times New Roman" w:cs="Times New Roman"/>
          <w:noProof/>
          <w:sz w:val="20"/>
          <w:szCs w:val="24"/>
        </w:rPr>
        <w:lastRenderedPageBreak/>
        <w:t xml:space="preserve">saline. 2014 36th Annu. Int. Conf. IEEE Eng. Med. Biol. Soc. EMBC 2014. 2014. p. 6850–3. </w:t>
      </w:r>
    </w:p>
    <w:p w:rsidR="00AA4933" w:rsidRPr="00AA4933" w:rsidRDefault="00AA4933" w:rsidP="00AA4933">
      <w:pPr>
        <w:widowControl w:val="0"/>
        <w:autoSpaceDE w:val="0"/>
        <w:autoSpaceDN w:val="0"/>
        <w:adjustRightInd w:val="0"/>
        <w:spacing w:line="240" w:lineRule="auto"/>
        <w:rPr>
          <w:rFonts w:ascii="Times New Roman" w:hAnsi="Times New Roman" w:cs="Times New Roman"/>
          <w:noProof/>
          <w:sz w:val="20"/>
          <w:szCs w:val="24"/>
        </w:rPr>
      </w:pPr>
      <w:r w:rsidRPr="00AA4933">
        <w:rPr>
          <w:rFonts w:ascii="Times New Roman" w:hAnsi="Times New Roman" w:cs="Times New Roman"/>
          <w:noProof/>
          <w:sz w:val="20"/>
          <w:szCs w:val="24"/>
        </w:rPr>
        <w:t>8. Vanýsek P. Impact of electrode geometry, depth of immersion, and size on impedance measurements. Can J Chem [Internet]. 1997;75:1635–42. Available from: http://www.nrcresearchpress.com/doi/10.1139/v97-194</w:t>
      </w:r>
    </w:p>
    <w:p w:rsidR="00AA4933" w:rsidRPr="00AA4933" w:rsidRDefault="00AA4933" w:rsidP="00AA4933">
      <w:pPr>
        <w:widowControl w:val="0"/>
        <w:autoSpaceDE w:val="0"/>
        <w:autoSpaceDN w:val="0"/>
        <w:adjustRightInd w:val="0"/>
        <w:spacing w:line="240" w:lineRule="auto"/>
        <w:rPr>
          <w:rFonts w:ascii="Times New Roman" w:hAnsi="Times New Roman" w:cs="Times New Roman"/>
          <w:noProof/>
          <w:sz w:val="20"/>
          <w:szCs w:val="24"/>
        </w:rPr>
      </w:pPr>
      <w:r w:rsidRPr="00AA4933">
        <w:rPr>
          <w:rFonts w:ascii="Times New Roman" w:hAnsi="Times New Roman" w:cs="Times New Roman"/>
          <w:noProof/>
          <w:sz w:val="20"/>
          <w:szCs w:val="24"/>
        </w:rPr>
        <w:t xml:space="preserve">9. Abdur Rahman AR, Price DT, Bhansali S. Effect of electrode geometry on the impedance evaluation of tissue and cell culture. Sensors Actuators, B Chem. 2007;127:89–96. </w:t>
      </w:r>
    </w:p>
    <w:p w:rsidR="00AA4933" w:rsidRPr="00AA4933" w:rsidRDefault="00AA4933" w:rsidP="00AA4933">
      <w:pPr>
        <w:widowControl w:val="0"/>
        <w:autoSpaceDE w:val="0"/>
        <w:autoSpaceDN w:val="0"/>
        <w:adjustRightInd w:val="0"/>
        <w:spacing w:line="240" w:lineRule="auto"/>
        <w:rPr>
          <w:rFonts w:ascii="Times New Roman" w:hAnsi="Times New Roman" w:cs="Times New Roman"/>
          <w:noProof/>
          <w:sz w:val="20"/>
          <w:szCs w:val="24"/>
        </w:rPr>
      </w:pPr>
      <w:r w:rsidRPr="00AA4933">
        <w:rPr>
          <w:rFonts w:ascii="Times New Roman" w:hAnsi="Times New Roman" w:cs="Times New Roman"/>
          <w:noProof/>
          <w:sz w:val="20"/>
          <w:szCs w:val="24"/>
        </w:rPr>
        <w:t>10. Wang L, Wang H, Wang L, Mitchelson K, Yu Z, Cheng J. Analysis of the sensitivity and frequency characteristics of coplanar electrical cell–substrate impedance sensors. Biosens Bioelectron [Internet]. 2008;24:14–21. Available from: https://linkinghub.elsevier.com/retrieve/pii/S0956566308001279</w:t>
      </w:r>
    </w:p>
    <w:p w:rsidR="00AA4933" w:rsidRPr="00AA4933" w:rsidRDefault="00AA4933" w:rsidP="00AA4933">
      <w:pPr>
        <w:widowControl w:val="0"/>
        <w:autoSpaceDE w:val="0"/>
        <w:autoSpaceDN w:val="0"/>
        <w:adjustRightInd w:val="0"/>
        <w:spacing w:line="240" w:lineRule="auto"/>
        <w:rPr>
          <w:rFonts w:ascii="Times New Roman" w:hAnsi="Times New Roman" w:cs="Times New Roman"/>
          <w:noProof/>
          <w:sz w:val="20"/>
        </w:rPr>
      </w:pPr>
      <w:r w:rsidRPr="00AA4933">
        <w:rPr>
          <w:rFonts w:ascii="Times New Roman" w:hAnsi="Times New Roman" w:cs="Times New Roman"/>
          <w:noProof/>
          <w:sz w:val="20"/>
          <w:szCs w:val="24"/>
        </w:rPr>
        <w:t>11. Wang J-W, Wang M-H, Jang L-S. Effects of electrode geometry and cell location on single-cell impedance measurement. Biosens Bioelectron [Internet]. 2010 [cited 2014 Jun 20];25:1271–6. Available from: http://www.ncbi.nlm.nih.gov/pubmed/19926465</w:t>
      </w:r>
    </w:p>
    <w:p w:rsidR="0013227B" w:rsidRDefault="00C25830" w:rsidP="00AA4933">
      <w:pPr>
        <w:widowControl w:val="0"/>
        <w:autoSpaceDE w:val="0"/>
        <w:autoSpaceDN w:val="0"/>
        <w:adjustRightInd w:val="0"/>
        <w:spacing w:line="240" w:lineRule="auto"/>
        <w:ind w:left="640" w:hanging="640"/>
      </w:pPr>
      <w:r w:rsidRPr="00347BB7">
        <w:rPr>
          <w:rFonts w:ascii="Times New Roman" w:hAnsi="Times New Roman" w:cs="Times New Roman"/>
          <w:sz w:val="20"/>
          <w:szCs w:val="20"/>
        </w:rPr>
        <w:fldChar w:fldCharType="end"/>
      </w:r>
    </w:p>
    <w:p w:rsidR="00C25830" w:rsidRDefault="00C25830" w:rsidP="0013227B">
      <w:pPr>
        <w:widowControl w:val="0"/>
        <w:autoSpaceDE w:val="0"/>
        <w:autoSpaceDN w:val="0"/>
        <w:adjustRightInd w:val="0"/>
        <w:spacing w:line="240" w:lineRule="auto"/>
        <w:ind w:left="640" w:hanging="640"/>
      </w:pPr>
    </w:p>
    <w:sectPr w:rsidR="00C258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I3NDK1MDE2NDMHEko6SsGpxcWZ+XkgBYZmtQCncZJTLQAAAA=="/>
  </w:docVars>
  <w:rsids>
    <w:rsidRoot w:val="00C23EE4"/>
    <w:rsid w:val="00015367"/>
    <w:rsid w:val="00021A20"/>
    <w:rsid w:val="000416FB"/>
    <w:rsid w:val="00047769"/>
    <w:rsid w:val="00057260"/>
    <w:rsid w:val="00061FE1"/>
    <w:rsid w:val="00075EA2"/>
    <w:rsid w:val="00084065"/>
    <w:rsid w:val="000A2E43"/>
    <w:rsid w:val="000C5FFA"/>
    <w:rsid w:val="000C6DF6"/>
    <w:rsid w:val="000D595A"/>
    <w:rsid w:val="000F3028"/>
    <w:rsid w:val="000F4558"/>
    <w:rsid w:val="00103833"/>
    <w:rsid w:val="00114888"/>
    <w:rsid w:val="00115736"/>
    <w:rsid w:val="00117CC7"/>
    <w:rsid w:val="0013227B"/>
    <w:rsid w:val="00140028"/>
    <w:rsid w:val="00142928"/>
    <w:rsid w:val="001433A8"/>
    <w:rsid w:val="00150DB2"/>
    <w:rsid w:val="00170D1D"/>
    <w:rsid w:val="00184209"/>
    <w:rsid w:val="0018709E"/>
    <w:rsid w:val="001A2069"/>
    <w:rsid w:val="001A3A2B"/>
    <w:rsid w:val="001F0C5E"/>
    <w:rsid w:val="00235326"/>
    <w:rsid w:val="00273C3B"/>
    <w:rsid w:val="002810E2"/>
    <w:rsid w:val="002F5D11"/>
    <w:rsid w:val="0030678F"/>
    <w:rsid w:val="003208EC"/>
    <w:rsid w:val="00347BB7"/>
    <w:rsid w:val="0035771E"/>
    <w:rsid w:val="003767EA"/>
    <w:rsid w:val="003816B0"/>
    <w:rsid w:val="00382675"/>
    <w:rsid w:val="0038605A"/>
    <w:rsid w:val="003C16F4"/>
    <w:rsid w:val="003C7113"/>
    <w:rsid w:val="00427639"/>
    <w:rsid w:val="004468A9"/>
    <w:rsid w:val="0047123B"/>
    <w:rsid w:val="00474D93"/>
    <w:rsid w:val="00495552"/>
    <w:rsid w:val="004A0A10"/>
    <w:rsid w:val="004C63C2"/>
    <w:rsid w:val="004C7528"/>
    <w:rsid w:val="004C7C29"/>
    <w:rsid w:val="004D1B14"/>
    <w:rsid w:val="004E376E"/>
    <w:rsid w:val="004F049A"/>
    <w:rsid w:val="004F131E"/>
    <w:rsid w:val="004F6EC0"/>
    <w:rsid w:val="00503EE0"/>
    <w:rsid w:val="005257A3"/>
    <w:rsid w:val="00534A13"/>
    <w:rsid w:val="0054483B"/>
    <w:rsid w:val="00552CFD"/>
    <w:rsid w:val="005C107A"/>
    <w:rsid w:val="005F719B"/>
    <w:rsid w:val="006322EB"/>
    <w:rsid w:val="00647811"/>
    <w:rsid w:val="006D745D"/>
    <w:rsid w:val="00746620"/>
    <w:rsid w:val="007500B7"/>
    <w:rsid w:val="00771ED0"/>
    <w:rsid w:val="00785E82"/>
    <w:rsid w:val="007A1078"/>
    <w:rsid w:val="007C633C"/>
    <w:rsid w:val="007F1E06"/>
    <w:rsid w:val="008124C2"/>
    <w:rsid w:val="0081327E"/>
    <w:rsid w:val="00815106"/>
    <w:rsid w:val="00816C91"/>
    <w:rsid w:val="00823AF1"/>
    <w:rsid w:val="00882730"/>
    <w:rsid w:val="0089192D"/>
    <w:rsid w:val="008E5FA5"/>
    <w:rsid w:val="008F36EB"/>
    <w:rsid w:val="008F3EDA"/>
    <w:rsid w:val="008F6B6C"/>
    <w:rsid w:val="00914266"/>
    <w:rsid w:val="00914651"/>
    <w:rsid w:val="00947773"/>
    <w:rsid w:val="0095559F"/>
    <w:rsid w:val="0096402C"/>
    <w:rsid w:val="009708B9"/>
    <w:rsid w:val="009744F9"/>
    <w:rsid w:val="00976FE1"/>
    <w:rsid w:val="00992125"/>
    <w:rsid w:val="009A277A"/>
    <w:rsid w:val="009B321A"/>
    <w:rsid w:val="009B38A5"/>
    <w:rsid w:val="009B6CC3"/>
    <w:rsid w:val="00A15221"/>
    <w:rsid w:val="00A157A1"/>
    <w:rsid w:val="00A41722"/>
    <w:rsid w:val="00A46211"/>
    <w:rsid w:val="00A70A94"/>
    <w:rsid w:val="00A763B8"/>
    <w:rsid w:val="00A81353"/>
    <w:rsid w:val="00AA4933"/>
    <w:rsid w:val="00AA7EC7"/>
    <w:rsid w:val="00AB6981"/>
    <w:rsid w:val="00AF5078"/>
    <w:rsid w:val="00B14A03"/>
    <w:rsid w:val="00B21229"/>
    <w:rsid w:val="00B83E8E"/>
    <w:rsid w:val="00B932C5"/>
    <w:rsid w:val="00B97575"/>
    <w:rsid w:val="00BA4F88"/>
    <w:rsid w:val="00BA74C6"/>
    <w:rsid w:val="00BB52B3"/>
    <w:rsid w:val="00BC0595"/>
    <w:rsid w:val="00BC43BE"/>
    <w:rsid w:val="00BF5AF2"/>
    <w:rsid w:val="00C06900"/>
    <w:rsid w:val="00C12F9D"/>
    <w:rsid w:val="00C23EE4"/>
    <w:rsid w:val="00C25830"/>
    <w:rsid w:val="00C46800"/>
    <w:rsid w:val="00C64723"/>
    <w:rsid w:val="00CF028B"/>
    <w:rsid w:val="00CF5957"/>
    <w:rsid w:val="00D105DE"/>
    <w:rsid w:val="00D254FB"/>
    <w:rsid w:val="00D27C7E"/>
    <w:rsid w:val="00D435E0"/>
    <w:rsid w:val="00D60F44"/>
    <w:rsid w:val="00D86E4C"/>
    <w:rsid w:val="00D95AB7"/>
    <w:rsid w:val="00DA10D8"/>
    <w:rsid w:val="00DA513D"/>
    <w:rsid w:val="00DC27E8"/>
    <w:rsid w:val="00DC3DFC"/>
    <w:rsid w:val="00DD4FB4"/>
    <w:rsid w:val="00E3108F"/>
    <w:rsid w:val="00E346D3"/>
    <w:rsid w:val="00E51402"/>
    <w:rsid w:val="00E65BBA"/>
    <w:rsid w:val="00E72938"/>
    <w:rsid w:val="00E73F99"/>
    <w:rsid w:val="00E818EE"/>
    <w:rsid w:val="00EB2070"/>
    <w:rsid w:val="00EC2C78"/>
    <w:rsid w:val="00EC61AC"/>
    <w:rsid w:val="00ED3683"/>
    <w:rsid w:val="00F34866"/>
    <w:rsid w:val="00F37AC2"/>
    <w:rsid w:val="00F66C60"/>
    <w:rsid w:val="00F6789E"/>
    <w:rsid w:val="00F7086D"/>
    <w:rsid w:val="00F74813"/>
    <w:rsid w:val="00F91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05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C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595"/>
    <w:rPr>
      <w:rFonts w:ascii="Tahoma" w:hAnsi="Tahoma" w:cs="Tahoma"/>
      <w:sz w:val="16"/>
      <w:szCs w:val="16"/>
    </w:rPr>
  </w:style>
  <w:style w:type="character" w:styleId="PlaceholderText">
    <w:name w:val="Placeholder Text"/>
    <w:basedOn w:val="DefaultParagraphFont"/>
    <w:uiPriority w:val="99"/>
    <w:semiHidden/>
    <w:rsid w:val="00235326"/>
    <w:rPr>
      <w:color w:val="808080"/>
    </w:rPr>
  </w:style>
  <w:style w:type="paragraph" w:styleId="BodyText">
    <w:name w:val="Body Text"/>
    <w:basedOn w:val="Normal"/>
    <w:link w:val="BodyTextChar"/>
    <w:uiPriority w:val="99"/>
    <w:unhideWhenUsed/>
    <w:rsid w:val="00647811"/>
    <w:pPr>
      <w:widowControl w:val="0"/>
      <w:spacing w:after="120" w:line="240" w:lineRule="auto"/>
    </w:pPr>
    <w:rPr>
      <w:rFonts w:ascii="Times New Roman" w:eastAsia="SimSun" w:hAnsi="Times New Roman" w:cs="Times New Roman"/>
      <w:sz w:val="20"/>
      <w:szCs w:val="20"/>
      <w:lang w:val="en-GB"/>
    </w:rPr>
  </w:style>
  <w:style w:type="character" w:customStyle="1" w:styleId="BodyTextChar">
    <w:name w:val="Body Text Char"/>
    <w:basedOn w:val="DefaultParagraphFont"/>
    <w:link w:val="BodyText"/>
    <w:uiPriority w:val="99"/>
    <w:rsid w:val="00647811"/>
    <w:rPr>
      <w:rFonts w:ascii="Times New Roman" w:eastAsia="SimSun" w:hAnsi="Times New Roman" w:cs="Times New Roman"/>
      <w:sz w:val="20"/>
      <w:szCs w:val="20"/>
      <w:lang w:val="en-GB"/>
    </w:rPr>
  </w:style>
  <w:style w:type="paragraph" w:styleId="ListParagraph">
    <w:name w:val="List Paragraph"/>
    <w:basedOn w:val="Normal"/>
    <w:uiPriority w:val="34"/>
    <w:qFormat/>
    <w:rsid w:val="007C633C"/>
    <w:pPr>
      <w:ind w:left="720"/>
      <w:contextualSpacing/>
    </w:pPr>
  </w:style>
  <w:style w:type="paragraph" w:customStyle="1" w:styleId="MDPI13authornames">
    <w:name w:val="MDPI_1.3_authornames"/>
    <w:basedOn w:val="Normal"/>
    <w:next w:val="Normal"/>
    <w:qFormat/>
    <w:rsid w:val="00BA74C6"/>
    <w:pPr>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Text">
    <w:name w:val="Text"/>
    <w:basedOn w:val="Normal"/>
    <w:rsid w:val="00BA74C6"/>
    <w:pPr>
      <w:widowControl w:val="0"/>
      <w:spacing w:after="0" w:line="252" w:lineRule="auto"/>
      <w:ind w:firstLine="202"/>
      <w:jc w:val="both"/>
    </w:pPr>
    <w:rPr>
      <w:rFonts w:ascii="Times New Roman" w:eastAsia="Times New Roman" w:hAnsi="Times New Roman" w:cs="Times New Roman"/>
      <w:sz w:val="20"/>
      <w:szCs w:val="20"/>
    </w:rPr>
  </w:style>
  <w:style w:type="paragraph" w:customStyle="1" w:styleId="DocHead">
    <w:name w:val="DocHead"/>
    <w:rsid w:val="009B6CC3"/>
    <w:pPr>
      <w:spacing w:before="240" w:after="240" w:line="240" w:lineRule="auto"/>
      <w:jc w:val="center"/>
    </w:pPr>
    <w:rPr>
      <w:rFonts w:ascii="Times New Roman" w:eastAsia="SimSu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05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C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595"/>
    <w:rPr>
      <w:rFonts w:ascii="Tahoma" w:hAnsi="Tahoma" w:cs="Tahoma"/>
      <w:sz w:val="16"/>
      <w:szCs w:val="16"/>
    </w:rPr>
  </w:style>
  <w:style w:type="character" w:styleId="PlaceholderText">
    <w:name w:val="Placeholder Text"/>
    <w:basedOn w:val="DefaultParagraphFont"/>
    <w:uiPriority w:val="99"/>
    <w:semiHidden/>
    <w:rsid w:val="00235326"/>
    <w:rPr>
      <w:color w:val="808080"/>
    </w:rPr>
  </w:style>
  <w:style w:type="paragraph" w:styleId="BodyText">
    <w:name w:val="Body Text"/>
    <w:basedOn w:val="Normal"/>
    <w:link w:val="BodyTextChar"/>
    <w:uiPriority w:val="99"/>
    <w:unhideWhenUsed/>
    <w:rsid w:val="00647811"/>
    <w:pPr>
      <w:widowControl w:val="0"/>
      <w:spacing w:after="120" w:line="240" w:lineRule="auto"/>
    </w:pPr>
    <w:rPr>
      <w:rFonts w:ascii="Times New Roman" w:eastAsia="SimSun" w:hAnsi="Times New Roman" w:cs="Times New Roman"/>
      <w:sz w:val="20"/>
      <w:szCs w:val="20"/>
      <w:lang w:val="en-GB"/>
    </w:rPr>
  </w:style>
  <w:style w:type="character" w:customStyle="1" w:styleId="BodyTextChar">
    <w:name w:val="Body Text Char"/>
    <w:basedOn w:val="DefaultParagraphFont"/>
    <w:link w:val="BodyText"/>
    <w:uiPriority w:val="99"/>
    <w:rsid w:val="00647811"/>
    <w:rPr>
      <w:rFonts w:ascii="Times New Roman" w:eastAsia="SimSun" w:hAnsi="Times New Roman" w:cs="Times New Roman"/>
      <w:sz w:val="20"/>
      <w:szCs w:val="20"/>
      <w:lang w:val="en-GB"/>
    </w:rPr>
  </w:style>
  <w:style w:type="paragraph" w:styleId="ListParagraph">
    <w:name w:val="List Paragraph"/>
    <w:basedOn w:val="Normal"/>
    <w:uiPriority w:val="34"/>
    <w:qFormat/>
    <w:rsid w:val="007C633C"/>
    <w:pPr>
      <w:ind w:left="720"/>
      <w:contextualSpacing/>
    </w:pPr>
  </w:style>
  <w:style w:type="paragraph" w:customStyle="1" w:styleId="MDPI13authornames">
    <w:name w:val="MDPI_1.3_authornames"/>
    <w:basedOn w:val="Normal"/>
    <w:next w:val="Normal"/>
    <w:qFormat/>
    <w:rsid w:val="00BA74C6"/>
    <w:pPr>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Text">
    <w:name w:val="Text"/>
    <w:basedOn w:val="Normal"/>
    <w:rsid w:val="00BA74C6"/>
    <w:pPr>
      <w:widowControl w:val="0"/>
      <w:spacing w:after="0" w:line="252" w:lineRule="auto"/>
      <w:ind w:firstLine="202"/>
      <w:jc w:val="both"/>
    </w:pPr>
    <w:rPr>
      <w:rFonts w:ascii="Times New Roman" w:eastAsia="Times New Roman" w:hAnsi="Times New Roman" w:cs="Times New Roman"/>
      <w:sz w:val="20"/>
      <w:szCs w:val="20"/>
    </w:rPr>
  </w:style>
  <w:style w:type="paragraph" w:customStyle="1" w:styleId="DocHead">
    <w:name w:val="DocHead"/>
    <w:rsid w:val="009B6CC3"/>
    <w:pPr>
      <w:spacing w:before="240" w:after="240" w:line="240" w:lineRule="auto"/>
      <w:jc w:val="center"/>
    </w:pPr>
    <w:rPr>
      <w:rFonts w:ascii="Times New Roman" w:eastAsia="SimSu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9.jpg"/><Relationship Id="rId2" Type="http://schemas.openxmlformats.org/officeDocument/2006/relationships/styles" Target="styles.xml"/><Relationship Id="rId16" Type="http://schemas.openxmlformats.org/officeDocument/2006/relationships/image" Target="media/image11.jpeg"/><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7.jpeg"/><Relationship Id="rId10" Type="http://schemas.openxmlformats.org/officeDocument/2006/relationships/image" Target="media/image5.jp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9CD6D-65C5-44DD-A1FA-921E30C14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15212</TotalTime>
  <Pages>10</Pages>
  <Words>5400</Words>
  <Characters>30786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137</cp:revision>
  <cp:lastPrinted>2022-01-31T08:06:00Z</cp:lastPrinted>
  <dcterms:created xsi:type="dcterms:W3CDTF">2021-08-06T08:36:00Z</dcterms:created>
  <dcterms:modified xsi:type="dcterms:W3CDTF">2022-05-16T05:38:00Z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http://www.zotero.org/styles/journal-of-advanced-research</vt:lpwstr>
  </property>
  <property fmtid="{D5CDD505-2E9C-101B-9397-08002B2CF9AE}" pid="11" name="Mendeley Recent Style Name 4_1">
    <vt:lpwstr>Journal of Advanced Research</vt:lpwstr>
  </property>
  <property fmtid="{D5CDD505-2E9C-101B-9397-08002B2CF9AE}" pid="12" name="Mendeley Recent Style Id 5_1">
    <vt:lpwstr>http://www.zotero.org/styles/journal-of-nanobiotechnology</vt:lpwstr>
  </property>
  <property fmtid="{D5CDD505-2E9C-101B-9397-08002B2CF9AE}" pid="13" name="Mendeley Recent Style Name 5_1">
    <vt:lpwstr>Journal of Nanobiotechnology</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http://www.zotero.org/styles/nano-micro-letters</vt:lpwstr>
  </property>
  <property fmtid="{D5CDD505-2E9C-101B-9397-08002B2CF9AE}" pid="17" name="Mendeley Recent Style Name 7_1">
    <vt:lpwstr>Nano-Micro Letters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y fmtid="{D5CDD505-2E9C-101B-9397-08002B2CF9AE}" pid="22" name="Mendeley Document_1">
    <vt:lpwstr>True</vt:lpwstr>
  </property>
  <property fmtid="{D5CDD505-2E9C-101B-9397-08002B2CF9AE}" pid="23" name="Mendeley Unique User Id_1">
    <vt:lpwstr>7df1090b-8392-3370-a5da-c0e49e776827</vt:lpwstr>
  </property>
  <property fmtid="{D5CDD505-2E9C-101B-9397-08002B2CF9AE}" pid="24" name="Mendeley Citation Style_1">
    <vt:lpwstr>http://www.zotero.org/styles/journal-of-nanobiotechnology</vt:lpwstr>
  </property>
</Properties>
</file>