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0" w:line="26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Supporting Information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ascii="Times New Roman" w:hAnsi="Times New Roman" w:cs="Times New Roman"/>
          <w:b/>
          <w:bCs/>
          <w:kern w:val="24"/>
          <w:sz w:val="18"/>
          <w:szCs w:val="18"/>
        </w:rPr>
      </w:pP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>Table S1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 xml:space="preserve"> PCR primers used in this study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382"/>
        <w:gridCol w:w="19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Primer</w:t>
            </w:r>
          </w:p>
        </w:tc>
        <w:tc>
          <w:tcPr>
            <w:tcW w:w="33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Primer sequence</w:t>
            </w:r>
          </w:p>
        </w:tc>
        <w:tc>
          <w:tcPr>
            <w:tcW w:w="19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97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CRY1C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-F</w:t>
            </w:r>
          </w:p>
        </w:tc>
        <w:tc>
          <w:tcPr>
            <w:tcW w:w="3382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AAAGAATCGCTGAGTTCGCTAG</w:t>
            </w:r>
          </w:p>
        </w:tc>
        <w:tc>
          <w:tcPr>
            <w:tcW w:w="1925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CRY1C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AAGAAGTCCATCAAGGATACGG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CRY2A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-F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TTCCTGCTGAAATAAGGTGGGT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CRY2A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ACGAGCGAGGGTGTCAGTGTT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eastAsia="zh-CN"/>
              </w:rPr>
              <w:t>Actin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-F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TTCGGACCCAAGAATGCTAAG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Actin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AACAGATAGGCCGGTTGAAAAC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N1-CRY1C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-F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TTTCGCCATGTGTTGAGCATA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Nester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PCR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N1-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CRY1C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TGGAATTGTGAGCGGATAACA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N2-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CRY2A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-F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CCAGTACTAAAATCCAGATCCCC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Nester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PCR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N2-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CRY2A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TCACACAGGAAACAGCTATGACC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b/>
          <w:bCs/>
          <w:kern w:val="24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260" w:lineRule="auto"/>
        <w:jc w:val="center"/>
        <w:textAlignment w:val="auto"/>
        <w:rPr>
          <w:rFonts w:ascii="Times New Roman" w:hAnsi="Times New Roman" w:eastAsia="楷体"/>
          <w:sz w:val="18"/>
          <w:szCs w:val="18"/>
        </w:rPr>
      </w:pP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Table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S2  R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elative expression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level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 of </w:t>
      </w:r>
      <w:r>
        <w:rPr>
          <w:rFonts w:hint="eastAsia" w:ascii="Times New Roman" w:hAnsi="Times New Roman" w:eastAsia="宋体" w:cs="Times New Roman"/>
          <w:b/>
          <w:bCs/>
          <w:i/>
          <w:iCs/>
          <w:kern w:val="24"/>
          <w:sz w:val="18"/>
          <w:szCs w:val="18"/>
          <w:lang w:val="en-US" w:eastAsia="zh-CN" w:bidi="ar-SA"/>
        </w:rPr>
        <w:t>CRY1C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 and </w:t>
      </w:r>
      <w:r>
        <w:rPr>
          <w:rFonts w:hint="eastAsia" w:ascii="Times New Roman" w:hAnsi="Times New Roman" w:eastAsia="宋体" w:cs="Times New Roman"/>
          <w:b/>
          <w:bCs/>
          <w:i/>
          <w:iCs/>
          <w:kern w:val="24"/>
          <w:sz w:val="18"/>
          <w:szCs w:val="18"/>
          <w:lang w:val="en-US" w:eastAsia="zh-CN" w:bidi="ar-SA"/>
        </w:rPr>
        <w:t>CRY2A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 in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stems of three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transgenic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lines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at different stages</w:t>
      </w:r>
    </w:p>
    <w:tbl>
      <w:tblPr>
        <w:tblStyle w:val="3"/>
        <w:tblW w:w="775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1306"/>
        <w:gridCol w:w="1231"/>
        <w:gridCol w:w="1633"/>
        <w:gridCol w:w="166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919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Tissue</w:t>
            </w:r>
          </w:p>
        </w:tc>
        <w:tc>
          <w:tcPr>
            <w:tcW w:w="5836" w:type="dxa"/>
            <w:gridSpan w:val="4"/>
            <w:tcBorders>
              <w:top w:val="single" w:color="auto" w:sz="12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Relative expression level of </w:t>
            </w: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eastAsia="zh-CN"/>
              </w:rPr>
              <w:t>CRY1C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/</w:t>
            </w: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val="en-US" w:eastAsia="zh-CN"/>
              </w:rPr>
              <w:t>CRY2A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(2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vertAlign w:val="superscript"/>
                <w:lang w:eastAsia="zh-CN"/>
              </w:rPr>
              <w:t>−ΔΔCT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919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H891(1C)</w:t>
            </w:r>
          </w:p>
        </w:tc>
        <w:tc>
          <w:tcPr>
            <w:tcW w:w="12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H891(2A)</w:t>
            </w:r>
          </w:p>
        </w:tc>
        <w:tc>
          <w:tcPr>
            <w:tcW w:w="329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H891(1C+2A)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1919" w:type="dxa"/>
            <w:vMerge w:val="continue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306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eastAsia="zh-CN"/>
              </w:rPr>
              <w:t>CRY1C</w:t>
            </w:r>
          </w:p>
        </w:tc>
        <w:tc>
          <w:tcPr>
            <w:tcW w:w="1231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val="en-US" w:eastAsia="zh-CN"/>
              </w:rPr>
              <w:t>CRY2A</w:t>
            </w:r>
          </w:p>
        </w:tc>
        <w:tc>
          <w:tcPr>
            <w:tcW w:w="1633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eastAsia="zh-CN"/>
              </w:rPr>
              <w:t>CRY1C</w:t>
            </w:r>
          </w:p>
        </w:tc>
        <w:tc>
          <w:tcPr>
            <w:tcW w:w="1666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val="en-US" w:eastAsia="zh-CN"/>
              </w:rPr>
              <w:t>CRY2A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919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tillering stage</w:t>
            </w:r>
          </w:p>
        </w:tc>
        <w:tc>
          <w:tcPr>
            <w:tcW w:w="130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2.9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31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2.97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633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2.47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6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2.56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919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heading stage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15.4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13.06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5.72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12.04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11</w:t>
            </w:r>
          </w:p>
        </w:tc>
      </w:tr>
    </w:tbl>
    <w:p>
      <w:pPr>
        <w:jc w:val="center"/>
        <w:rPr>
          <w:rFonts w:ascii="Times New Roman" w:hAnsi="Times New Roman" w:eastAsia="楷体"/>
          <w:sz w:val="18"/>
          <w:szCs w:val="18"/>
        </w:rPr>
      </w:pPr>
      <w:r>
        <w:rPr>
          <w:rFonts w:ascii="Times New Roman" w:hAnsi="Times New Roman" w:eastAsia="楷体"/>
          <w:sz w:val="18"/>
          <w:szCs w:val="18"/>
        </w:rPr>
        <w:t>Note: The data presented are the mean ± standard deviation, n = 3.</w:t>
      </w:r>
    </w:p>
    <w:p>
      <w:pPr>
        <w:pStyle w:val="2"/>
        <w:spacing w:before="0" w:beforeAutospacing="0" w:after="0" w:afterAutospacing="0"/>
        <w:jc w:val="center"/>
        <w:textAlignment w:val="baseline"/>
        <w:rPr>
          <w:rFonts w:hint="eastAsia" w:ascii="Times New Roman" w:hAnsi="Times New Roman" w:eastAsia="楷体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260" w:lineRule="auto"/>
        <w:jc w:val="center"/>
        <w:textAlignment w:val="auto"/>
        <w:rPr>
          <w:rFonts w:ascii="Times New Roman" w:hAnsi="Times New Roman" w:eastAsia="楷体"/>
          <w:sz w:val="18"/>
          <w:szCs w:val="18"/>
        </w:rPr>
      </w:pPr>
      <w:r>
        <w:rPr>
          <w:rFonts w:hint="eastAsia" w:ascii="Times New Roman" w:hAnsi="Times New Roman" w:eastAsia="楷体"/>
          <w:b/>
          <w:bCs/>
          <w:sz w:val="18"/>
          <w:szCs w:val="18"/>
        </w:rPr>
        <w:t>Table</w:t>
      </w:r>
      <w:r>
        <w:rPr>
          <w:rFonts w:ascii="Times New Roman" w:hAnsi="Times New Roman" w:eastAsia="楷体"/>
          <w:b/>
          <w:bCs/>
          <w:sz w:val="18"/>
          <w:szCs w:val="18"/>
        </w:rPr>
        <w:t xml:space="preserve"> S</w:t>
      </w:r>
      <w:r>
        <w:rPr>
          <w:rFonts w:hint="eastAsia" w:ascii="Times New Roman" w:hAnsi="Times New Roman" w:eastAsia="楷体"/>
          <w:b/>
          <w:bCs/>
          <w:sz w:val="18"/>
          <w:szCs w:val="18"/>
          <w:lang w:val="en-US" w:eastAsia="zh-CN"/>
        </w:rPr>
        <w:t xml:space="preserve">3 </w:t>
      </w:r>
      <w:r>
        <w:rPr>
          <w:rFonts w:hint="eastAsia" w:ascii="Times New Roman" w:hAnsi="Times New Roman" w:eastAsia="楷体"/>
          <w:b/>
          <w:bCs/>
          <w:sz w:val="18"/>
          <w:szCs w:val="18"/>
        </w:rPr>
        <w:t xml:space="preserve"> </w:t>
      </w:r>
      <w:r>
        <w:rPr>
          <w:rFonts w:ascii="Times New Roman" w:hAnsi="Times New Roman" w:eastAsia="楷体"/>
          <w:b/>
          <w:bCs/>
          <w:sz w:val="18"/>
          <w:szCs w:val="18"/>
        </w:rPr>
        <w:t>Cry1C</w:t>
      </w:r>
      <w:r>
        <w:rPr>
          <w:rFonts w:hint="eastAsia" w:ascii="Times New Roman" w:hAnsi="Times New Roman" w:eastAsia="楷体"/>
          <w:b/>
          <w:bCs/>
          <w:sz w:val="18"/>
          <w:szCs w:val="18"/>
          <w:lang w:val="en-US" w:eastAsia="zh-CN"/>
        </w:rPr>
        <w:t xml:space="preserve"> and </w:t>
      </w:r>
      <w:r>
        <w:rPr>
          <w:rFonts w:ascii="Times New Roman" w:hAnsi="Times New Roman" w:eastAsia="楷体"/>
          <w:b/>
          <w:bCs/>
          <w:sz w:val="18"/>
          <w:szCs w:val="18"/>
        </w:rPr>
        <w:t>Cry</w:t>
      </w:r>
      <w:r>
        <w:rPr>
          <w:rFonts w:hint="eastAsia" w:ascii="Times New Roman" w:hAnsi="Times New Roman" w:eastAsia="楷体"/>
          <w:b/>
          <w:bCs/>
          <w:sz w:val="18"/>
          <w:szCs w:val="18"/>
          <w:lang w:val="en-US" w:eastAsia="zh-CN"/>
        </w:rPr>
        <w:t>2A</w:t>
      </w:r>
      <w:r>
        <w:rPr>
          <w:rFonts w:ascii="Times New Roman" w:hAnsi="Times New Roman" w:eastAsia="楷体"/>
          <w:b/>
          <w:bCs/>
          <w:sz w:val="18"/>
          <w:szCs w:val="18"/>
        </w:rPr>
        <w:t xml:space="preserve"> protein content (μg·g</w:t>
      </w:r>
      <w:r>
        <w:rPr>
          <w:rFonts w:ascii="Times New Roman" w:hAnsi="Times New Roman" w:eastAsia="楷体"/>
          <w:b/>
          <w:bCs/>
          <w:sz w:val="18"/>
          <w:szCs w:val="18"/>
          <w:vertAlign w:val="superscript"/>
        </w:rPr>
        <w:t>−1</w:t>
      </w:r>
      <w:r>
        <w:rPr>
          <w:rFonts w:ascii="Times New Roman" w:hAnsi="Times New Roman" w:eastAsia="楷体"/>
          <w:b/>
          <w:bCs/>
          <w:sz w:val="18"/>
          <w:szCs w:val="18"/>
        </w:rPr>
        <w:t xml:space="preserve">)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in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stems of three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transgenic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lines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at different stages</w:t>
      </w:r>
      <w:r>
        <w:rPr>
          <w:rFonts w:ascii="Times New Roman" w:hAnsi="Times New Roman" w:eastAsia="楷体"/>
          <w:sz w:val="18"/>
          <w:szCs w:val="18"/>
        </w:rPr>
        <w:t xml:space="preserve"> </w:t>
      </w:r>
    </w:p>
    <w:tbl>
      <w:tblPr>
        <w:tblStyle w:val="3"/>
        <w:tblW w:w="770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1302"/>
        <w:gridCol w:w="1227"/>
        <w:gridCol w:w="1628"/>
        <w:gridCol w:w="16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887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Tissue</w:t>
            </w:r>
          </w:p>
        </w:tc>
        <w:tc>
          <w:tcPr>
            <w:tcW w:w="5821" w:type="dxa"/>
            <w:gridSpan w:val="4"/>
            <w:tcBorders>
              <w:top w:val="single" w:color="auto" w:sz="12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Cry1C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/Cry2A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protein content (μg·g−1)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H891(1C)</w:t>
            </w:r>
          </w:p>
        </w:tc>
        <w:tc>
          <w:tcPr>
            <w:tcW w:w="12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H891(2A)</w:t>
            </w: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H891(1C+2A)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302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8"/>
                <w:szCs w:val="18"/>
                <w:lang w:eastAsia="zh-CN"/>
              </w:rPr>
              <w:t>Cry1C</w:t>
            </w:r>
          </w:p>
        </w:tc>
        <w:tc>
          <w:tcPr>
            <w:tcW w:w="1227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8"/>
                <w:szCs w:val="18"/>
                <w:lang w:val="en-US" w:eastAsia="zh-CN"/>
              </w:rPr>
              <w:t>Cry2A</w:t>
            </w:r>
          </w:p>
        </w:tc>
        <w:tc>
          <w:tcPr>
            <w:tcW w:w="1628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8"/>
                <w:szCs w:val="18"/>
                <w:lang w:eastAsia="zh-CN"/>
              </w:rPr>
              <w:t>Cry1C</w:t>
            </w:r>
          </w:p>
        </w:tc>
        <w:tc>
          <w:tcPr>
            <w:tcW w:w="1664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8"/>
                <w:szCs w:val="18"/>
                <w:lang w:val="en-US" w:eastAsia="zh-CN"/>
              </w:rPr>
              <w:t>Cry2A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88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tillering stage</w:t>
            </w:r>
          </w:p>
        </w:tc>
        <w:tc>
          <w:tcPr>
            <w:tcW w:w="1302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1.42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2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11.3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88</w:t>
            </w:r>
          </w:p>
        </w:tc>
        <w:tc>
          <w:tcPr>
            <w:tcW w:w="1628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0.89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66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10.84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88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heading stage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2.8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0.28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12.6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1.78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17.68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89</w:t>
            </w: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hint="eastAsia" w:ascii="Times New Roman" w:hAnsi="Times New Roman" w:eastAsia="楷体"/>
          <w:sz w:val="18"/>
          <w:szCs w:val="18"/>
          <w:lang w:val="en-US" w:eastAsia="zh-CN"/>
        </w:rPr>
      </w:pPr>
      <w:r>
        <w:rPr>
          <w:rFonts w:ascii="Times New Roman" w:hAnsi="Times New Roman" w:eastAsia="楷体"/>
          <w:sz w:val="18"/>
          <w:szCs w:val="18"/>
        </w:rPr>
        <w:t>Note: The data presented are the mean ± standard deviation, n = 3</w:t>
      </w:r>
      <w:r>
        <w:rPr>
          <w:rFonts w:hint="eastAsia" w:ascii="Times New Roman" w:hAnsi="Times New Roman" w:eastAsia="楷体"/>
          <w:sz w:val="18"/>
          <w:szCs w:val="18"/>
          <w:lang w:val="en-US" w:eastAsia="zh-CN"/>
        </w:rPr>
        <w:t>.</w:t>
      </w:r>
    </w:p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eastAsia="楷体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260" w:lineRule="auto"/>
        <w:jc w:val="center"/>
        <w:textAlignment w:val="auto"/>
        <w:rPr>
          <w:rFonts w:hint="default" w:ascii="Times New Roman" w:hAnsi="Times New Roman" w:eastAsia="楷体"/>
          <w:sz w:val="18"/>
          <w:szCs w:val="18"/>
          <w:lang w:val="en-US" w:eastAsia="zh-CN"/>
        </w:rPr>
      </w:pPr>
      <w:r>
        <w:rPr>
          <w:rFonts w:ascii="Times New Roman" w:hAnsi="Times New Roman" w:eastAsia="楷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eastAsia="楷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楷体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4 </w:t>
      </w:r>
      <w:r>
        <w:rPr>
          <w:rFonts w:ascii="Times New Roman" w:hAnsi="Times New Roman" w:eastAsia="楷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Rate(%) of deadhearts</w:t>
      </w:r>
      <w:r>
        <w:rPr>
          <w:rFonts w:hint="eastAsia" w:ascii="Times New Roman" w:hAnsi="Times New Roman" w:eastAsia="宋体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and white spikelets</w:t>
      </w:r>
      <w:r>
        <w:rPr>
          <w:rFonts w:hint="eastAsia" w:ascii="Times New Roman" w:hAnsi="Times New Roman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in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transgenic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lines and recurrent parent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across field experiments</w:t>
      </w:r>
      <w:r>
        <w:rPr>
          <w:rFonts w:hint="eastAsia" w:ascii="Times New Roman" w:hAnsi="Times New Roman" w:eastAsia="楷体"/>
          <w:sz w:val="18"/>
          <w:szCs w:val="18"/>
          <w:lang w:val="en-US" w:eastAsia="zh-CN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2550"/>
        <w:gridCol w:w="295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7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Tissue</w:t>
            </w:r>
          </w:p>
        </w:tc>
        <w:tc>
          <w:tcPr>
            <w:tcW w:w="255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tillering stage</w:t>
            </w:r>
          </w:p>
        </w:tc>
        <w:tc>
          <w:tcPr>
            <w:tcW w:w="2955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heading stage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7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25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Rate(%) of deadhearts</w:t>
            </w:r>
          </w:p>
        </w:tc>
        <w:tc>
          <w:tcPr>
            <w:tcW w:w="295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Rate(%) of white spikelets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7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</w:t>
            </w:r>
          </w:p>
        </w:tc>
        <w:tc>
          <w:tcPr>
            <w:tcW w:w="255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31.45±0.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87</w:t>
            </w:r>
          </w:p>
        </w:tc>
        <w:tc>
          <w:tcPr>
            <w:tcW w:w="2955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29.31±0.05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7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  <w:tc>
          <w:tcPr>
            <w:tcW w:w="25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2.93±0.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29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1.4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7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  <w:tc>
          <w:tcPr>
            <w:tcW w:w="25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2.33±0.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9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1.4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70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  <w:tc>
          <w:tcPr>
            <w:tcW w:w="2550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1.03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2955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72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02</w:t>
            </w:r>
          </w:p>
        </w:tc>
      </w:tr>
    </w:tbl>
    <w:p>
      <w:pPr>
        <w:jc w:val="center"/>
        <w:rPr>
          <w:rFonts w:hint="eastAsia" w:ascii="Times New Roman" w:hAnsi="Times New Roman" w:eastAsia="楷体"/>
          <w:sz w:val="18"/>
          <w:szCs w:val="18"/>
          <w:lang w:val="en-US" w:eastAsia="zh-CN"/>
        </w:rPr>
      </w:pPr>
      <w:r>
        <w:rPr>
          <w:rFonts w:ascii="Times New Roman" w:hAnsi="Times New Roman" w:eastAsia="楷体"/>
          <w:sz w:val="18"/>
          <w:szCs w:val="18"/>
        </w:rPr>
        <w:t>Note: The data presented are the mean ± standard deviation, n = 10</w:t>
      </w:r>
      <w:r>
        <w:rPr>
          <w:rFonts w:hint="eastAsia" w:ascii="Times New Roman" w:hAnsi="Times New Roman" w:eastAsia="楷体"/>
          <w:sz w:val="18"/>
          <w:szCs w:val="18"/>
          <w:lang w:val="en-US" w:eastAsia="zh-CN"/>
        </w:rPr>
        <w:t>.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5</w:t>
      </w: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Physical location of molecular markers</w:t>
      </w:r>
    </w:p>
    <w:tbl>
      <w:tblPr>
        <w:tblStyle w:val="3"/>
        <w:tblW w:w="687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2029"/>
        <w:gridCol w:w="1269"/>
        <w:gridCol w:w="28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1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Chr </w:t>
            </w:r>
          </w:p>
        </w:tc>
        <w:tc>
          <w:tcPr>
            <w:tcW w:w="202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Chromosome length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/Mb</w:t>
            </w:r>
          </w:p>
        </w:tc>
        <w:tc>
          <w:tcPr>
            <w:tcW w:w="126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Marke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r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_num</w:t>
            </w:r>
          </w:p>
        </w:tc>
        <w:tc>
          <w:tcPr>
            <w:tcW w:w="286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Average length between markers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/Mb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1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202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435.10</w:t>
            </w:r>
          </w:p>
        </w:tc>
        <w:tc>
          <w:tcPr>
            <w:tcW w:w="126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286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358.50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chr3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363.00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chr4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351.80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chr5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296.70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chr6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309.80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chr7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295.60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chr8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280.70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chr9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229.20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chr10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227.50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chr11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284.00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chr12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273.00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7.00</w:t>
            </w: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6</w:t>
      </w: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Genetic back</w:t>
      </w:r>
      <w:bookmarkStart w:id="1" w:name="_GoBack"/>
      <w:bookmarkEnd w:id="1"/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ground response rate statistics</w:t>
      </w:r>
    </w:p>
    <w:tbl>
      <w:tblPr>
        <w:tblStyle w:val="3"/>
        <w:tblW w:w="893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4"/>
        <w:gridCol w:w="1123"/>
        <w:gridCol w:w="1523"/>
        <w:gridCol w:w="1332"/>
        <w:gridCol w:w="1741"/>
        <w:gridCol w:w="18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1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Lines</w:t>
            </w:r>
          </w:p>
        </w:tc>
        <w:tc>
          <w:tcPr>
            <w:tcW w:w="112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Number of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SSR marker</w:t>
            </w:r>
          </w:p>
        </w:tc>
        <w:tc>
          <w:tcPr>
            <w:tcW w:w="152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Number of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polymorphic SSR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marker</w:t>
            </w:r>
          </w:p>
        </w:tc>
        <w:tc>
          <w:tcPr>
            <w:tcW w:w="13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Polymorphic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marker rate / %</w:t>
            </w:r>
          </w:p>
        </w:tc>
        <w:tc>
          <w:tcPr>
            <w:tcW w:w="174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Theoretical genetic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background response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rate / %</w:t>
            </w:r>
          </w:p>
        </w:tc>
        <w:tc>
          <w:tcPr>
            <w:tcW w:w="180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Actual genetic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background response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rate / 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41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</w:t>
            </w:r>
          </w:p>
        </w:tc>
        <w:tc>
          <w:tcPr>
            <w:tcW w:w="112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512 </w:t>
            </w:r>
          </w:p>
        </w:tc>
        <w:tc>
          <w:tcPr>
            <w:tcW w:w="152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22 </w:t>
            </w:r>
          </w:p>
        </w:tc>
        <w:tc>
          <w:tcPr>
            <w:tcW w:w="13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4.29</w:t>
            </w:r>
          </w:p>
        </w:tc>
        <w:tc>
          <w:tcPr>
            <w:tcW w:w="17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93. 75</w:t>
            </w:r>
          </w:p>
        </w:tc>
        <w:tc>
          <w:tcPr>
            <w:tcW w:w="180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97.85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512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15 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 2.93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93. 75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98.54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512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19 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 3.71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93. 75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98.14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512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100</w:t>
            </w: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kern w:val="24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 xml:space="preserve">7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Result information of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COG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analysis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between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three transgenic lines and recurrent parent</w:t>
      </w:r>
    </w:p>
    <w:tbl>
      <w:tblPr>
        <w:tblStyle w:val="3"/>
        <w:tblW w:w="947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4548"/>
        <w:gridCol w:w="1036"/>
        <w:gridCol w:w="219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701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COG category</w:t>
            </w:r>
          </w:p>
        </w:tc>
        <w:tc>
          <w:tcPr>
            <w:tcW w:w="454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Category description</w:t>
            </w:r>
          </w:p>
        </w:tc>
        <w:tc>
          <w:tcPr>
            <w:tcW w:w="1036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Number of proteins</w:t>
            </w:r>
          </w:p>
        </w:tc>
        <w:tc>
          <w:tcPr>
            <w:tcW w:w="2191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Between groups of enrichment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1701" w:type="dxa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548" w:type="dxa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Carbohydrate transport and metabolism</w:t>
            </w:r>
          </w:p>
        </w:tc>
        <w:tc>
          <w:tcPr>
            <w:tcW w:w="1036" w:type="dxa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191" w:type="dxa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7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54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Carbohydrate transport and metabolism</w:t>
            </w:r>
          </w:p>
        </w:tc>
        <w:tc>
          <w:tcPr>
            <w:tcW w:w="103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19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701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548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Carbohydrate transport and metabolism</w:t>
            </w:r>
          </w:p>
        </w:tc>
        <w:tc>
          <w:tcPr>
            <w:tcW w:w="1036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191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Coenzyme transport and metabolism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Coenzyme transport and metabolism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Coenzyme transport and metabolism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Posttranslational modification, protein turnover, chaperones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Posttranslational modification, protein turnover, chaperones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Posttranslational modification, protein turnover, chaperones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Poorly characterize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Function unknown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Poorly characterize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Function unknown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Poorly characterize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Function unknown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Signal transduction mechanisms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Signal transduction mechanisms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Signal transduction mechanisms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19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kern w:val="24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bookmarkStart w:id="0" w:name="_Hlk75918156"/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Result information of KEGG pathway enrichment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between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bookmarkEnd w:id="0"/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three transgenic lines and recurrent parent</w:t>
      </w:r>
    </w:p>
    <w:tbl>
      <w:tblPr>
        <w:tblStyle w:val="3"/>
        <w:tblW w:w="9317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248"/>
        <w:gridCol w:w="878"/>
        <w:gridCol w:w="1080"/>
        <w:gridCol w:w="898"/>
        <w:gridCol w:w="222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86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Terms</w:t>
            </w:r>
          </w:p>
        </w:tc>
        <w:tc>
          <w:tcPr>
            <w:tcW w:w="324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KEGG pathway name</w:t>
            </w:r>
          </w:p>
        </w:tc>
        <w:tc>
          <w:tcPr>
            <w:tcW w:w="87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Mapping</w:t>
            </w:r>
          </w:p>
        </w:tc>
        <w:tc>
          <w:tcPr>
            <w:tcW w:w="108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Fold enrichment</w:t>
            </w:r>
          </w:p>
        </w:tc>
        <w:tc>
          <w:tcPr>
            <w:tcW w:w="89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 value</w:t>
            </w:r>
          </w:p>
        </w:tc>
        <w:tc>
          <w:tcPr>
            <w:tcW w:w="2227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Between groups of enrichment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8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map00460</w:t>
            </w:r>
          </w:p>
        </w:tc>
        <w:tc>
          <w:tcPr>
            <w:tcW w:w="324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Cyanoamino acid metabolism</w:t>
            </w:r>
          </w:p>
        </w:tc>
        <w:tc>
          <w:tcPr>
            <w:tcW w:w="87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3.16</w:t>
            </w:r>
          </w:p>
        </w:tc>
        <w:tc>
          <w:tcPr>
            <w:tcW w:w="89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1.90E-02</w:t>
            </w:r>
          </w:p>
        </w:tc>
        <w:tc>
          <w:tcPr>
            <w:tcW w:w="2227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map00460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Cyanoamino acid metabolism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3.02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1.25E-02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map00460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Cyanoamino acid metabolism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3.72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2.12E-03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map00260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Glycine, serine and threonine metabolism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2.77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1.19E-02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map00260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Glycine, serine and threonine metabolism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2.20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3.69E-02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map00260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Glycine, serine and threonine metabolism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1.59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3.59E-01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kern w:val="24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Analysis of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LSD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table for 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CH891(1C)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,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CH891(2A)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,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CH891(1C+2A)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and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CH891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across field experiments</w:t>
      </w:r>
    </w:p>
    <w:tbl>
      <w:tblPr>
        <w:tblStyle w:val="3"/>
        <w:tblW w:w="815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2153"/>
        <w:gridCol w:w="1301"/>
        <w:gridCol w:w="901"/>
        <w:gridCol w:w="16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17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Trait</w:t>
            </w:r>
          </w:p>
        </w:tc>
        <w:tc>
          <w:tcPr>
            <w:tcW w:w="2153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Group</w:t>
            </w:r>
          </w:p>
        </w:tc>
        <w:tc>
          <w:tcPr>
            <w:tcW w:w="1301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Mean squarea</w:t>
            </w:r>
          </w:p>
        </w:tc>
        <w:tc>
          <w:tcPr>
            <w:tcW w:w="901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 value</w:t>
            </w:r>
          </w:p>
        </w:tc>
        <w:tc>
          <w:tcPr>
            <w:tcW w:w="1633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Letter label LSD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17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 length</w:t>
            </w:r>
          </w:p>
        </w:tc>
        <w:tc>
          <w:tcPr>
            <w:tcW w:w="215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26.73</w:t>
            </w:r>
          </w:p>
        </w:tc>
        <w:tc>
          <w:tcPr>
            <w:tcW w:w="90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1.92</w:t>
            </w:r>
          </w:p>
        </w:tc>
        <w:tc>
          <w:tcPr>
            <w:tcW w:w="163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 length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23.94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3.01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 length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23.08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2.34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panicles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7.90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1.14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panicles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7.40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0.92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panicles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7.00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1.18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grains per panicle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162.21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29.63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grains per panicle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149.00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34.72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grains per panicle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159.53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31.21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seed-set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84.93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12.40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seed-set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82.87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8.08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seed-set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89.25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8.62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weight per 1000-grain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23.36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0.66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weight per 1000-grain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23.13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0.53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weight per 1000-grain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23.45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0.58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yield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25.43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7.70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yield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25.17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5.62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yield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25.16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4.76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brown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74.55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0.42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brown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78.72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0.28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brown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76.48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head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48.32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0.72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head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63.26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0.77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head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62.25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0.74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 length to width ratio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3.16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0.04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 length to width ratio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3.30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0.03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 length to width ratio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3.12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0.03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chalkiness degree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3.29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chalkiness degree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3.58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chalkiness degree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3.35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0.59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gel consistency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51.15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1.08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gel consistency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51.20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1.34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gel consistency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50.71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1.73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amylose content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15.63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1.47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amylose content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17.07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1.22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amylose content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13.50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1.22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2240" w:h="15840"/>
      <w:pgMar w:top="1440" w:right="1440" w:bottom="1440" w:left="1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GARAD-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45B0"/>
    <w:rsid w:val="000055F8"/>
    <w:rsid w:val="0004265B"/>
    <w:rsid w:val="000505C2"/>
    <w:rsid w:val="00052F20"/>
    <w:rsid w:val="000B4919"/>
    <w:rsid w:val="000C0FC0"/>
    <w:rsid w:val="000C725B"/>
    <w:rsid w:val="000E68B7"/>
    <w:rsid w:val="0012312A"/>
    <w:rsid w:val="00123FC7"/>
    <w:rsid w:val="001301D7"/>
    <w:rsid w:val="00135008"/>
    <w:rsid w:val="001555FC"/>
    <w:rsid w:val="00155C15"/>
    <w:rsid w:val="001A4F8A"/>
    <w:rsid w:val="001D1772"/>
    <w:rsid w:val="001D380B"/>
    <w:rsid w:val="001E3C67"/>
    <w:rsid w:val="001F26BE"/>
    <w:rsid w:val="00235116"/>
    <w:rsid w:val="00241A47"/>
    <w:rsid w:val="00245100"/>
    <w:rsid w:val="002F79D8"/>
    <w:rsid w:val="00311B6F"/>
    <w:rsid w:val="00336C52"/>
    <w:rsid w:val="00351B38"/>
    <w:rsid w:val="00354E45"/>
    <w:rsid w:val="00394B8C"/>
    <w:rsid w:val="003E5945"/>
    <w:rsid w:val="003F1414"/>
    <w:rsid w:val="003F67AB"/>
    <w:rsid w:val="004507F3"/>
    <w:rsid w:val="004658C2"/>
    <w:rsid w:val="004A1D17"/>
    <w:rsid w:val="004A23BB"/>
    <w:rsid w:val="00527625"/>
    <w:rsid w:val="005359F5"/>
    <w:rsid w:val="0054353D"/>
    <w:rsid w:val="005740BB"/>
    <w:rsid w:val="00596E42"/>
    <w:rsid w:val="005B7460"/>
    <w:rsid w:val="005E4968"/>
    <w:rsid w:val="00650D18"/>
    <w:rsid w:val="00675887"/>
    <w:rsid w:val="006F24B2"/>
    <w:rsid w:val="0070255B"/>
    <w:rsid w:val="00726C73"/>
    <w:rsid w:val="007A0781"/>
    <w:rsid w:val="007B6E76"/>
    <w:rsid w:val="00826A57"/>
    <w:rsid w:val="00861FD5"/>
    <w:rsid w:val="00867BAB"/>
    <w:rsid w:val="00895616"/>
    <w:rsid w:val="008965A1"/>
    <w:rsid w:val="008A15CA"/>
    <w:rsid w:val="008A5937"/>
    <w:rsid w:val="008D04FD"/>
    <w:rsid w:val="008D4736"/>
    <w:rsid w:val="008E6614"/>
    <w:rsid w:val="008F3ABD"/>
    <w:rsid w:val="009014FD"/>
    <w:rsid w:val="009B695B"/>
    <w:rsid w:val="009C752E"/>
    <w:rsid w:val="009E04A0"/>
    <w:rsid w:val="00A10386"/>
    <w:rsid w:val="00A15B10"/>
    <w:rsid w:val="00A65CBE"/>
    <w:rsid w:val="00A67A9B"/>
    <w:rsid w:val="00A807A3"/>
    <w:rsid w:val="00A8741E"/>
    <w:rsid w:val="00A94AE2"/>
    <w:rsid w:val="00AC6702"/>
    <w:rsid w:val="00B143DF"/>
    <w:rsid w:val="00B4429C"/>
    <w:rsid w:val="00B82FAF"/>
    <w:rsid w:val="00BD3B34"/>
    <w:rsid w:val="00C51B2A"/>
    <w:rsid w:val="00C55BD8"/>
    <w:rsid w:val="00C61E60"/>
    <w:rsid w:val="00C74080"/>
    <w:rsid w:val="00C8797A"/>
    <w:rsid w:val="00CA0108"/>
    <w:rsid w:val="00CC7689"/>
    <w:rsid w:val="00CD1605"/>
    <w:rsid w:val="00CD5EA9"/>
    <w:rsid w:val="00D25520"/>
    <w:rsid w:val="00D427A7"/>
    <w:rsid w:val="00D863FE"/>
    <w:rsid w:val="00D93B7D"/>
    <w:rsid w:val="00D9482F"/>
    <w:rsid w:val="00DA191E"/>
    <w:rsid w:val="00DC69EA"/>
    <w:rsid w:val="00E166A1"/>
    <w:rsid w:val="00E230B9"/>
    <w:rsid w:val="00E715A3"/>
    <w:rsid w:val="00E76862"/>
    <w:rsid w:val="00E821D4"/>
    <w:rsid w:val="00ED242D"/>
    <w:rsid w:val="00EE65E0"/>
    <w:rsid w:val="00F53BFB"/>
    <w:rsid w:val="00FA508C"/>
    <w:rsid w:val="00FB50CB"/>
    <w:rsid w:val="00FD0FB2"/>
    <w:rsid w:val="00FD75AA"/>
    <w:rsid w:val="08985A8D"/>
    <w:rsid w:val="0E240A10"/>
    <w:rsid w:val="120C2936"/>
    <w:rsid w:val="146E29A1"/>
    <w:rsid w:val="198C760F"/>
    <w:rsid w:val="1DF43FBD"/>
    <w:rsid w:val="1FC55E39"/>
    <w:rsid w:val="28F71990"/>
    <w:rsid w:val="2D755E19"/>
    <w:rsid w:val="2DDE7D4D"/>
    <w:rsid w:val="2E1632D7"/>
    <w:rsid w:val="37C12AEF"/>
    <w:rsid w:val="3AFE2292"/>
    <w:rsid w:val="3D721F59"/>
    <w:rsid w:val="404C515E"/>
    <w:rsid w:val="44A6167E"/>
    <w:rsid w:val="49832066"/>
    <w:rsid w:val="4BB270B2"/>
    <w:rsid w:val="4D3A1CEC"/>
    <w:rsid w:val="4EDC516A"/>
    <w:rsid w:val="50CE411A"/>
    <w:rsid w:val="53E269EB"/>
    <w:rsid w:val="5C095B1A"/>
    <w:rsid w:val="5EF000F2"/>
    <w:rsid w:val="62182E91"/>
    <w:rsid w:val="62A10CB4"/>
    <w:rsid w:val="67D10F1B"/>
    <w:rsid w:val="67D670F0"/>
    <w:rsid w:val="682C235C"/>
    <w:rsid w:val="6D9947BB"/>
    <w:rsid w:val="6E317AC8"/>
    <w:rsid w:val="765719A6"/>
    <w:rsid w:val="7D831F77"/>
    <w:rsid w:val="7E8D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eastAsia="宋体" w:cs="宋体"/>
      <w:sz w:val="24"/>
      <w:szCs w:val="24"/>
      <w:lang w:eastAsia="zh-CN"/>
    </w:rPr>
  </w:style>
  <w:style w:type="table" w:styleId="4">
    <w:name w:val="Table Grid"/>
    <w:basedOn w:val="3"/>
    <w:qFormat/>
    <w:uiPriority w:val="59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style01"/>
    <w:basedOn w:val="5"/>
    <w:qFormat/>
    <w:uiPriority w:val="0"/>
    <w:rPr>
      <w:rFonts w:hint="default" w:ascii="AdvGARAD-R" w:hAnsi="AdvGARAD-R"/>
      <w:color w:val="242021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948</Characters>
  <Lines>7</Lines>
  <Paragraphs>2</Paragraphs>
  <TotalTime>2</TotalTime>
  <ScaleCrop>false</ScaleCrop>
  <LinksUpToDate>false</LinksUpToDate>
  <CharactersWithSpaces>1112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2021-05-12T09:11:00Z</dcterms:created>
  <dc:creator>Vasuki A.</dc:creator>
  <cp:lastModifiedBy>安得烈克里斯托夫·基耶斯诺夫斯基</cp:lastModifiedBy>
  <dcterms:modified xsi:type="dcterms:W3CDTF">2022-04-29T09:50:46Z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