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FAB69D" w14:textId="77777777" w:rsidR="00C63ACE" w:rsidRPr="0057272B" w:rsidRDefault="00C63ACE" w:rsidP="00C63ACE">
      <w:pPr>
        <w:spacing w:before="120" w:after="120" w:line="480" w:lineRule="auto"/>
        <w:rPr>
          <w:rFonts w:ascii="Arial" w:hAnsi="Arial" w:cs="Arial"/>
          <w:b/>
          <w:sz w:val="16"/>
          <w:szCs w:val="16"/>
        </w:rPr>
      </w:pPr>
      <w:r w:rsidRPr="0057272B">
        <w:rPr>
          <w:rFonts w:ascii="Arial" w:hAnsi="Arial" w:cs="Arial"/>
          <w:b/>
          <w:sz w:val="16"/>
          <w:szCs w:val="16"/>
        </w:rPr>
        <w:t>Table 1. Summary of study characteristics (max n=3</w:t>
      </w:r>
      <w:r>
        <w:rPr>
          <w:rFonts w:ascii="Arial" w:hAnsi="Arial" w:cs="Arial"/>
          <w:b/>
          <w:sz w:val="16"/>
          <w:szCs w:val="16"/>
        </w:rPr>
        <w:t>7</w:t>
      </w:r>
      <w:r w:rsidRPr="0057272B">
        <w:rPr>
          <w:rFonts w:ascii="Arial" w:hAnsi="Arial" w:cs="Arial"/>
          <w:b/>
          <w:sz w:val="16"/>
          <w:szCs w:val="16"/>
        </w:rPr>
        <w:t xml:space="preserve"> studies)</w:t>
      </w:r>
    </w:p>
    <w:tbl>
      <w:tblPr>
        <w:tblStyle w:val="GridTable2-Accent1"/>
        <w:tblW w:w="0" w:type="auto"/>
        <w:tblLook w:val="04A0" w:firstRow="1" w:lastRow="0" w:firstColumn="1" w:lastColumn="0" w:noHBand="0" w:noVBand="1"/>
      </w:tblPr>
      <w:tblGrid>
        <w:gridCol w:w="3686"/>
        <w:gridCol w:w="1252"/>
      </w:tblGrid>
      <w:tr w:rsidR="00C63ACE" w:rsidRPr="009F54DA" w14:paraId="2F99897E" w14:textId="77777777" w:rsidTr="005205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38" w:type="dxa"/>
            <w:gridSpan w:val="2"/>
            <w:tcBorders>
              <w:top w:val="single" w:sz="4" w:space="0" w:color="B4C6E7" w:themeColor="accent1" w:themeTint="66"/>
            </w:tcBorders>
          </w:tcPr>
          <w:p w14:paraId="753C9127" w14:textId="77777777" w:rsidR="00C63ACE" w:rsidRPr="0057272B" w:rsidRDefault="00C63ACE" w:rsidP="0052052E">
            <w:pPr>
              <w:spacing w:before="120" w:after="120" w:line="276" w:lineRule="auto"/>
              <w:rPr>
                <w:rFonts w:ascii="Arial" w:hAnsi="Arial" w:cs="Arial"/>
                <w:sz w:val="16"/>
                <w:szCs w:val="16"/>
              </w:rPr>
            </w:pPr>
            <w:r w:rsidRPr="0057272B">
              <w:rPr>
                <w:rFonts w:ascii="Arial" w:hAnsi="Arial" w:cs="Arial"/>
                <w:sz w:val="16"/>
                <w:szCs w:val="16"/>
              </w:rPr>
              <w:t>Setting</w:t>
            </w:r>
          </w:p>
        </w:tc>
      </w:tr>
      <w:tr w:rsidR="00C63ACE" w:rsidRPr="009F54DA" w14:paraId="1EBAF627" w14:textId="77777777" w:rsidTr="00520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303C7839"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 xml:space="preserve">Primary care </w:t>
            </w:r>
          </w:p>
          <w:p w14:paraId="1ADCE732"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Community</w:t>
            </w:r>
          </w:p>
          <w:p w14:paraId="279E1D64"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 xml:space="preserve">Primary &amp; community </w:t>
            </w:r>
          </w:p>
        </w:tc>
        <w:tc>
          <w:tcPr>
            <w:tcW w:w="1252" w:type="dxa"/>
          </w:tcPr>
          <w:p w14:paraId="77DA4FF4"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2</w:t>
            </w:r>
            <w:r>
              <w:rPr>
                <w:rFonts w:ascii="Arial" w:hAnsi="Arial" w:cs="Arial"/>
                <w:sz w:val="16"/>
                <w:szCs w:val="16"/>
              </w:rPr>
              <w:t>8</w:t>
            </w:r>
          </w:p>
          <w:p w14:paraId="0D3A408D"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7</w:t>
            </w:r>
          </w:p>
          <w:p w14:paraId="0ECB0CE9"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2</w:t>
            </w:r>
          </w:p>
        </w:tc>
      </w:tr>
      <w:tr w:rsidR="00C63ACE" w:rsidRPr="009F54DA" w14:paraId="64D8E602" w14:textId="77777777" w:rsidTr="0052052E">
        <w:tc>
          <w:tcPr>
            <w:cnfStyle w:val="001000000000" w:firstRow="0" w:lastRow="0" w:firstColumn="1" w:lastColumn="0" w:oddVBand="0" w:evenVBand="0" w:oddHBand="0" w:evenHBand="0" w:firstRowFirstColumn="0" w:firstRowLastColumn="0" w:lastRowFirstColumn="0" w:lastRowLastColumn="0"/>
            <w:tcW w:w="4938" w:type="dxa"/>
            <w:gridSpan w:val="2"/>
          </w:tcPr>
          <w:p w14:paraId="0581EFCB" w14:textId="77777777" w:rsidR="00C63ACE" w:rsidRPr="0057272B" w:rsidRDefault="00C63ACE" w:rsidP="0052052E">
            <w:pPr>
              <w:spacing w:before="120" w:after="120" w:line="276" w:lineRule="auto"/>
              <w:rPr>
                <w:rFonts w:ascii="Arial" w:hAnsi="Arial" w:cs="Arial"/>
                <w:sz w:val="16"/>
                <w:szCs w:val="16"/>
              </w:rPr>
            </w:pPr>
            <w:r w:rsidRPr="0057272B">
              <w:rPr>
                <w:rFonts w:ascii="Arial" w:hAnsi="Arial" w:cs="Arial"/>
                <w:sz w:val="16"/>
                <w:szCs w:val="16"/>
              </w:rPr>
              <w:t>Participants</w:t>
            </w:r>
          </w:p>
        </w:tc>
      </w:tr>
      <w:tr w:rsidR="00C63ACE" w:rsidRPr="009F54DA" w14:paraId="38162E88" w14:textId="77777777" w:rsidTr="00520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6FFCBB75"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Patients</w:t>
            </w:r>
          </w:p>
          <w:p w14:paraId="4DB06473"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w:t>
            </w:r>
          </w:p>
          <w:p w14:paraId="030A6DD1"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Patients &amp; HCPs</w:t>
            </w:r>
          </w:p>
          <w:p w14:paraId="42239CD4"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 &amp; practice managers</w:t>
            </w:r>
          </w:p>
          <w:p w14:paraId="6B4449CE"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 practice managers &amp; commissioners</w:t>
            </w:r>
          </w:p>
          <w:p w14:paraId="35D05E0C"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Commissioners</w:t>
            </w:r>
          </w:p>
        </w:tc>
        <w:tc>
          <w:tcPr>
            <w:tcW w:w="1252" w:type="dxa"/>
          </w:tcPr>
          <w:p w14:paraId="15B4AFBB"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2</w:t>
            </w:r>
            <w:r>
              <w:rPr>
                <w:rFonts w:ascii="Arial" w:hAnsi="Arial" w:cs="Arial"/>
                <w:sz w:val="16"/>
                <w:szCs w:val="16"/>
              </w:rPr>
              <w:t>3</w:t>
            </w:r>
          </w:p>
          <w:p w14:paraId="4FC64358"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6</w:t>
            </w:r>
          </w:p>
          <w:p w14:paraId="04125978"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2</w:t>
            </w:r>
          </w:p>
          <w:p w14:paraId="4EFF038B"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2</w:t>
            </w:r>
          </w:p>
          <w:p w14:paraId="2837D91E"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3</w:t>
            </w:r>
          </w:p>
          <w:p w14:paraId="019123C7"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1</w:t>
            </w:r>
          </w:p>
        </w:tc>
      </w:tr>
      <w:tr w:rsidR="00C63ACE" w:rsidRPr="009F54DA" w14:paraId="21E028CA" w14:textId="77777777" w:rsidTr="0052052E">
        <w:tc>
          <w:tcPr>
            <w:cnfStyle w:val="001000000000" w:firstRow="0" w:lastRow="0" w:firstColumn="1" w:lastColumn="0" w:oddVBand="0" w:evenVBand="0" w:oddHBand="0" w:evenHBand="0" w:firstRowFirstColumn="0" w:firstRowLastColumn="0" w:lastRowFirstColumn="0" w:lastRowLastColumn="0"/>
            <w:tcW w:w="4938" w:type="dxa"/>
            <w:gridSpan w:val="2"/>
          </w:tcPr>
          <w:p w14:paraId="4603FBD0" w14:textId="77777777" w:rsidR="00C63ACE" w:rsidRPr="0057272B" w:rsidRDefault="00C63ACE" w:rsidP="0052052E">
            <w:pPr>
              <w:spacing w:before="120" w:after="120" w:line="276" w:lineRule="auto"/>
              <w:rPr>
                <w:rFonts w:ascii="Arial" w:hAnsi="Arial" w:cs="Arial"/>
                <w:sz w:val="16"/>
                <w:szCs w:val="16"/>
              </w:rPr>
            </w:pPr>
            <w:r w:rsidRPr="0057272B">
              <w:rPr>
                <w:rFonts w:ascii="Arial" w:hAnsi="Arial" w:cs="Arial"/>
                <w:sz w:val="16"/>
                <w:szCs w:val="16"/>
              </w:rPr>
              <w:t>Studies reporting influences on these behaviours (total sample size*)</w:t>
            </w:r>
          </w:p>
        </w:tc>
      </w:tr>
      <w:tr w:rsidR="00C63ACE" w:rsidRPr="009F54DA" w14:paraId="415D036E" w14:textId="77777777" w:rsidTr="00520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6" w:type="dxa"/>
          </w:tcPr>
          <w:p w14:paraId="2F899923"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 invite patients for NHS H</w:t>
            </w:r>
            <w:r>
              <w:rPr>
                <w:rFonts w:ascii="Arial" w:hAnsi="Arial" w:cs="Arial"/>
                <w:b w:val="0"/>
                <w:sz w:val="16"/>
                <w:szCs w:val="16"/>
              </w:rPr>
              <w:t xml:space="preserve">ealth </w:t>
            </w:r>
            <w:r w:rsidRPr="0057272B">
              <w:rPr>
                <w:rFonts w:ascii="Arial" w:hAnsi="Arial" w:cs="Arial"/>
                <w:b w:val="0"/>
                <w:sz w:val="16"/>
                <w:szCs w:val="16"/>
              </w:rPr>
              <w:t>C</w:t>
            </w:r>
            <w:r>
              <w:rPr>
                <w:rFonts w:ascii="Arial" w:hAnsi="Arial" w:cs="Arial"/>
                <w:b w:val="0"/>
                <w:sz w:val="16"/>
                <w:szCs w:val="16"/>
              </w:rPr>
              <w:t>heck</w:t>
            </w:r>
          </w:p>
          <w:p w14:paraId="4CC49FB1"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Patients attend NHS H</w:t>
            </w:r>
            <w:r>
              <w:rPr>
                <w:rFonts w:ascii="Arial" w:hAnsi="Arial" w:cs="Arial"/>
                <w:b w:val="0"/>
                <w:sz w:val="16"/>
                <w:szCs w:val="16"/>
              </w:rPr>
              <w:t xml:space="preserve">ealth </w:t>
            </w:r>
            <w:r w:rsidRPr="0057272B">
              <w:rPr>
                <w:rFonts w:ascii="Arial" w:hAnsi="Arial" w:cs="Arial"/>
                <w:b w:val="0"/>
                <w:sz w:val="16"/>
                <w:szCs w:val="16"/>
              </w:rPr>
              <w:t>C</w:t>
            </w:r>
            <w:r>
              <w:rPr>
                <w:rFonts w:ascii="Arial" w:hAnsi="Arial" w:cs="Arial"/>
                <w:b w:val="0"/>
                <w:sz w:val="16"/>
                <w:szCs w:val="16"/>
              </w:rPr>
              <w:t>heck</w:t>
            </w:r>
          </w:p>
          <w:p w14:paraId="2E2F2A2F"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 deliver NHS H</w:t>
            </w:r>
            <w:r>
              <w:rPr>
                <w:rFonts w:ascii="Arial" w:hAnsi="Arial" w:cs="Arial"/>
                <w:b w:val="0"/>
                <w:sz w:val="16"/>
                <w:szCs w:val="16"/>
              </w:rPr>
              <w:t xml:space="preserve">ealth </w:t>
            </w:r>
            <w:r w:rsidRPr="0057272B">
              <w:rPr>
                <w:rFonts w:ascii="Arial" w:hAnsi="Arial" w:cs="Arial"/>
                <w:b w:val="0"/>
                <w:sz w:val="16"/>
                <w:szCs w:val="16"/>
              </w:rPr>
              <w:t>C</w:t>
            </w:r>
            <w:r>
              <w:rPr>
                <w:rFonts w:ascii="Arial" w:hAnsi="Arial" w:cs="Arial"/>
                <w:b w:val="0"/>
                <w:sz w:val="16"/>
                <w:szCs w:val="16"/>
              </w:rPr>
              <w:t>heck</w:t>
            </w:r>
          </w:p>
          <w:p w14:paraId="62722197"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 refer patients to relevant service</w:t>
            </w:r>
          </w:p>
          <w:p w14:paraId="4F7F99DC"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Patients attend referral</w:t>
            </w:r>
          </w:p>
          <w:p w14:paraId="6D3E7E5C"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Patients change behaviour following NHS H</w:t>
            </w:r>
            <w:r>
              <w:rPr>
                <w:rFonts w:ascii="Arial" w:hAnsi="Arial" w:cs="Arial"/>
                <w:b w:val="0"/>
                <w:sz w:val="16"/>
                <w:szCs w:val="16"/>
              </w:rPr>
              <w:t xml:space="preserve">ealth </w:t>
            </w:r>
            <w:r w:rsidRPr="0057272B">
              <w:rPr>
                <w:rFonts w:ascii="Arial" w:hAnsi="Arial" w:cs="Arial"/>
                <w:b w:val="0"/>
                <w:sz w:val="16"/>
                <w:szCs w:val="16"/>
              </w:rPr>
              <w:t>C</w:t>
            </w:r>
            <w:r>
              <w:rPr>
                <w:rFonts w:ascii="Arial" w:hAnsi="Arial" w:cs="Arial"/>
                <w:b w:val="0"/>
                <w:sz w:val="16"/>
                <w:szCs w:val="16"/>
              </w:rPr>
              <w:t>heck</w:t>
            </w:r>
            <w:r w:rsidRPr="0057272B">
              <w:rPr>
                <w:rFonts w:ascii="Arial" w:hAnsi="Arial" w:cs="Arial"/>
                <w:b w:val="0"/>
                <w:sz w:val="16"/>
                <w:szCs w:val="16"/>
              </w:rPr>
              <w:t xml:space="preserve"> </w:t>
            </w:r>
          </w:p>
          <w:p w14:paraId="11828FC7"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Patients attend repeat NHS H</w:t>
            </w:r>
            <w:r>
              <w:rPr>
                <w:rFonts w:ascii="Arial" w:hAnsi="Arial" w:cs="Arial"/>
                <w:b w:val="0"/>
                <w:sz w:val="16"/>
                <w:szCs w:val="16"/>
              </w:rPr>
              <w:t xml:space="preserve">ealth </w:t>
            </w:r>
            <w:r w:rsidRPr="0057272B">
              <w:rPr>
                <w:rFonts w:ascii="Arial" w:hAnsi="Arial" w:cs="Arial"/>
                <w:b w:val="0"/>
                <w:sz w:val="16"/>
                <w:szCs w:val="16"/>
              </w:rPr>
              <w:t>C</w:t>
            </w:r>
            <w:r>
              <w:rPr>
                <w:rFonts w:ascii="Arial" w:hAnsi="Arial" w:cs="Arial"/>
                <w:b w:val="0"/>
                <w:sz w:val="16"/>
                <w:szCs w:val="16"/>
              </w:rPr>
              <w:t>heck</w:t>
            </w:r>
          </w:p>
          <w:p w14:paraId="58D27E9D"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HCPs record NHS H</w:t>
            </w:r>
            <w:r>
              <w:rPr>
                <w:rFonts w:ascii="Arial" w:hAnsi="Arial" w:cs="Arial"/>
                <w:b w:val="0"/>
                <w:sz w:val="16"/>
                <w:szCs w:val="16"/>
              </w:rPr>
              <w:t xml:space="preserve">ealth </w:t>
            </w:r>
            <w:r w:rsidRPr="0057272B">
              <w:rPr>
                <w:rFonts w:ascii="Arial" w:hAnsi="Arial" w:cs="Arial"/>
                <w:b w:val="0"/>
                <w:sz w:val="16"/>
                <w:szCs w:val="16"/>
              </w:rPr>
              <w:t>C</w:t>
            </w:r>
            <w:r>
              <w:rPr>
                <w:rFonts w:ascii="Arial" w:hAnsi="Arial" w:cs="Arial"/>
                <w:b w:val="0"/>
                <w:sz w:val="16"/>
                <w:szCs w:val="16"/>
              </w:rPr>
              <w:t>heck</w:t>
            </w:r>
            <w:r w:rsidRPr="0057272B">
              <w:rPr>
                <w:rFonts w:ascii="Arial" w:hAnsi="Arial" w:cs="Arial"/>
                <w:b w:val="0"/>
                <w:sz w:val="16"/>
                <w:szCs w:val="16"/>
              </w:rPr>
              <w:t xml:space="preserve"> data</w:t>
            </w:r>
          </w:p>
          <w:p w14:paraId="1E502527" w14:textId="77777777" w:rsidR="00C63ACE" w:rsidRPr="0057272B" w:rsidRDefault="00C63ACE" w:rsidP="0052052E">
            <w:pPr>
              <w:spacing w:before="120" w:after="120" w:line="276" w:lineRule="auto"/>
              <w:rPr>
                <w:rFonts w:ascii="Arial" w:hAnsi="Arial" w:cs="Arial"/>
                <w:b w:val="0"/>
                <w:sz w:val="16"/>
                <w:szCs w:val="16"/>
              </w:rPr>
            </w:pPr>
            <w:r w:rsidRPr="0057272B">
              <w:rPr>
                <w:rFonts w:ascii="Arial" w:hAnsi="Arial" w:cs="Arial"/>
                <w:b w:val="0"/>
                <w:sz w:val="16"/>
                <w:szCs w:val="16"/>
              </w:rPr>
              <w:t>Commissioners synthesise and report programme data</w:t>
            </w:r>
          </w:p>
        </w:tc>
        <w:tc>
          <w:tcPr>
            <w:tcW w:w="1252" w:type="dxa"/>
          </w:tcPr>
          <w:p w14:paraId="03AE1406"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4</w:t>
            </w:r>
            <w:r w:rsidRPr="0057272B">
              <w:rPr>
                <w:rFonts w:ascii="Arial" w:hAnsi="Arial" w:cs="Arial"/>
                <w:sz w:val="16"/>
                <w:szCs w:val="16"/>
              </w:rPr>
              <w:t xml:space="preserve"> (</w:t>
            </w:r>
            <w:r>
              <w:rPr>
                <w:rFonts w:ascii="Arial" w:hAnsi="Arial" w:cs="Arial"/>
                <w:sz w:val="16"/>
                <w:szCs w:val="16"/>
              </w:rPr>
              <w:t>171</w:t>
            </w:r>
            <w:r w:rsidRPr="0057272B">
              <w:rPr>
                <w:rFonts w:ascii="Arial" w:hAnsi="Arial" w:cs="Arial"/>
                <w:sz w:val="16"/>
                <w:szCs w:val="16"/>
              </w:rPr>
              <w:t>)</w:t>
            </w:r>
          </w:p>
          <w:p w14:paraId="4842EF43"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1</w:t>
            </w:r>
            <w:r>
              <w:rPr>
                <w:rFonts w:ascii="Arial" w:hAnsi="Arial" w:cs="Arial"/>
                <w:sz w:val="16"/>
                <w:szCs w:val="16"/>
              </w:rPr>
              <w:t>6</w:t>
            </w:r>
            <w:r w:rsidRPr="0057272B">
              <w:rPr>
                <w:rFonts w:ascii="Arial" w:hAnsi="Arial" w:cs="Arial"/>
                <w:sz w:val="16"/>
                <w:szCs w:val="16"/>
              </w:rPr>
              <w:t xml:space="preserve"> (</w:t>
            </w:r>
            <w:r>
              <w:rPr>
                <w:rFonts w:ascii="Arial" w:hAnsi="Arial" w:cs="Arial"/>
                <w:sz w:val="16"/>
                <w:szCs w:val="16"/>
              </w:rPr>
              <w:t>5</w:t>
            </w:r>
            <w:r w:rsidRPr="0057272B">
              <w:rPr>
                <w:rFonts w:ascii="Arial" w:hAnsi="Arial" w:cs="Arial"/>
                <w:sz w:val="16"/>
                <w:szCs w:val="16"/>
              </w:rPr>
              <w:t>6,</w:t>
            </w:r>
            <w:r>
              <w:rPr>
                <w:rFonts w:ascii="Arial" w:hAnsi="Arial" w:cs="Arial"/>
                <w:sz w:val="16"/>
                <w:szCs w:val="16"/>
              </w:rPr>
              <w:t>909</w:t>
            </w:r>
            <w:r w:rsidRPr="0057272B">
              <w:rPr>
                <w:rFonts w:ascii="Arial" w:hAnsi="Arial" w:cs="Arial"/>
                <w:sz w:val="16"/>
                <w:szCs w:val="16"/>
              </w:rPr>
              <w:t>)</w:t>
            </w:r>
          </w:p>
          <w:p w14:paraId="4AE1C950"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18 (10,604)</w:t>
            </w:r>
          </w:p>
          <w:p w14:paraId="52F4D216"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3 (909)</w:t>
            </w:r>
          </w:p>
          <w:p w14:paraId="152C6F89"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1 (483)</w:t>
            </w:r>
          </w:p>
          <w:p w14:paraId="64BF9091"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15 (5,755)</w:t>
            </w:r>
          </w:p>
          <w:p w14:paraId="2419F48D" w14:textId="77777777" w:rsidR="00C63ACE" w:rsidRPr="004A6B2F"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6"/>
                <w:szCs w:val="6"/>
              </w:rPr>
            </w:pPr>
          </w:p>
          <w:p w14:paraId="12C791F4"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1 (27)</w:t>
            </w:r>
          </w:p>
          <w:p w14:paraId="0D36F11F"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2 (2,907)</w:t>
            </w:r>
          </w:p>
          <w:p w14:paraId="0FCCDD93" w14:textId="77777777" w:rsidR="00C63ACE" w:rsidRPr="0057272B" w:rsidRDefault="00C63ACE" w:rsidP="0052052E">
            <w:pPr>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57272B">
              <w:rPr>
                <w:rFonts w:ascii="Arial" w:hAnsi="Arial" w:cs="Arial"/>
                <w:sz w:val="16"/>
                <w:szCs w:val="16"/>
              </w:rPr>
              <w:t>0</w:t>
            </w:r>
          </w:p>
        </w:tc>
      </w:tr>
    </w:tbl>
    <w:p w14:paraId="28596130" w14:textId="77777777" w:rsidR="00C63ACE" w:rsidRDefault="00C63ACE" w:rsidP="00C63ACE">
      <w:pPr>
        <w:spacing w:before="120" w:after="120" w:line="240" w:lineRule="auto"/>
        <w:rPr>
          <w:rFonts w:ascii="Arial" w:hAnsi="Arial" w:cs="Arial"/>
          <w:sz w:val="16"/>
          <w:szCs w:val="16"/>
        </w:rPr>
      </w:pPr>
      <w:r w:rsidRPr="0057272B">
        <w:rPr>
          <w:rFonts w:ascii="Arial" w:hAnsi="Arial" w:cs="Arial"/>
          <w:sz w:val="16"/>
          <w:szCs w:val="16"/>
        </w:rPr>
        <w:t>* Calculated from number of reported participants in each study (seven studies collected national routine data on attendance behaviour only (min 12,000, max &gt;8,000,000 are not included in this section)</w:t>
      </w:r>
    </w:p>
    <w:p w14:paraId="07F23A32" w14:textId="77777777" w:rsidR="00C63ACE" w:rsidRDefault="00C63ACE" w:rsidP="00C63ACE">
      <w:pPr>
        <w:rPr>
          <w:noProof/>
        </w:rPr>
      </w:pPr>
    </w:p>
    <w:p w14:paraId="72AF35C6" w14:textId="77777777" w:rsidR="00C63ACE" w:rsidRDefault="00C63ACE" w:rsidP="00C63ACE">
      <w:pPr>
        <w:spacing w:line="480" w:lineRule="auto"/>
        <w:jc w:val="left"/>
        <w:rPr>
          <w:rFonts w:ascii="Arial" w:hAnsi="Arial" w:cs="Arial"/>
          <w:bCs/>
          <w:iCs/>
          <w:noProof/>
          <w:sz w:val="20"/>
          <w:szCs w:val="20"/>
        </w:rPr>
      </w:pPr>
    </w:p>
    <w:p w14:paraId="46AEF42D" w14:textId="77777777" w:rsidR="00C63ACE" w:rsidRDefault="00C63ACE" w:rsidP="00C63ACE">
      <w:pPr>
        <w:spacing w:before="120" w:after="120" w:line="480" w:lineRule="auto"/>
        <w:rPr>
          <w:rFonts w:ascii="Arial" w:hAnsi="Arial" w:cs="Arial"/>
          <w:b/>
          <w:sz w:val="16"/>
          <w:szCs w:val="16"/>
        </w:rPr>
        <w:sectPr w:rsidR="00C63ACE" w:rsidSect="00F639AC">
          <w:headerReference w:type="default" r:id="rId5"/>
          <w:footerReference w:type="default" r:id="rId6"/>
          <w:pgSz w:w="11906" w:h="16838"/>
          <w:pgMar w:top="1440" w:right="1440" w:bottom="1440" w:left="1440" w:header="709" w:footer="709" w:gutter="0"/>
          <w:cols w:space="708"/>
          <w:rtlGutter/>
          <w:docGrid w:linePitch="360"/>
        </w:sectPr>
      </w:pPr>
    </w:p>
    <w:p w14:paraId="40DA36F1" w14:textId="77777777" w:rsidR="00C63ACE" w:rsidRPr="0057272B" w:rsidRDefault="00C63ACE" w:rsidP="00C63ACE">
      <w:pPr>
        <w:spacing w:before="120" w:after="120" w:line="480" w:lineRule="auto"/>
        <w:rPr>
          <w:rFonts w:ascii="Arial" w:hAnsi="Arial" w:cs="Arial"/>
          <w:b/>
          <w:sz w:val="16"/>
          <w:szCs w:val="16"/>
        </w:rPr>
      </w:pPr>
      <w:r w:rsidRPr="0057272B">
        <w:rPr>
          <w:rFonts w:ascii="Arial" w:hAnsi="Arial" w:cs="Arial"/>
          <w:b/>
          <w:sz w:val="16"/>
          <w:szCs w:val="16"/>
        </w:rPr>
        <w:lastRenderedPageBreak/>
        <w:t>Table 2. Individual study characteristics</w:t>
      </w:r>
    </w:p>
    <w:tbl>
      <w:tblPr>
        <w:tblStyle w:val="GridTable4-Accent1"/>
        <w:tblW w:w="13614" w:type="dxa"/>
        <w:tblLayout w:type="fixed"/>
        <w:tblLook w:val="04A0" w:firstRow="1" w:lastRow="0" w:firstColumn="1" w:lastColumn="0" w:noHBand="0" w:noVBand="1"/>
      </w:tblPr>
      <w:tblGrid>
        <w:gridCol w:w="5245"/>
        <w:gridCol w:w="2551"/>
        <w:gridCol w:w="2551"/>
        <w:gridCol w:w="2978"/>
        <w:gridCol w:w="149"/>
        <w:gridCol w:w="134"/>
        <w:gridCol w:w="6"/>
      </w:tblGrid>
      <w:tr w:rsidR="00C63ACE" w:rsidRPr="0057272B" w14:paraId="7842A1FD" w14:textId="77777777" w:rsidTr="0052052E">
        <w:trPr>
          <w:cnfStyle w:val="100000000000" w:firstRow="1" w:lastRow="0" w:firstColumn="0" w:lastColumn="0" w:oddVBand="0" w:evenVBand="0" w:oddHBand="0" w:evenHBand="0" w:firstRowFirstColumn="0" w:firstRowLastColumn="0" w:lastRowFirstColumn="0" w:lastRowLastColumn="0"/>
          <w:trHeight w:val="640"/>
          <w:tblHeader/>
        </w:trPr>
        <w:tc>
          <w:tcPr>
            <w:cnfStyle w:val="001000000000" w:firstRow="0" w:lastRow="0" w:firstColumn="1" w:lastColumn="0" w:oddVBand="0" w:evenVBand="0" w:oddHBand="0" w:evenHBand="0" w:firstRowFirstColumn="0" w:firstRowLastColumn="0" w:lastRowFirstColumn="0" w:lastRowLastColumn="0"/>
            <w:tcW w:w="5245" w:type="dxa"/>
            <w:tcBorders>
              <w:top w:val="nil"/>
              <w:left w:val="nil"/>
            </w:tcBorders>
            <w:shd w:val="clear" w:color="auto" w:fill="B4C6E7" w:themeFill="accent1" w:themeFillTint="66"/>
            <w:noWrap/>
            <w:hideMark/>
          </w:tcPr>
          <w:p w14:paraId="0E7A982A" w14:textId="77777777" w:rsidR="00C63ACE" w:rsidRPr="0057272B" w:rsidRDefault="00C63ACE" w:rsidP="0052052E">
            <w:pPr>
              <w:snapToGrid w:val="0"/>
              <w:spacing w:before="120" w:after="120" w:line="276" w:lineRule="auto"/>
              <w:rPr>
                <w:rFonts w:ascii="Arial" w:hAnsi="Arial" w:cs="Arial"/>
                <w:color w:val="262626" w:themeColor="text1" w:themeTint="D9"/>
                <w:sz w:val="16"/>
                <w:szCs w:val="16"/>
              </w:rPr>
            </w:pPr>
            <w:r w:rsidRPr="0057272B">
              <w:rPr>
                <w:rFonts w:ascii="Arial" w:hAnsi="Arial" w:cs="Arial"/>
                <w:color w:val="262626" w:themeColor="text1" w:themeTint="D9"/>
                <w:sz w:val="16"/>
                <w:szCs w:val="16"/>
              </w:rPr>
              <w:t>Reference</w:t>
            </w:r>
          </w:p>
        </w:tc>
        <w:tc>
          <w:tcPr>
            <w:tcW w:w="2551" w:type="dxa"/>
            <w:tcBorders>
              <w:top w:val="nil"/>
            </w:tcBorders>
            <w:shd w:val="clear" w:color="auto" w:fill="B4C6E7" w:themeFill="accent1" w:themeFillTint="66"/>
            <w:noWrap/>
            <w:hideMark/>
          </w:tcPr>
          <w:p w14:paraId="102C4A38" w14:textId="77777777" w:rsidR="00C63ACE" w:rsidRPr="0057272B" w:rsidRDefault="00C63ACE" w:rsidP="0052052E">
            <w:pPr>
              <w:snapToGrid w:val="0"/>
              <w:spacing w:before="120" w:after="120" w:line="276" w:lineRule="auto"/>
              <w:cnfStyle w:val="100000000000" w:firstRow="1"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Participants</w:t>
            </w:r>
          </w:p>
        </w:tc>
        <w:tc>
          <w:tcPr>
            <w:tcW w:w="2551" w:type="dxa"/>
            <w:tcBorders>
              <w:top w:val="nil"/>
            </w:tcBorders>
            <w:shd w:val="clear" w:color="auto" w:fill="B4C6E7" w:themeFill="accent1" w:themeFillTint="66"/>
          </w:tcPr>
          <w:p w14:paraId="0E27FA59" w14:textId="77777777" w:rsidR="00C63ACE" w:rsidRPr="0057272B" w:rsidRDefault="00C63ACE" w:rsidP="0052052E">
            <w:pPr>
              <w:snapToGrid w:val="0"/>
              <w:spacing w:before="120" w:after="120" w:line="276"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 xml:space="preserve">Target behaviour(s) </w:t>
            </w:r>
          </w:p>
        </w:tc>
        <w:tc>
          <w:tcPr>
            <w:tcW w:w="3267" w:type="dxa"/>
            <w:gridSpan w:val="4"/>
            <w:tcBorders>
              <w:top w:val="nil"/>
            </w:tcBorders>
            <w:shd w:val="clear" w:color="auto" w:fill="B4C6E7" w:themeFill="accent1" w:themeFillTint="66"/>
          </w:tcPr>
          <w:p w14:paraId="2EBBDE0F" w14:textId="77777777" w:rsidR="00C63ACE" w:rsidRPr="0057272B" w:rsidRDefault="00C63ACE" w:rsidP="0052052E">
            <w:pPr>
              <w:snapToGrid w:val="0"/>
              <w:spacing w:before="120" w:after="120" w:line="276"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Data collection method</w:t>
            </w:r>
          </w:p>
        </w:tc>
      </w:tr>
      <w:tr w:rsidR="00C63ACE" w:rsidRPr="0057272B" w14:paraId="4620A4CD" w14:textId="77777777" w:rsidTr="0052052E">
        <w:trPr>
          <w:gridAfter w:val="1"/>
          <w:cnfStyle w:val="000000100000" w:firstRow="0" w:lastRow="0" w:firstColumn="0" w:lastColumn="0" w:oddVBand="0" w:evenVBand="0" w:oddHBand="1" w:evenHBand="0" w:firstRowFirstColumn="0" w:firstRowLastColumn="0" w:lastRowFirstColumn="0" w:lastRowLastColumn="0"/>
          <w:wAfter w:w="6" w:type="dxa"/>
          <w:trHeight w:val="640"/>
        </w:trPr>
        <w:tc>
          <w:tcPr>
            <w:cnfStyle w:val="001000000000" w:firstRow="0" w:lastRow="0" w:firstColumn="1" w:lastColumn="0" w:oddVBand="0" w:evenVBand="0" w:oddHBand="0" w:evenHBand="0" w:firstRowFirstColumn="0" w:firstRowLastColumn="0" w:lastRowFirstColumn="0" w:lastRowLastColumn="0"/>
            <w:tcW w:w="13608" w:type="dxa"/>
            <w:gridSpan w:val="6"/>
            <w:tcBorders>
              <w:left w:val="nil"/>
              <w:right w:val="nil"/>
            </w:tcBorders>
          </w:tcPr>
          <w:p w14:paraId="2F4D5E1F" w14:textId="77777777" w:rsidR="00C63ACE" w:rsidRPr="0057272B" w:rsidRDefault="00C63ACE" w:rsidP="0052052E">
            <w:pPr>
              <w:snapToGrid w:val="0"/>
              <w:spacing w:before="120" w:after="120" w:line="276" w:lineRule="auto"/>
              <w:rPr>
                <w:rFonts w:ascii="Arial" w:hAnsi="Arial" w:cs="Arial"/>
                <w:color w:val="262626" w:themeColor="text1" w:themeTint="D9"/>
                <w:sz w:val="16"/>
                <w:szCs w:val="16"/>
              </w:rPr>
            </w:pPr>
            <w:r w:rsidRPr="0057272B">
              <w:rPr>
                <w:rFonts w:ascii="Arial" w:hAnsi="Arial" w:cs="Arial"/>
                <w:color w:val="262626" w:themeColor="text1" w:themeTint="D9"/>
                <w:sz w:val="16"/>
                <w:szCs w:val="16"/>
              </w:rPr>
              <w:t>Primary care</w:t>
            </w:r>
          </w:p>
        </w:tc>
      </w:tr>
      <w:tr w:rsidR="00C63ACE" w:rsidRPr="0057272B" w14:paraId="61302449" w14:textId="77777777" w:rsidTr="0052052E">
        <w:trPr>
          <w:gridAfter w:val="2"/>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6D5F28A2"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Alageel, S., M.C. Gulliford, L. McDermott, and A.J. Wright, Implementing multiple health behaviour change interventions for cardiovascular risk reduction in primary care: a qualitative study. BMC family practice. 2018;19:(1): 171. </w:t>
            </w:r>
            <w:r w:rsidRPr="0057272B">
              <w:rPr>
                <w:rFonts w:ascii="Arial" w:hAnsi="Arial" w:cs="Arial"/>
                <w:color w:val="262626" w:themeColor="text1" w:themeTint="D9"/>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(19)</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76A6B8B9"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30 Primary care HCPs</w:t>
            </w:r>
          </w:p>
        </w:tc>
        <w:tc>
          <w:tcPr>
            <w:tcW w:w="2551" w:type="dxa"/>
            <w:tcBorders>
              <w:left w:val="nil"/>
              <w:right w:val="nil"/>
            </w:tcBorders>
            <w:shd w:val="clear" w:color="auto" w:fill="auto"/>
          </w:tcPr>
          <w:p w14:paraId="7509845E" w14:textId="77777777" w:rsidR="00C63ACE" w:rsidRPr="00D769CC"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D769CC">
              <w:rPr>
                <w:rFonts w:ascii="Arial" w:hAnsi="Arial" w:cs="Arial"/>
                <w:color w:val="000000"/>
                <w:sz w:val="16"/>
                <w:szCs w:val="16"/>
              </w:rPr>
              <w:t>Invite</w:t>
            </w:r>
            <w:r w:rsidRPr="00D769CC">
              <w:rPr>
                <w:rFonts w:ascii="Arial" w:hAnsi="Arial" w:cs="Arial"/>
                <w:color w:val="000000"/>
                <w:sz w:val="16"/>
                <w:szCs w:val="16"/>
              </w:rPr>
              <w:br/>
              <w:t>Deliver</w:t>
            </w:r>
            <w:r w:rsidRPr="00D769CC">
              <w:rPr>
                <w:rFonts w:ascii="Arial" w:hAnsi="Arial" w:cs="Arial"/>
                <w:color w:val="000000"/>
                <w:sz w:val="16"/>
                <w:szCs w:val="16"/>
              </w:rPr>
              <w:br/>
              <w:t>Refer</w:t>
            </w:r>
            <w:r w:rsidRPr="00D769CC">
              <w:rPr>
                <w:rFonts w:ascii="Arial" w:hAnsi="Arial" w:cs="Arial"/>
                <w:color w:val="000000"/>
                <w:sz w:val="16"/>
                <w:szCs w:val="16"/>
              </w:rPr>
              <w:br/>
            </w:r>
            <w:r>
              <w:rPr>
                <w:rFonts w:ascii="Arial" w:hAnsi="Arial" w:cs="Arial"/>
                <w:color w:val="000000"/>
                <w:sz w:val="16"/>
                <w:szCs w:val="16"/>
              </w:rPr>
              <w:t xml:space="preserve">Patient behaviour change </w:t>
            </w:r>
          </w:p>
        </w:tc>
        <w:tc>
          <w:tcPr>
            <w:tcW w:w="3127" w:type="dxa"/>
            <w:gridSpan w:val="2"/>
            <w:tcBorders>
              <w:left w:val="nil"/>
              <w:right w:val="nil"/>
            </w:tcBorders>
            <w:shd w:val="clear" w:color="auto" w:fill="auto"/>
            <w:hideMark/>
          </w:tcPr>
          <w:p w14:paraId="09281166"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Qualitative face to face interview</w:t>
            </w:r>
          </w:p>
        </w:tc>
      </w:tr>
      <w:tr w:rsidR="00C63ACE" w:rsidRPr="0057272B" w14:paraId="2BEBFC76"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0EECE122"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Baker, C., E.A. Loughren, D. Crone, and N. Kallfa, Patients' perceptions of a NHS Health Check in the primary care setting. Quality in Primary Care. 2014;22:(5): 232-7.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&lt;EndNote&gt;&lt;Cite&gt;&lt;Author&gt;Baker&lt;/Author&gt;&lt;Year&gt;2014&lt;/Year&gt;&lt;RecNum&gt;6&lt;/RecNum&gt;&lt;DisplayText&gt;(20)&lt;/DisplayText&gt;&lt;record&gt;&lt;rec-number&gt;6&lt;/rec-number&gt;&lt;foreign-keys&gt;&lt;key app="EN" db-id="f9edtwwtof5ftneevt1pr0voafdvfedx92e2" timestamp="1550219648"&gt;6&lt;/key&gt;&lt;/foreign-keys&gt;&lt;ref-type name="Journal Article"&gt;17&lt;/ref-type&gt;&lt;contributors&gt;&lt;authors&gt;&lt;author&gt;Baker, C.&lt;/author&gt;&lt;author&gt;Loughren, E. A.&lt;/author&gt;&lt;author&gt;Crone, D.&lt;/author&gt;&lt;author&gt;Kallfa, N.&lt;/author&gt;&lt;/authors&gt;&lt;/contributors&gt;&lt;auth-address&gt;Baker, Colin. University of Gloucestershire, Oxstalls Campus, Oxstalls Lane, Gloucester, Gloucestershire, UK, GL2 9HW;, Email: cmbaker@glos.ac.uk.&amp;#xD;Loughren, Elizabeth A. University of Gloucestershire, Oxstalls Campus, UK.&amp;#xD;Crone, Diane. University of Gloucestershire, Oxstalls Campus, UK.&amp;#xD;Kallfa&amp;apos;, Nevila. Consultant in Public Health, Public Health England, UK.&lt;/auth-address&gt;&lt;titles&gt;&lt;title&gt;Patients&amp;apos; perceptions of a NHS Health Check in the primary care setting&lt;/title&gt;&lt;secondary-title&gt;Quality in Primary Care&lt;/secondary-title&gt;&lt;/titles&gt;&lt;periodical&gt;&lt;full-title&gt;Quality in Primary Care&lt;/full-title&gt;&lt;/periodical&gt;&lt;pages&gt;232-7&lt;/pages&gt;&lt;volume&gt;22&lt;/volume&gt;&lt;number&gt;5&lt;/number&gt;&lt;dates&gt;&lt;year&gt;2014&lt;/year&gt;&lt;/dates&gt;&lt;accession-num&gt;25897543&lt;/accession-num&gt;&lt;urls&gt;&lt;related-urls&gt;&lt;url&gt;http://ovidsp.ovid.com/ovidweb.cgi?T=JS&amp;amp;CSC=Y&amp;amp;NEWS=N&amp;amp;PAGE=fulltext&amp;amp;D=prem&amp;amp;AN=25897543&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(20)</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30859C4F"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1011 patients who had attended an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left w:val="nil"/>
              <w:right w:val="nil"/>
            </w:tcBorders>
            <w:shd w:val="clear" w:color="auto" w:fill="auto"/>
          </w:tcPr>
          <w:p w14:paraId="10CA5D11" w14:textId="77777777" w:rsidR="00C63ACE" w:rsidRPr="00D769CC"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D769CC">
              <w:rPr>
                <w:rFonts w:ascii="Arial" w:hAnsi="Arial" w:cs="Arial"/>
                <w:color w:val="000000"/>
                <w:sz w:val="16"/>
                <w:szCs w:val="16"/>
              </w:rPr>
              <w:t>Attend</w:t>
            </w:r>
            <w:r w:rsidRPr="00D769CC">
              <w:rPr>
                <w:rFonts w:ascii="Arial" w:hAnsi="Arial" w:cs="Arial"/>
                <w:color w:val="000000"/>
                <w:sz w:val="16"/>
                <w:szCs w:val="16"/>
              </w:rPr>
              <w:br/>
              <w:t>Deliver</w:t>
            </w:r>
            <w:r w:rsidRPr="00D769CC">
              <w:rPr>
                <w:rFonts w:ascii="Arial" w:hAnsi="Arial" w:cs="Arial"/>
                <w:color w:val="000000"/>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3E610AE6"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Postal survey gathering qualitative and quantitative data</w:t>
            </w:r>
          </w:p>
        </w:tc>
      </w:tr>
      <w:tr w:rsidR="00C63ACE" w:rsidRPr="0057272B" w14:paraId="19861531"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17410BB8"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Boase, S., D. Mason, S. Sutton, and S. Cohn, Tinkering and tailoring individual consultations: how practice nurses try to make cardiovascular risk communication meaningful. Journal of Clinical Nursing. 2012;21:(17-18): 2590-8.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&lt;EndNote&gt;&lt;Cite&gt;&lt;Author&gt;Boase&lt;/Author&gt;&lt;Year&gt;2012&lt;/Year&gt;&lt;RecNum&gt;8&lt;/RecNum&gt;&lt;DisplayText&gt;(21)&lt;/DisplayText&gt;&lt;record&gt;&lt;rec-number&gt;8&lt;/rec-number&gt;&lt;foreign-keys&gt;&lt;key app="EN" db-id="f9edtwwtof5ftneevt1pr0voafdvfedx92e2" timestamp="1550219648"&gt;8&lt;/key&gt;&lt;/foreign-keys&gt;&lt;ref-type name="Journal Article"&gt;17&lt;/ref-type&gt;&lt;contributors&gt;&lt;authors&gt;&lt;author&gt;Boase, S.&lt;/author&gt;&lt;author&gt;Mason, D.&lt;/author&gt;&lt;author&gt;Sutton, S.&lt;/author&gt;&lt;author&gt;Cohn, S.&lt;/author&gt;&lt;/authors&gt;&lt;/contributors&gt;&lt;auth-address&gt;Boase, Sue. General Practice and Primary Care Research Unit, University of Cambridge, Cambridge, UK. sab72@medschl.cam.ac.uk&lt;/auth-address&gt;&lt;titles&gt;&lt;title&gt;Tinkering and tailoring individual consultations: how practice nurses try to make cardiovascular risk communication meaningful&lt;/title&gt;&lt;secondary-title&gt;Journal of Clinical Nursing&lt;/secondary-title&gt;&lt;/titles&gt;&lt;periodical&gt;&lt;full-title&gt;Journal of Clinical Nursing&lt;/full-title&gt;&lt;/periodical&gt;&lt;pages&gt;2590-8&lt;/pages&gt;&lt;volume&gt;21&lt;/volume&gt;&lt;number&gt;17-18&lt;/number&gt;&lt;dates&gt;&lt;year&gt;2012&lt;/year&gt;&lt;/dates&gt;&lt;accession-num&gt;22788734&lt;/accession-num&gt;&lt;work-type&gt;Research Support, Non-U.S. Gov&amp;apos;t&lt;/work-type&gt;&lt;urls&gt;&lt;related-urls&gt;&lt;url&gt;http://ovidsp.ovid.com/ovidweb.cgi?T=JS&amp;amp;CSC=Y&amp;amp;NEWS=N&amp;amp;PAGE=fulltext&amp;amp;D=med7&amp;amp;AN=22788734&lt;/url&gt;&lt;url&gt;https://onlinelibrary.wiley.com/doi/abs/10.1111/j.1365-2702.2012.04167.x&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(21)</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356B44F2"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28 nurses</w:t>
            </w:r>
          </w:p>
        </w:tc>
        <w:tc>
          <w:tcPr>
            <w:tcW w:w="2551" w:type="dxa"/>
            <w:tcBorders>
              <w:left w:val="nil"/>
              <w:right w:val="nil"/>
            </w:tcBorders>
            <w:shd w:val="clear" w:color="auto" w:fill="auto"/>
          </w:tcPr>
          <w:p w14:paraId="6F40CD1B" w14:textId="77777777" w:rsidR="00C63ACE" w:rsidRPr="00D769CC"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D769CC">
              <w:rPr>
                <w:rFonts w:ascii="Arial" w:hAnsi="Arial" w:cs="Arial"/>
                <w:color w:val="000000"/>
                <w:sz w:val="16"/>
                <w:szCs w:val="16"/>
              </w:rPr>
              <w:t>Deliver</w:t>
            </w:r>
          </w:p>
        </w:tc>
        <w:tc>
          <w:tcPr>
            <w:tcW w:w="3127" w:type="dxa"/>
            <w:gridSpan w:val="2"/>
            <w:tcBorders>
              <w:left w:val="nil"/>
              <w:right w:val="nil"/>
            </w:tcBorders>
            <w:shd w:val="clear" w:color="auto" w:fill="auto"/>
            <w:hideMark/>
          </w:tcPr>
          <w:p w14:paraId="240972CE"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Focus groups and interviews</w:t>
            </w:r>
          </w:p>
        </w:tc>
      </w:tr>
      <w:tr w:rsidR="00C63ACE" w:rsidRPr="0057272B" w14:paraId="16B01015"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7E7AFCC"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Chatterjee, R., T. Chapman, M.G. Brannan, and J. Varney, GPs' knowledge, use, and confidence in national physical activity and health guidelines and tools: a questionnaire-based survey of general practice in England. British Journal of General Practice. 2017;67:(663): e668-e675.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&lt;EndNote&gt;&lt;Cite&gt;&lt;Author&gt;Chatterjee&lt;/Author&gt;&lt;Year&gt;2017&lt;/Year&gt;&lt;RecNum&gt;13&lt;/RecNum&gt;&lt;DisplayText&gt;(22)&lt;/DisplayText&gt;&lt;record&gt;&lt;rec-number&gt;13&lt;/rec-number&gt;&lt;foreign-keys&gt;&lt;key app="EN" db-id="f9edtwwtof5ftneevt1pr0voafdvfedx92e2" timestamp="1550219648"&gt;13&lt;/key&gt;&lt;/foreign-keys&gt;&lt;ref-type name="Journal Article"&gt;17&lt;/ref-type&gt;&lt;contributors&gt;&lt;authors&gt;&lt;author&gt;Chatterjee, R.&lt;/author&gt;&lt;author&gt;Chapman, T.&lt;/author&gt;&lt;author&gt;Brannan, M. G.&lt;/author&gt;&lt;author&gt;Varney, J.&lt;/author&gt;&lt;/authors&gt;&lt;/contributors&gt;&lt;auth-address&gt;Chatterjee, Robin. Public Health England, London, and GP with special interest in sports and exercise medicine, MICAS (Musculoskeletal Interface Clinical Assessment Service), Battersea Healthcare, Battersea, London.&amp;#xD;Chapman, Tim. Health Improvement Directorate, Public Health England, London.&amp;#xD;Brannan, Mike Gt. Health Improvement Directorate, Public Health England, London.&amp;#xD;Varney, Justin. Health Improvement Directorate, Public Health England, London.&lt;/auth-address&gt;&lt;titles&gt;&lt;title&gt;GPs&amp;apos; knowledge, use, and confidence in national physical activity and health guidelines and tools: a questionnaire-based survey of general practice in England&lt;/title&gt;&lt;secondary-title&gt;British Journal of General Practice&lt;/secondary-title&gt;&lt;/titles&gt;&lt;periodical&gt;&lt;full-title&gt;British Journal of General Practice&lt;/full-title&gt;&lt;/periodical&gt;&lt;pages&gt;e668-e675&lt;/pages&gt;&lt;volume&gt;67&lt;/volume&gt;&lt;number&gt;663&lt;/number&gt;&lt;dates&gt;&lt;year&gt;2017&lt;/year&gt;&lt;/dates&gt;&lt;accession-num&gt;28808077&lt;/accession-num&gt;&lt;urls&gt;&lt;related-urls&gt;&lt;url&gt;http://ovidsp.ovid.com/ovidweb.cgi?T=JS&amp;amp;CSC=Y&amp;amp;NEWS=N&amp;amp;PAGE=fulltext&amp;amp;D=medl&amp;amp;AN=28808077&lt;/url&gt;&lt;url&gt;https://www.ncbi.nlm.nih.gov/pmc/articles/PMC5604830/pdf/bjgpoct-2017-67-663-e668.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(22)</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1E500B64"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1013 GPs</w:t>
            </w:r>
          </w:p>
        </w:tc>
        <w:tc>
          <w:tcPr>
            <w:tcW w:w="2551" w:type="dxa"/>
            <w:tcBorders>
              <w:left w:val="nil"/>
              <w:right w:val="nil"/>
            </w:tcBorders>
            <w:shd w:val="clear" w:color="auto" w:fill="auto"/>
          </w:tcPr>
          <w:p w14:paraId="7FD1AC7A" w14:textId="77777777" w:rsidR="00C63ACE" w:rsidRPr="00D769CC"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D769CC">
              <w:rPr>
                <w:rFonts w:ascii="Arial" w:hAnsi="Arial" w:cs="Arial"/>
                <w:color w:val="000000"/>
                <w:sz w:val="16"/>
                <w:szCs w:val="16"/>
              </w:rPr>
              <w:t>Deliver</w:t>
            </w:r>
          </w:p>
        </w:tc>
        <w:tc>
          <w:tcPr>
            <w:tcW w:w="3127" w:type="dxa"/>
            <w:gridSpan w:val="2"/>
            <w:tcBorders>
              <w:left w:val="nil"/>
              <w:right w:val="nil"/>
            </w:tcBorders>
            <w:shd w:val="clear" w:color="auto" w:fill="auto"/>
            <w:hideMark/>
          </w:tcPr>
          <w:p w14:paraId="29D2CA85"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Online quantitative survey</w:t>
            </w:r>
          </w:p>
        </w:tc>
      </w:tr>
      <w:tr w:rsidR="00C63ACE" w:rsidRPr="0057272B" w14:paraId="0FDBD27D" w14:textId="77777777" w:rsidTr="0052052E">
        <w:trPr>
          <w:gridAfter w:val="2"/>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7B65BF35"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Cook, E.J., C. Sharp, G. Randhawa, A. Guppy, R. Gangotra, and J. Cox, Who uses NHS health checks? Investigating the impact of ethnicity and gender and method of invitation on uptake of NHS health checks. International Journal for Equity in Health. 2016;15:(13) </w:t>
            </w:r>
            <w:r w:rsidRPr="0057272B">
              <w:rPr>
                <w:rFonts w:ascii="Arial" w:hAnsi="Arial" w:cs="Arial"/>
                <w:color w:val="262626" w:themeColor="text1" w:themeTint="D9"/>
                <w:sz w:val="16"/>
                <w:szCs w:val="16"/>
              </w:rPr>
              <w:fldChar w:fldCharType="begin">
                <w:fldData xml:space="preserve">PEVuZE5vdGU+PENpdGU+PEF1dGhvcj5Db29rPC9BdXRob3I+PFllYXI+MjAxNjwvWWVhcj48UmVj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PEVuZE5vdGU+PENpdGU+PEF1dGhvcj5Db29rPC9BdXRob3I+PFllYXI+MjAxNjwvWWVhcj48UmVj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(23)</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09653C55"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50,485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s</w:t>
            </w:r>
          </w:p>
        </w:tc>
        <w:tc>
          <w:tcPr>
            <w:tcW w:w="2551" w:type="dxa"/>
            <w:tcBorders>
              <w:left w:val="nil"/>
              <w:right w:val="nil"/>
            </w:tcBorders>
            <w:shd w:val="clear" w:color="auto" w:fill="auto"/>
          </w:tcPr>
          <w:p w14:paraId="0BC847E6" w14:textId="77777777" w:rsidR="00C63ACE" w:rsidRPr="00D769CC"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D769CC">
              <w:rPr>
                <w:rFonts w:ascii="Arial" w:hAnsi="Arial" w:cs="Arial"/>
                <w:color w:val="000000"/>
                <w:sz w:val="16"/>
                <w:szCs w:val="16"/>
              </w:rPr>
              <w:t>Attend</w:t>
            </w:r>
          </w:p>
        </w:tc>
        <w:tc>
          <w:tcPr>
            <w:tcW w:w="3127" w:type="dxa"/>
            <w:gridSpan w:val="2"/>
            <w:tcBorders>
              <w:left w:val="nil"/>
              <w:right w:val="nil"/>
            </w:tcBorders>
            <w:shd w:val="clear" w:color="auto" w:fill="auto"/>
            <w:hideMark/>
          </w:tcPr>
          <w:p w14:paraId="1D7AECD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Data extracted from routinely collected data on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xml:space="preserve">s </w:t>
            </w:r>
          </w:p>
        </w:tc>
      </w:tr>
      <w:tr w:rsidR="00C63ACE" w:rsidRPr="0057272B" w14:paraId="7231A5EB"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7F26C09A"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Dalton, A.R., A. Bottle, C. Okoro, A. Majeed, and C. Millett, Uptake of the NHS Health Checks programme in a deprived, culturally diverse setting: cross-sectional study. Journal of Public Health. 2011;33:(3): 422-9. </w:t>
            </w:r>
            <w:r w:rsidRPr="0057272B">
              <w:rPr>
                <w:rFonts w:ascii="Arial" w:hAnsi="Arial" w:cs="Arial"/>
                <w:color w:val="262626" w:themeColor="text1" w:themeTint="D9"/>
                <w:sz w:val="16"/>
                <w:szCs w:val="16"/>
              </w:rPr>
              <w:fldChar w:fldCharType="begin">
                <w:fldData xml:space="preserve">PEVuZE5vdGU+PENpdGU+PEF1dGhvcj5EYWx0b248L0F1dGhvcj48WWVhcj4yMDExPC9ZZWFyPjxS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PEVuZE5vdGU+PENpdGU+PEF1dGhvcj5EYWx0b248L0F1dGhvcj48WWVhcj4yMDExPC9ZZWFyPjxS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(24)</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0CB7C0D2"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57,240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s</w:t>
            </w:r>
          </w:p>
        </w:tc>
        <w:tc>
          <w:tcPr>
            <w:tcW w:w="2551" w:type="dxa"/>
            <w:tcBorders>
              <w:left w:val="nil"/>
              <w:right w:val="nil"/>
            </w:tcBorders>
            <w:shd w:val="clear" w:color="auto" w:fill="auto"/>
          </w:tcPr>
          <w:p w14:paraId="006CE8EC" w14:textId="77777777" w:rsidR="00C63ACE" w:rsidRPr="00D769CC"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D769CC">
              <w:rPr>
                <w:rFonts w:ascii="Arial" w:hAnsi="Arial" w:cs="Arial"/>
                <w:color w:val="000000"/>
                <w:sz w:val="16"/>
                <w:szCs w:val="16"/>
              </w:rPr>
              <w:t>Behaviour only</w:t>
            </w:r>
          </w:p>
        </w:tc>
        <w:tc>
          <w:tcPr>
            <w:tcW w:w="3127" w:type="dxa"/>
            <w:gridSpan w:val="2"/>
            <w:tcBorders>
              <w:left w:val="nil"/>
              <w:right w:val="nil"/>
            </w:tcBorders>
            <w:shd w:val="clear" w:color="auto" w:fill="auto"/>
            <w:hideMark/>
          </w:tcPr>
          <w:p w14:paraId="6D3054C9"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Data extracted from routinely collected data on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xml:space="preserve">s </w:t>
            </w:r>
          </w:p>
        </w:tc>
      </w:tr>
      <w:tr w:rsidR="00C63ACE" w:rsidRPr="0057272B" w14:paraId="164275B2" w14:textId="77777777" w:rsidTr="0052052E">
        <w:trPr>
          <w:gridAfter w:val="2"/>
          <w:wAfter w:w="140" w:type="dxa"/>
          <w:trHeight w:val="594"/>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75B71A56"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lastRenderedPageBreak/>
              <w:t xml:space="preserve">Ellis, N., C. Gidlow, L. Cowap, J. Randall, Z. Iqbal, and J. Kumar, A qualitative investigation of non-response in NHS health checks. Archives of Public Health. 2015;73:(1): 14. </w:t>
            </w:r>
            <w:r w:rsidRPr="0057272B">
              <w:rPr>
                <w:rFonts w:ascii="Arial" w:hAnsi="Arial" w:cs="Arial"/>
                <w:color w:val="262626" w:themeColor="text1" w:themeTint="D9"/>
                <w:sz w:val="16"/>
                <w:szCs w:val="16"/>
              </w:rPr>
              <w:fldChar w:fldCharType="begin">
                <w:fldData xml:space="preserve">PEVuZE5vdGU+PENpdGU+PEF1dGhvcj5FbGxpczwvQXV0aG9yPjxZZWFyPjIwMTU8L1llYXI+PFJl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PEVuZE5vdGU+PENpdGU+PEF1dGhvcj5FbGxpczwvQXV0aG9yPjxZZWFyPjIwMTU8L1llYXI+PFJl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(25)</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0C7A39B9"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41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xml:space="preserve"> non-attenders </w:t>
            </w:r>
          </w:p>
        </w:tc>
        <w:tc>
          <w:tcPr>
            <w:tcW w:w="2551" w:type="dxa"/>
            <w:tcBorders>
              <w:left w:val="nil"/>
              <w:right w:val="nil"/>
            </w:tcBorders>
            <w:shd w:val="clear" w:color="auto" w:fill="auto"/>
          </w:tcPr>
          <w:p w14:paraId="48053803"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E2492F">
              <w:rPr>
                <w:rFonts w:ascii="Arial" w:hAnsi="Arial" w:cs="Arial"/>
                <w:color w:val="262626" w:themeColor="text1" w:themeTint="D9"/>
                <w:sz w:val="16"/>
                <w:szCs w:val="16"/>
              </w:rPr>
              <w:t>Attend</w:t>
            </w:r>
          </w:p>
        </w:tc>
        <w:tc>
          <w:tcPr>
            <w:tcW w:w="3127" w:type="dxa"/>
            <w:gridSpan w:val="2"/>
            <w:tcBorders>
              <w:left w:val="nil"/>
              <w:right w:val="nil"/>
            </w:tcBorders>
            <w:shd w:val="clear" w:color="auto" w:fill="auto"/>
            <w:hideMark/>
          </w:tcPr>
          <w:p w14:paraId="0B42A1B6"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Interviews</w:t>
            </w:r>
          </w:p>
        </w:tc>
      </w:tr>
      <w:tr w:rsidR="00C63ACE" w:rsidRPr="0057272B" w14:paraId="16803CD9"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1408"/>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0EA9F872"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A81143">
              <w:rPr>
                <w:rFonts w:ascii="Arial" w:hAnsi="Arial" w:cs="Arial"/>
                <w:b w:val="0"/>
                <w:color w:val="262626" w:themeColor="text1" w:themeTint="D9"/>
                <w:sz w:val="16"/>
                <w:szCs w:val="16"/>
              </w:rPr>
              <w:t>Greaves C, Gillison F, Stathi A, Bennett P, Reddy P, Dunbar J, et al. Waste the waist: a pilot randomised controlled trial of a primary care based intervention to support lifestyle change in people with high cardiovascular risk. International Journal of Behavioral Nutrition &amp; Physical Activity. 2015;12:1.</w:t>
            </w:r>
            <w:r>
              <w:rPr>
                <w:rFonts w:ascii="Arial" w:hAnsi="Arial" w:cs="Arial"/>
                <w:b w:val="0"/>
                <w:color w:val="262626" w:themeColor="text1" w:themeTint="D9"/>
                <w:sz w:val="16"/>
                <w:szCs w:val="16"/>
              </w:rPr>
              <w:t xml:space="preserve"> </w:t>
            </w:r>
            <w:r w:rsidRPr="00A81143">
              <w:rPr>
                <w:rFonts w:ascii="Arial" w:hAnsi="Arial" w:cs="Arial"/>
                <w:color w:val="262626" w:themeColor="text1" w:themeTint="D9"/>
                <w:sz w:val="16"/>
                <w:szCs w:val="16"/>
              </w:rPr>
              <w:fldChar w:fldCharType="begin">
                <w:fldData xml:space="preserve">PEVuZE5vdGU+PENpdGU+PEF1dGhvcj5HcmVhdmVzPC9BdXRob3I+PFllYXI+MjAxNTwvWWVhcj48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PEVuZE5vdGU+PENpdGU+PEF1dGhvcj5HcmVhdmVzPC9BdXRob3I+PFllYXI+MjAxNTwvWWVhcj48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A81143">
              <w:rPr>
                <w:rFonts w:ascii="Arial" w:hAnsi="Arial" w:cs="Arial"/>
                <w:color w:val="262626" w:themeColor="text1" w:themeTint="D9"/>
                <w:sz w:val="16"/>
                <w:szCs w:val="16"/>
              </w:rPr>
            </w:r>
            <w:r w:rsidRPr="00A81143">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(26)</w:t>
            </w:r>
            <w:r w:rsidRPr="00A81143">
              <w:rPr>
                <w:rFonts w:ascii="Arial" w:hAnsi="Arial" w:cs="Arial"/>
                <w:color w:val="262626" w:themeColor="text1" w:themeTint="D9"/>
                <w:sz w:val="16"/>
                <w:szCs w:val="16"/>
              </w:rPr>
              <w:fldChar w:fldCharType="end"/>
            </w:r>
          </w:p>
        </w:tc>
        <w:tc>
          <w:tcPr>
            <w:tcW w:w="2551" w:type="dxa"/>
            <w:tcBorders>
              <w:left w:val="nil"/>
              <w:right w:val="nil"/>
            </w:tcBorders>
            <w:shd w:val="clear" w:color="auto" w:fill="auto"/>
          </w:tcPr>
          <w:p w14:paraId="29ACEB88"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262626" w:themeColor="text1" w:themeTint="D9"/>
                <w:sz w:val="16"/>
                <w:szCs w:val="16"/>
              </w:rPr>
              <w:t>54 patients</w:t>
            </w:r>
          </w:p>
        </w:tc>
        <w:tc>
          <w:tcPr>
            <w:tcW w:w="2551" w:type="dxa"/>
            <w:tcBorders>
              <w:left w:val="nil"/>
              <w:right w:val="nil"/>
            </w:tcBorders>
            <w:shd w:val="clear" w:color="auto" w:fill="auto"/>
          </w:tcPr>
          <w:p w14:paraId="69D48A22"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E2492F">
              <w:rPr>
                <w:rFonts w:ascii="Arial" w:hAnsi="Arial" w:cs="Arial"/>
                <w:color w:val="262626" w:themeColor="text1" w:themeTint="D9"/>
                <w:sz w:val="16"/>
                <w:szCs w:val="16"/>
              </w:rPr>
              <w:t>Behaviour only</w:t>
            </w:r>
          </w:p>
        </w:tc>
        <w:tc>
          <w:tcPr>
            <w:tcW w:w="3127" w:type="dxa"/>
            <w:gridSpan w:val="2"/>
            <w:tcBorders>
              <w:left w:val="nil"/>
              <w:right w:val="nil"/>
            </w:tcBorders>
            <w:shd w:val="clear" w:color="auto" w:fill="auto"/>
          </w:tcPr>
          <w:p w14:paraId="19C4305E"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262626" w:themeColor="text1" w:themeTint="D9"/>
                <w:sz w:val="16"/>
                <w:szCs w:val="16"/>
              </w:rPr>
              <w:t>Patient records</w:t>
            </w:r>
          </w:p>
        </w:tc>
      </w:tr>
      <w:tr w:rsidR="00C63ACE" w:rsidRPr="0057272B" w14:paraId="50500B1B" w14:textId="77777777" w:rsidTr="0052052E">
        <w:trPr>
          <w:gridAfter w:val="2"/>
          <w:wAfter w:w="140" w:type="dxa"/>
          <w:trHeight w:val="1408"/>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50AB1B3C"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Honey, S., L.D. Bryant, J. Murray, K. Hill, and A. House, Differences in the perceived role of the healthcare provider in delivering vascular health checks: a Q methodology study. BMC Family Practice. 2013;14:(172).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&lt;EndNote&gt;&lt;Cite&gt;&lt;Author&gt;Honey&lt;/Author&gt;&lt;Year&gt;2013&lt;/Year&gt;&lt;RecNum&gt;30&lt;/RecNum&gt;&lt;DisplayText&gt;(27)&lt;/DisplayText&gt;&lt;record&gt;&lt;rec-number&gt;30&lt;/rec-number&gt;&lt;foreign-keys&gt;&lt;key app="EN" db-id="f9edtwwtof5ftneevt1pr0voafdvfedx92e2" timestamp="1550219648"&gt;30&lt;/key&gt;&lt;/foreign-keys&gt;&lt;ref-type name="Journal Article"&gt;17&lt;/ref-type&gt;&lt;contributors&gt;&lt;authors&gt;&lt;author&gt;Honey, S.&lt;/author&gt;&lt;author&gt;Bryant, L. D.&lt;/author&gt;&lt;author&gt;Murray, J.&lt;/author&gt;&lt;author&gt;Hill, K.&lt;/author&gt;&lt;author&gt;House, A.&lt;/author&gt;&lt;/authors&gt;&lt;/contributors&gt;&lt;auth-address&gt;Honey, Stephanie. Leeds Institute of Health Sciences, Charles Thackrah Building, University of Leeds, 101 Clarendon Road, Leeds LS2 9LJ, UK. S.A.Honey@leeds.ac.uk.&lt;/auth-address&gt;&lt;titles&gt;&lt;title&gt;Differences in the perceived role of the healthcare provider in delivering vascular health checks: a Q methodology study&lt;/title&gt;&lt;secondary-title&gt;BMC Family Practice&lt;/secondary-title&gt;&lt;/titles&gt;&lt;periodical&gt;&lt;full-title&gt;BMC Family Practice&lt;/full-title&gt;&lt;/periodical&gt;&lt;pages&gt;172&lt;/pages&gt;&lt;volume&gt;14&lt;/volume&gt;&lt;dates&gt;&lt;year&gt;2013&lt;/year&gt;&lt;/dates&gt;&lt;accession-num&gt;24229342&lt;/accession-num&gt;&lt;work-type&gt;Research Support, Non-U.S. Gov&amp;apos;t&lt;/work-type&gt;&lt;urls&gt;&lt;related-urls&gt;&lt;url&gt;http://ovidsp.ovid.com/ovidweb.cgi?T=JS&amp;amp;CSC=Y&amp;amp;NEWS=N&amp;amp;PAGE=fulltext&amp;amp;D=med7&amp;amp;AN=24229342&lt;/url&gt;&lt;url&gt;https://www.ncbi.nlm.nih.gov/pmc/articles/PMC3870972/pdf/1471-2296-14-172.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(27)</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4F40B4CC"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52 primary HCPs</w:t>
            </w:r>
          </w:p>
        </w:tc>
        <w:tc>
          <w:tcPr>
            <w:tcW w:w="2551" w:type="dxa"/>
            <w:tcBorders>
              <w:left w:val="nil"/>
              <w:right w:val="nil"/>
            </w:tcBorders>
            <w:shd w:val="clear" w:color="auto" w:fill="auto"/>
          </w:tcPr>
          <w:p w14:paraId="0064D473"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E2492F">
              <w:rPr>
                <w:rFonts w:ascii="Arial" w:hAnsi="Arial" w:cs="Arial"/>
                <w:color w:val="262626" w:themeColor="text1" w:themeTint="D9"/>
                <w:sz w:val="16"/>
                <w:szCs w:val="16"/>
              </w:rPr>
              <w:t>Deliver</w:t>
            </w:r>
            <w:r w:rsidRPr="00E2492F">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3736E73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 sort task" participants rank a set of predefined attitudinal statements. The sorting patterns of the participants are analysed using by-person correlation and factor analytic techniques to identify distinct ' clusters of likemindedness'</w:t>
            </w:r>
          </w:p>
        </w:tc>
      </w:tr>
      <w:tr w:rsidR="00C63ACE" w:rsidRPr="0057272B" w14:paraId="732F47A5"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29C6FDE6"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Honey, S., K. Hill, J. Murray, C. Craigs, and A. House, Patients' responses to the communication of vascular risk in primary care: a qualitative study. Primary Health Care Research &amp; Development. 2015;16:(1): 61-70.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(28)</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52073A65"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37 patients at increased risk of CVD</w:t>
            </w:r>
          </w:p>
        </w:tc>
        <w:tc>
          <w:tcPr>
            <w:tcW w:w="2551" w:type="dxa"/>
            <w:tcBorders>
              <w:left w:val="nil"/>
              <w:right w:val="nil"/>
            </w:tcBorders>
            <w:shd w:val="clear" w:color="auto" w:fill="auto"/>
          </w:tcPr>
          <w:p w14:paraId="7A58065C"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E2492F">
              <w:rPr>
                <w:rFonts w:ascii="Arial" w:hAnsi="Arial" w:cs="Arial"/>
                <w:color w:val="262626" w:themeColor="text1" w:themeTint="D9"/>
                <w:sz w:val="16"/>
                <w:szCs w:val="16"/>
              </w:rPr>
              <w:t>Attend</w:t>
            </w:r>
            <w:r w:rsidRPr="00E2492F">
              <w:rPr>
                <w:rFonts w:ascii="Arial" w:hAnsi="Arial" w:cs="Arial"/>
                <w:color w:val="262626" w:themeColor="text1" w:themeTint="D9"/>
                <w:sz w:val="16"/>
                <w:szCs w:val="16"/>
              </w:rPr>
              <w:br/>
              <w:t>Deliver</w:t>
            </w:r>
            <w:r w:rsidRPr="00E2492F">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1DF8F72D"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Qualitative interview</w:t>
            </w:r>
          </w:p>
        </w:tc>
      </w:tr>
      <w:tr w:rsidR="00C63ACE" w:rsidRPr="0057272B" w14:paraId="5CA562BD" w14:textId="77777777" w:rsidTr="0052052E">
        <w:trPr>
          <w:gridAfter w:val="2"/>
          <w:wAfter w:w="140" w:type="dxa"/>
          <w:trHeight w:val="1125"/>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77DC7E06"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Ismail, H. and K. Atkin, The NHS Health Check programme: insights from a qualitative study of patients. Health Expectations. 2016;19:(2): 345-55.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&lt;EndNote&gt;&lt;Cite&gt;&lt;Author&gt;Ismail&lt;/Author&gt;&lt;Year&gt;2016&lt;/Year&gt;&lt;RecNum&gt;32&lt;/RecNum&gt;&lt;DisplayText&gt;(29)&lt;/DisplayText&gt;&lt;record&gt;&lt;rec-number&gt;32&lt;/rec-number&gt;&lt;foreign-keys&gt;&lt;key app="EN" db-id="f9edtwwtof5ftneevt1pr0voafdvfedx92e2" timestamp="1550219648"&gt;32&lt;/key&gt;&lt;/foreign-keys&gt;&lt;ref-type name="Journal Article"&gt;17&lt;/ref-type&gt;&lt;contributors&gt;&lt;authors&gt;&lt;author&gt;Ismail, H.&lt;/author&gt;&lt;author&gt;Atkin, K.&lt;/author&gt;&lt;/authors&gt;&lt;/contributors&gt;&lt;auth-address&gt;Ismail, Hanif. Faculty of Health and Life Sciences, York St John University, York, UK.&amp;#xD;Atkin, Karl. Department of Health Sciences, University of York, York, UK.&lt;/auth-address&gt;&lt;titles&gt;&lt;title&gt;The NHS Health Check programme: insights from a qualitative study of patients&lt;/title&gt;&lt;secondary-title&gt;Health Expectations&lt;/secondary-title&gt;&lt;/titles&gt;&lt;periodical&gt;&lt;full-title&gt;Health Expectations&lt;/full-title&gt;&lt;/periodical&gt;&lt;pages&gt;345-55&lt;/pages&gt;&lt;volume&gt;19&lt;/volume&gt;&lt;number&gt;2&lt;/number&gt;&lt;dates&gt;&lt;year&gt;2016&lt;/year&gt;&lt;/dates&gt;&lt;accession-num&gt;25732686&lt;/accession-num&gt;&lt;work-type&gt;Research Support, Non-U.S. Gov&amp;apos;t&lt;/work-type&gt;&lt;urls&gt;&lt;related-urls&gt;&lt;url&gt;http://ovidsp.ovid.com/ovidweb.cgi?T=JS&amp;amp;CSC=Y&amp;amp;NEWS=N&amp;amp;PAGE=fulltext&amp;amp;D=med8&amp;amp;AN=25732686&lt;/url&gt;&lt;url&gt;https://www.ncbi.nlm.nih.gov/pmc/articles/PMC5055268/pdf/HEX-19-345.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(29)</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60DB9A66"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45 patients 12 month-post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left w:val="nil"/>
              <w:right w:val="nil"/>
            </w:tcBorders>
            <w:shd w:val="clear" w:color="auto" w:fill="auto"/>
          </w:tcPr>
          <w:p w14:paraId="63BF1C62"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E2492F">
              <w:rPr>
                <w:rFonts w:ascii="Arial" w:hAnsi="Arial" w:cs="Arial"/>
                <w:color w:val="262626" w:themeColor="text1" w:themeTint="D9"/>
                <w:sz w:val="16"/>
                <w:szCs w:val="16"/>
              </w:rPr>
              <w:t>Attend</w:t>
            </w:r>
            <w:r w:rsidRPr="00E2492F">
              <w:rPr>
                <w:rFonts w:ascii="Arial" w:hAnsi="Arial" w:cs="Arial"/>
                <w:color w:val="262626" w:themeColor="text1" w:themeTint="D9"/>
                <w:sz w:val="16"/>
                <w:szCs w:val="16"/>
              </w:rPr>
              <w:br/>
              <w:t>Deliver</w:t>
            </w:r>
            <w:r w:rsidRPr="00E2492F">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35B0D9EE"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Qualitative interview</w:t>
            </w:r>
          </w:p>
        </w:tc>
      </w:tr>
      <w:tr w:rsidR="00C63ACE" w:rsidRPr="0057272B" w14:paraId="71AF1B80"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102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FC9E059"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Ismail, H. and S. Kelly, Lessons learned from England's Health Checks Programme: using qualitative research to identify and share best practice. BMC Family Practice. 2015;16:(144).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&lt;EndNote&gt;&lt;Cite&gt;&lt;Author&gt;Ismail&lt;/Author&gt;&lt;Year&gt;2015&lt;/Year&gt;&lt;RecNum&gt;33&lt;/RecNum&gt;&lt;DisplayText&gt;(30)&lt;/DisplayText&gt;&lt;record&gt;&lt;rec-number&gt;33&lt;/rec-number&gt;&lt;foreign-keys&gt;&lt;key app="EN" db-id="f9edtwwtof5ftneevt1pr0voafdvfedx92e2" timestamp="1550219648"&gt;33&lt;/key&gt;&lt;/foreign-keys&gt;&lt;ref-type name="Journal Article"&gt;17&lt;/ref-type&gt;&lt;contributors&gt;&lt;authors&gt;&lt;author&gt;Ismail, H.&lt;/author&gt;&lt;author&gt;Kelly, S.&lt;/author&gt;&lt;/authors&gt;&lt;/contributors&gt;&lt;auth-address&gt;Ismail, Hanif. Centre for Health &amp;amp; Social Care Research, Sheffield Hallam University, Sheffield, UK. h.ismail@shu.ac.uk.&amp;#xD;Ismail, Hanif. Department of Health &amp;amp; Life Sciences, York St John University, York, UK. h.ismail@shu.ac.uk.&amp;#xD;Kelly, Shona. Centre for Health &amp;amp; Social Care Research, Sheffield Hallam University, Sheffield, UK. s.kelly@shu.ac.uk.&lt;/auth-address&gt;&lt;titles&gt;&lt;title&gt;Lessons learned from England&amp;apos;s Health Checks Programme: using qualitative research to identify and share best practice&lt;/title&gt;&lt;secondary-title&gt;BMC Family Practice&lt;/secondary-title&gt;&lt;/titles&gt;&lt;periodical&gt;&lt;full-title&gt;BMC Family Practice&lt;/full-title&gt;&lt;/periodical&gt;&lt;pages&gt;144&lt;/pages&gt;&lt;volume&gt;16&lt;/volume&gt;&lt;dates&gt;&lt;year&gt;2015&lt;/year&gt;&lt;/dates&gt;&lt;accession-num&gt;26486126&lt;/accession-num&gt;&lt;work-type&gt;Research Support, Non-U.S. Gov&amp;apos;t&lt;/work-type&gt;&lt;urls&gt;&lt;related-urls&gt;&lt;url&gt;http://ovidsp.ovid.com/ovidweb.cgi?T=JS&amp;amp;CSC=Y&amp;amp;NEWS=N&amp;amp;PAGE=fulltext&amp;amp;D=med8&amp;amp;AN=26486126&lt;/url&gt;&lt;url&gt;https://www.ncbi.nlm.nih.gov/pmc/articles/PMC4618054/pdf/12875_2015_Article_365.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(30)</w:t>
            </w:r>
            <w:r w:rsidRPr="0057272B">
              <w:rPr>
                <w:rFonts w:ascii="Arial" w:hAnsi="Arial" w:cs="Arial"/>
                <w:color w:val="262626" w:themeColor="text1" w:themeTint="D9"/>
                <w:sz w:val="16"/>
                <w:szCs w:val="16"/>
              </w:rPr>
              <w:fldChar w:fldCharType="end"/>
            </w:r>
          </w:p>
        </w:tc>
        <w:tc>
          <w:tcPr>
            <w:tcW w:w="2551" w:type="dxa"/>
            <w:tcBorders>
              <w:left w:val="nil"/>
              <w:bottom w:val="single" w:sz="4" w:space="0" w:color="8EAADB" w:themeColor="accent1" w:themeTint="99"/>
              <w:right w:val="nil"/>
            </w:tcBorders>
            <w:shd w:val="clear" w:color="auto" w:fill="auto"/>
            <w:hideMark/>
          </w:tcPr>
          <w:p w14:paraId="0EB0A18F"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58 staff involved all levels of the delivery of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s</w:t>
            </w:r>
          </w:p>
        </w:tc>
        <w:tc>
          <w:tcPr>
            <w:tcW w:w="2551" w:type="dxa"/>
            <w:tcBorders>
              <w:left w:val="nil"/>
              <w:bottom w:val="single" w:sz="4" w:space="0" w:color="8EAADB" w:themeColor="accent1" w:themeTint="99"/>
              <w:right w:val="nil"/>
            </w:tcBorders>
            <w:shd w:val="clear" w:color="auto" w:fill="auto"/>
          </w:tcPr>
          <w:p w14:paraId="29329BA8"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E2492F">
              <w:rPr>
                <w:rFonts w:ascii="Arial" w:hAnsi="Arial" w:cs="Arial"/>
                <w:color w:val="262626" w:themeColor="text1" w:themeTint="D9"/>
                <w:sz w:val="16"/>
                <w:szCs w:val="16"/>
              </w:rPr>
              <w:t>Invite</w:t>
            </w:r>
            <w:r w:rsidRPr="00E2492F">
              <w:rPr>
                <w:rFonts w:ascii="Arial" w:hAnsi="Arial" w:cs="Arial"/>
                <w:color w:val="262626" w:themeColor="text1" w:themeTint="D9"/>
                <w:sz w:val="16"/>
                <w:szCs w:val="16"/>
              </w:rPr>
              <w:br/>
              <w:t>Attend</w:t>
            </w:r>
            <w:r w:rsidRPr="00E2492F">
              <w:rPr>
                <w:rFonts w:ascii="Arial" w:hAnsi="Arial" w:cs="Arial"/>
                <w:color w:val="262626" w:themeColor="text1" w:themeTint="D9"/>
                <w:sz w:val="16"/>
                <w:szCs w:val="16"/>
              </w:rPr>
              <w:br/>
              <w:t>Deliver</w:t>
            </w:r>
            <w:r w:rsidRPr="00E2492F">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left w:val="nil"/>
              <w:bottom w:val="single" w:sz="4" w:space="0" w:color="8EAADB" w:themeColor="accent1" w:themeTint="99"/>
              <w:right w:val="nil"/>
            </w:tcBorders>
            <w:shd w:val="clear" w:color="auto" w:fill="auto"/>
            <w:hideMark/>
          </w:tcPr>
          <w:p w14:paraId="158A320F"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Qualitative interview</w:t>
            </w:r>
          </w:p>
        </w:tc>
      </w:tr>
      <w:tr w:rsidR="00C63ACE" w:rsidRPr="0057272B" w14:paraId="2F832166" w14:textId="77777777" w:rsidTr="0052052E">
        <w:trPr>
          <w:gridAfter w:val="2"/>
          <w:wAfter w:w="140" w:type="dxa"/>
          <w:trHeight w:val="136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65BEE43A"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lastRenderedPageBreak/>
              <w:t xml:space="preserve">Jenkinson, C.E., A. Asprey, C.E. Clark, and S.H. Richards, Patients' willingness to attend the NHS cardiovascular health checks in primary care: a qualitative interview study. BMC Family Practice. 2015;16:(33). </w:t>
            </w:r>
            <w:r w:rsidRPr="0057272B">
              <w:rPr>
                <w:rFonts w:ascii="Arial" w:hAnsi="Arial" w:cs="Arial"/>
                <w:color w:val="262626" w:themeColor="text1" w:themeTint="D9"/>
                <w:sz w:val="16"/>
                <w:szCs w:val="16"/>
              </w:rPr>
              <w:fldChar w:fldCharType="begin">
                <w:fldData xml:space="preserve">PEVuZE5vdGU+PENpdGU+PEF1dGhvcj5KZW5raW5zb248L0F1dGhvcj48WWVhcj4yMDE1PC9ZZWFy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PEVuZE5vdGU+PENpdGU+PEF1dGhvcj5KZW5raW5zb248L0F1dGhvcj48WWVhcj4yMDE1PC9ZZWFy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(31)</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6746601B"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17 attendees and 10 non-attendees.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11E1E040"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2D3D8D">
              <w:rPr>
                <w:rFonts w:ascii="Arial" w:hAnsi="Arial" w:cs="Arial"/>
                <w:color w:val="262626" w:themeColor="text1" w:themeTint="D9"/>
                <w:sz w:val="16"/>
                <w:szCs w:val="16"/>
              </w:rPr>
              <w:t>Attend</w:t>
            </w:r>
            <w:r w:rsidRPr="002D3D8D">
              <w:rPr>
                <w:rFonts w:ascii="Arial" w:hAnsi="Arial" w:cs="Arial"/>
                <w:color w:val="262626" w:themeColor="text1" w:themeTint="D9"/>
                <w:sz w:val="16"/>
                <w:szCs w:val="16"/>
              </w:rPr>
              <w:br/>
            </w:r>
            <w:r>
              <w:rPr>
                <w:rFonts w:ascii="Arial" w:hAnsi="Arial" w:cs="Arial"/>
                <w:color w:val="000000"/>
                <w:sz w:val="16"/>
                <w:szCs w:val="16"/>
              </w:rPr>
              <w:t>Patient behaviour change</w:t>
            </w:r>
            <w:r w:rsidRPr="002D3D8D">
              <w:rPr>
                <w:rFonts w:ascii="Arial" w:hAnsi="Arial" w:cs="Arial"/>
                <w:color w:val="262626" w:themeColor="text1" w:themeTint="D9"/>
                <w:sz w:val="16"/>
                <w:szCs w:val="16"/>
              </w:rPr>
              <w:br/>
              <w:t>Attend repeat</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2164B51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Qualitative interview</w:t>
            </w:r>
          </w:p>
        </w:tc>
      </w:tr>
      <w:tr w:rsidR="00C63ACE" w:rsidRPr="0057272B" w14:paraId="7D3069B9"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54A4FFD3"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Kirby, M. and I. Machen, Impact on clinical practice of the Joint British Societies' cardiovascular risk assessment tools. International Journal of Clinical Practice. 2009;63:(12): 1683-92.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&lt;EndNote&gt;&lt;Cite&gt;&lt;Author&gt;Kirby&lt;/Author&gt;&lt;Year&gt;2009&lt;/Year&gt;&lt;RecNum&gt;35&lt;/RecNum&gt;&lt;DisplayText&gt;(32)&lt;/DisplayText&gt;&lt;record&gt;&lt;rec-number&gt;35&lt;/rec-number&gt;&lt;foreign-keys&gt;&lt;key app="EN" db-id="f9edtwwtof5ftneevt1pr0voafdvfedx92e2" timestamp="1550219648"&gt;35&lt;/key&gt;&lt;/foreign-keys&gt;&lt;ref-type name="Journal Article"&gt;17&lt;/ref-type&gt;&lt;contributors&gt;&lt;authors&gt;&lt;author&gt;Kirby, M.&lt;/author&gt;&lt;author&gt;Machen, I.&lt;/author&gt;&lt;/authors&gt;&lt;/contributors&gt;&lt;auth-address&gt;Kirby, M. Clinical Trials Co-ordinating Centre, Faculty of Health and Human Sciences, University of Hertfordshire, College Lane, Hatfield, Herts, UK. kirbym@globalnet.co.uk&lt;/auth-address&gt;&lt;titles&gt;&lt;title&gt;Impact on clinical practice of the Joint British Societies&amp;apos; cardiovascular risk assessment tools&lt;/title&gt;&lt;secondary-title&gt;International Journal of Clinical Practice&lt;/secondary-title&gt;&lt;/titles&gt;&lt;periodical&gt;&lt;full-title&gt;International Journal of Clinical Practice&lt;/full-title&gt;&lt;/periodical&gt;&lt;pages&gt;1683-92&lt;/pages&gt;&lt;volume&gt;63&lt;/volume&gt;&lt;number&gt;12&lt;/number&gt;&lt;dates&gt;&lt;year&gt;2009&lt;/year&gt;&lt;/dates&gt;&lt;accession-num&gt;19930330&lt;/accession-num&gt;&lt;work-type&gt;Research Support, Non-U.S. Gov&amp;apos;t&lt;/work-type&gt;&lt;urls&gt;&lt;related-urls&gt;&lt;url&gt;http://ovidsp.ovid.com/ovidweb.cgi?T=JS&amp;amp;CSC=Y&amp;amp;NEWS=N&amp;amp;PAGE=fulltext&amp;amp;D=med6&amp;amp;AN=19930330&lt;/url&gt;&lt;url&gt;https://onlinelibrary.wiley.com/doi/abs/10.1111/j.1742-1241.2009.02201.x&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(32)</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58F71D37"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825 GPs</w:t>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tcPr>
          <w:p w14:paraId="1B289F79"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2D3D8D">
              <w:rPr>
                <w:rFonts w:ascii="Arial" w:hAnsi="Arial" w:cs="Arial"/>
                <w:color w:val="262626" w:themeColor="text1" w:themeTint="D9"/>
                <w:sz w:val="16"/>
                <w:szCs w:val="16"/>
              </w:rPr>
              <w:t>Deliver</w:t>
            </w:r>
            <w:r w:rsidRPr="002D3D8D">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007AAC4B"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Online survey</w:t>
            </w:r>
          </w:p>
        </w:tc>
      </w:tr>
      <w:tr w:rsidR="00C63ACE" w:rsidRPr="0057272B" w14:paraId="5DB4433E"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554CC0E"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Krska, J., R. du Plessis, and H. Chellaswamy, Implementation of NHS Health Checks in general practice: variation in delivery between practices and practitioners. Primary Health Care Research &amp; Development. 2016;17:(4): 385-92.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&lt;EndNote&gt;&lt;Cite&gt;&lt;Author&gt;Krska&lt;/Author&gt;&lt;Year&gt;2016&lt;/Year&gt;&lt;RecNum&gt;36&lt;/RecNum&gt;&lt;DisplayText&gt;(33)&lt;/DisplayText&gt;&lt;record&gt;&lt;rec-number&gt;36&lt;/rec-number&gt;&lt;foreign-keys&gt;&lt;key app="EN" db-id="f9edtwwtof5ftneevt1pr0voafdvfedx92e2" timestamp="1550219648"&gt;36&lt;/key&gt;&lt;/foreign-keys&gt;&lt;ref-type name="Journal Article"&gt;17&lt;/ref-type&gt;&lt;contributors&gt;&lt;authors&gt;&lt;author&gt;Krska, J.&lt;/author&gt;&lt;author&gt;du Plessis, R.&lt;/author&gt;&lt;author&gt;Chellaswamy, H.&lt;/author&gt;&lt;/authors&gt;&lt;/contributors&gt;&lt;auth-address&gt;Krska, Janet. 1Professor of Clinical and Professional Pharmacy,Medway School of Pharmacy,Universities of Greenwich and Kent,Chatham Maritime,England.&amp;#xD;du Plessis, Ruth. 2Public Health Development Manager,Sefton Council Public Health Department,England.&amp;#xD;Chellaswamy, Hannah. 3Deputy Director of Public Health,Sefton Council Public Health Department,England.&lt;/auth-address&gt;&lt;titles&gt;&lt;title&gt;Implementation of NHS Health Checks in general practice: variation in delivery between practices and practitioners&lt;/title&gt;&lt;secondary-title&gt;Primary Health Care Research &amp;amp; Development&lt;/secondary-title&gt;&lt;/titles&gt;&lt;periodical&gt;&lt;full-title&gt;Primary Health Care Research &amp;amp; Development&lt;/full-title&gt;&lt;/periodical&gt;&lt;pages&gt;385-92&lt;/pages&gt;&lt;volume&gt;17&lt;/volume&gt;&lt;number&gt;4&lt;/number&gt;&lt;dates&gt;&lt;year&gt;2016&lt;/year&gt;&lt;/dates&gt;&lt;accession-num&gt;26522491&lt;/accession-num&gt;&lt;work-type&gt;Observational Study&amp;#xD;Research Support, Non-U.S. Gov&amp;apos;t&lt;/work-type&gt;&lt;urls&gt;&lt;related-urls&gt;&lt;url&gt;http://ovidsp.ovid.com/ovidweb.cgi?T=JS&amp;amp;CSC=Y&amp;amp;NEWS=N&amp;amp;PAGE=fulltext&amp;amp;D=med8&amp;amp;AN=26522491&lt;/url&gt;&lt;/related-urls&gt;&lt;/urls&gt;&lt;remote-database-name&gt;MEDLINE&lt;/remote-database-name&gt;&lt;remote-database-provider&gt;Ovid Technologies&lt;/remote-database-provider&gt;&lt;research-notes&gt;Reports relevant NHSHC behaviours&lt;/research-notes&gt;&lt;/record&gt;&lt;/Cite&gt;&lt;/EndNote&gt;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(33)</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6124FF0A"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2892 patients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6359072F"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2D3D8D">
              <w:rPr>
                <w:rFonts w:ascii="Arial" w:hAnsi="Arial" w:cs="Arial"/>
                <w:color w:val="262626" w:themeColor="text1" w:themeTint="D9"/>
                <w:sz w:val="16"/>
                <w:szCs w:val="16"/>
              </w:rPr>
              <w:t>Deliver</w:t>
            </w:r>
            <w:r w:rsidRPr="002D3D8D">
              <w:rPr>
                <w:rFonts w:ascii="Arial" w:hAnsi="Arial" w:cs="Arial"/>
                <w:color w:val="262626" w:themeColor="text1" w:themeTint="D9"/>
                <w:sz w:val="16"/>
                <w:szCs w:val="16"/>
              </w:rPr>
              <w:br/>
              <w:t>Record</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69758D22"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Patient electronic records</w:t>
            </w:r>
          </w:p>
        </w:tc>
      </w:tr>
      <w:tr w:rsidR="00C63ACE" w:rsidRPr="0057272B" w14:paraId="0167D257"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67847EF5"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Krska, J., R. du Plessis, and H. Chellaswamy, Views of practice managers and general practitioners on implementing NHS Health Checks. Primary Health Care Research &amp; Development. 2016;17:(2): 198-205.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&lt;EndNote&gt;&lt;Cite&gt;&lt;Author&gt;Krska&lt;/Author&gt;&lt;Year&gt;2016&lt;/Year&gt;&lt;RecNum&gt;37&lt;/RecNum&gt;&lt;DisplayText&gt;(34)&lt;/DisplayText&gt;&lt;record&gt;&lt;rec-number&gt;37&lt;/rec-number&gt;&lt;foreign-keys&gt;&lt;key app="EN" db-id="f9edtwwtof5ftneevt1pr0voafdvfedx92e2" timestamp="1550219648"&gt;37&lt;/key&gt;&lt;/foreign-keys&gt;&lt;ref-type name="Journal Article"&gt;17&lt;/ref-type&gt;&lt;contributors&gt;&lt;authors&gt;&lt;author&gt;Krska, J.&lt;/author&gt;&lt;author&gt;du Plessis, R.&lt;/author&gt;&lt;author&gt;Chellaswamy, H.&lt;/author&gt;&lt;/authors&gt;&lt;/contributors&gt;&lt;auth-address&gt;Krska, Janet. 1Professor of Pharmacy Practice,School of Pharmacy and Biomolecular Sciences,Liverpool John Moores University,Liverpool,UK.&amp;#xD;du Plessis, Ruth. 2Public Health Development Manager,Sefton Council Public Health Department,Bootle,UK.&amp;#xD;Chellaswamy, Hannah. 3Deputy Director of Public Health,Sefton Council Public Health Department,Bootle,UK.&lt;/auth-address&gt;&lt;titles&gt;&lt;title&gt;Views of practice managers and general practitioners on implementing NHS Health Checks&lt;/title&gt;&lt;secondary-title&gt;Primary Health Care Research &amp;amp; Development&lt;/secondary-title&gt;&lt;/titles&gt;&lt;periodical&gt;&lt;full-title&gt;Primary Health Care Research &amp;amp; Development&lt;/full-title&gt;&lt;/periodical&gt;&lt;pages&gt;198-205&lt;/pages&gt;&lt;volume&gt;17&lt;/volume&gt;&lt;number&gt;2&lt;/number&gt;&lt;dates&gt;&lt;year&gt;2016&lt;/year&gt;&lt;/dates&gt;&lt;accession-num&gt;25991495&lt;/accession-num&gt;&lt;urls&gt;&lt;related-urls&gt;&lt;url&gt;http://ovidsp.ovid.com/ovidweb.cgi?T=JS&amp;amp;CSC=Y&amp;amp;NEWS=N&amp;amp;PAGE=fulltext&amp;amp;D=med8&amp;amp;AN=25991495&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(34)</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61076A3F"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43 GPs and 40 practice managers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7483ECA4"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2D3D8D">
              <w:rPr>
                <w:rFonts w:ascii="Arial" w:hAnsi="Arial" w:cs="Arial"/>
                <w:color w:val="262626" w:themeColor="text1" w:themeTint="D9"/>
                <w:sz w:val="16"/>
                <w:szCs w:val="16"/>
              </w:rPr>
              <w:t>Invite</w:t>
            </w:r>
            <w:r w:rsidRPr="002D3D8D">
              <w:rPr>
                <w:rFonts w:ascii="Arial" w:hAnsi="Arial" w:cs="Arial"/>
                <w:color w:val="262626" w:themeColor="text1" w:themeTint="D9"/>
                <w:sz w:val="16"/>
                <w:szCs w:val="16"/>
              </w:rPr>
              <w:br/>
              <w:t>Attend</w:t>
            </w:r>
            <w:r w:rsidRPr="002D3D8D">
              <w:rPr>
                <w:rFonts w:ascii="Arial" w:hAnsi="Arial" w:cs="Arial"/>
                <w:color w:val="262626" w:themeColor="text1" w:themeTint="D9"/>
                <w:sz w:val="16"/>
                <w:szCs w:val="16"/>
              </w:rPr>
              <w:br/>
              <w:t>Deliver</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041A5627"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Postal survey</w:t>
            </w:r>
          </w:p>
        </w:tc>
      </w:tr>
      <w:tr w:rsidR="00C63ACE" w:rsidRPr="0057272B" w14:paraId="433B9E29"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06FD019E"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McDermott, L., A.J. Wright, V. Cornelius, C. Burgess, A.S. Forster, M. Ashworth, et al., Enhanced invitation methods and uptake of health checks in primary care: randomised controlled trial and cohort study using electronic health records. Health Technology Assessment (Winchester, England). 2016;20:(84): 1-92. </w:t>
            </w:r>
            <w:r w:rsidRPr="0057272B">
              <w:rPr>
                <w:rFonts w:ascii="Arial" w:hAnsi="Arial" w:cs="Arial"/>
                <w:color w:val="262626" w:themeColor="text1" w:themeTint="D9"/>
                <w:sz w:val="16"/>
                <w:szCs w:val="16"/>
              </w:rPr>
              <w:fldChar w:fldCharType="begin">
                <w:fldData xml:space="preserve">PEVuZE5vdGU+PENpdGU+PEF1dGhvcj5NY0Rlcm1vdHQ8L0F1dGhvcj48WWVhcj4yMDE2PC9ZZWFy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PEVuZE5vdGU+PENpdGU+PEF1dGhvcj5NY0Rlcm1vdHQ8L0F1dGhvcj48WWVhcj4yMDE2PC9ZZWFy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(35)</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3333ABBE"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12,052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tcPr>
          <w:p w14:paraId="605076D8" w14:textId="77777777" w:rsidR="00C63ACE" w:rsidRPr="0057272B"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262626" w:themeColor="text1" w:themeTint="D9"/>
                <w:sz w:val="16"/>
                <w:szCs w:val="16"/>
              </w:rPr>
              <w:t>I</w:t>
            </w:r>
            <w:r w:rsidRPr="002D3D8D">
              <w:rPr>
                <w:rFonts w:ascii="Arial" w:hAnsi="Arial" w:cs="Arial"/>
                <w:color w:val="262626" w:themeColor="text1" w:themeTint="D9"/>
                <w:sz w:val="16"/>
                <w:szCs w:val="16"/>
              </w:rPr>
              <w:t>nfluences on behaviour not reported</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09EC245C"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Routinely collected data</w:t>
            </w:r>
          </w:p>
        </w:tc>
      </w:tr>
      <w:tr w:rsidR="00C63ACE" w:rsidRPr="0057272B" w14:paraId="4AF5243F"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612F6256"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McNaughton, R.J. and J. Shucksmith, Reasons for (non)compliance with intervention following identification of 'high-risk' status in the NHS Health Check programme. Journal of Public Health. 2015;37:(2): 218-25.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&lt;EndNote&gt;&lt;Cite&gt;&lt;Author&gt;McNaughton&lt;/Author&gt;&lt;Year&gt;2015&lt;/Year&gt;&lt;RecNum&gt;48&lt;/RecNum&gt;&lt;DisplayText&gt;(36)&lt;/DisplayText&gt;&lt;record&gt;&lt;rec-number&gt;48&lt;/rec-number&gt;&lt;foreign-keys&gt;&lt;key app="EN" db-id="f9edtwwtof5ftneevt1pr0voafdvfedx92e2" timestamp="1550219649"&gt;48&lt;/key&gt;&lt;/foreign-keys&gt;&lt;ref-type name="Journal Article"&gt;17&lt;/ref-type&gt;&lt;contributors&gt;&lt;authors&gt;&lt;author&gt;McNaughton, R. J.&lt;/author&gt;&lt;author&gt;Shucksmith, J.&lt;/author&gt;&lt;/authors&gt;&lt;/contributors&gt;&lt;auth-address&gt;McNaughton, R J. School of Health and Care, Health and Social Care Institute, Teesside University, Middlesbrough TS1 3BA, UK Fuse (UKCRC Centre for Translational Research in Public Health), Newcastle University, Newcastle-upon-Tyne NE2 4AX, UK.&amp;#xD;Shucksmith, J. School of Health and Care, Health and Social Care Institute, Teesside University, Middlesbrough TS1 3BA, UK Fuse (UKCRC Centre for Translational Research in Public Health), Newcastle University, Newcastle-upon-Tyne NE2 4AX, UK.&lt;/auth-address&gt;&lt;titles&gt;&lt;title&gt;Reasons for (non)compliance with intervention following identification of &amp;apos;high-risk&amp;apos; status in the NHS Health Check programme&lt;/title&gt;&lt;secondary-title&gt;Journal of Public Health&lt;/secondary-title&gt;&lt;/titles&gt;&lt;periodical&gt;&lt;full-title&gt;Journal of Public Health&lt;/full-title&gt;&lt;/periodical&gt;&lt;pages&gt;218-25&lt;/pages&gt;&lt;volume&gt;37&lt;/volume&gt;&lt;number&gt;2&lt;/number&gt;&lt;dates&gt;&lt;year&gt;2015&lt;/year&gt;&lt;/dates&gt;&lt;accession-num&gt;25237034&lt;/accession-num&gt;&lt;work-type&gt;Research Support, Non-U.S. Gov&amp;apos;t&lt;/work-type&gt;&lt;urls&gt;&lt;related-urls&gt;&lt;url&gt;http://ovidsp.ovid.com/ovidweb.cgi?T=JS&amp;amp;CSC=Y&amp;amp;NEWS=N&amp;amp;PAGE=fulltext&amp;amp;D=med8&amp;amp;AN=25237034&lt;/url&gt;&lt;url&gt;https://www.ncbi.nlm.nih.gov/pmc/articles/PMC4447131/pdf/fdu066.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(36)</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71DC561B"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29 patients who had undergone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xml:space="preserve"> and identified as having increased CVD risk</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2CE033FC"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000000"/>
                <w:sz w:val="16"/>
                <w:szCs w:val="16"/>
              </w:rPr>
              <w:t>Patient behaviour change</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30370CDC"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w:t>
            </w:r>
          </w:p>
        </w:tc>
      </w:tr>
      <w:tr w:rsidR="00C63ACE" w:rsidRPr="0057272B" w14:paraId="02C4354A" w14:textId="77777777" w:rsidTr="0052052E">
        <w:trPr>
          <w:gridAfter w:val="2"/>
          <w:wAfter w:w="140" w:type="dxa"/>
          <w:trHeight w:val="198"/>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397C53F0"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Murray, K.A., D.J. Murphy, S.J. Clements, A. Brown, and S.B. Connolly, Comparison of uptake and predictors of adherence in primary and secondary prevention of cardiovascular disease in a community-based cardiovascular prevention programme (MyAction Westminster). Journal of Public Health. 2014;36:(4): 644-50. </w:t>
            </w:r>
            <w:r w:rsidRPr="0057272B">
              <w:rPr>
                <w:rFonts w:ascii="Arial" w:hAnsi="Arial" w:cs="Arial"/>
                <w:color w:val="262626" w:themeColor="text1" w:themeTint="D9"/>
                <w:sz w:val="16"/>
                <w:szCs w:val="16"/>
              </w:rPr>
              <w:fldChar w:fldCharType="begin">
                <w:fldData xml:space="preserve">PEVuZE5vdGU+PENpdGU+PEF1dGhvcj5NdXJyYXk8L0F1dGhvcj48WWVhcj4yMDE0PC9ZZWFyPjxS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PEVuZE5vdGU+PENpdGU+PEF1dGhvcj5NdXJyYXk8L0F1dGhvcj48WWVhcj4yMDE0PC9ZZWFyPjxS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(37)</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hideMark/>
          </w:tcPr>
          <w:p w14:paraId="71ACE9DD"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483 patients identified at high risk CVD in an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xml:space="preserve"> and were referred to a CVD prevention programme</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1194AEA9"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2D3D8D">
              <w:rPr>
                <w:rFonts w:ascii="Arial" w:hAnsi="Arial" w:cs="Arial"/>
                <w:color w:val="262626" w:themeColor="text1" w:themeTint="D9"/>
                <w:sz w:val="16"/>
                <w:szCs w:val="16"/>
              </w:rPr>
              <w:t>Attend referral</w:t>
            </w:r>
          </w:p>
        </w:tc>
        <w:tc>
          <w:tcPr>
            <w:tcW w:w="3127" w:type="dxa"/>
            <w:gridSpan w:val="2"/>
            <w:tcBorders>
              <w:top w:val="single" w:sz="4" w:space="0" w:color="8EAADB" w:themeColor="accent1" w:themeTint="99"/>
              <w:left w:val="nil"/>
              <w:bottom w:val="single" w:sz="4" w:space="0" w:color="8EAADB" w:themeColor="accent1" w:themeTint="99"/>
              <w:right w:val="nil"/>
            </w:tcBorders>
            <w:shd w:val="clear" w:color="auto" w:fill="auto"/>
            <w:hideMark/>
          </w:tcPr>
          <w:p w14:paraId="0FFD481D" w14:textId="77777777" w:rsidR="00C63ACE" w:rsidRPr="0057272B"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Uptake rate was defined as attendance at the initial assessment;  hospital anxiety and depression scale (HADS), health-related quality of life (HRQoL) was assessed with the EuroQol Group 5-Dimension Self-Report</w:t>
            </w:r>
            <w:r w:rsidRPr="0057272B">
              <w:rPr>
                <w:rFonts w:ascii="Arial" w:hAnsi="Arial" w:cs="Arial"/>
                <w:color w:val="262626" w:themeColor="text1" w:themeTint="D9"/>
                <w:sz w:val="16"/>
                <w:szCs w:val="16"/>
              </w:rPr>
              <w:br/>
            </w:r>
            <w:r w:rsidRPr="0057272B">
              <w:rPr>
                <w:rFonts w:ascii="Arial" w:hAnsi="Arial" w:cs="Arial"/>
                <w:color w:val="262626" w:themeColor="text1" w:themeTint="D9"/>
                <w:sz w:val="16"/>
                <w:szCs w:val="16"/>
              </w:rPr>
              <w:lastRenderedPageBreak/>
              <w:t>Questionnaire score and the EuroQol Visual</w:t>
            </w:r>
            <w:r w:rsidRPr="0057272B">
              <w:rPr>
                <w:rFonts w:ascii="Arial" w:hAnsi="Arial" w:cs="Arial"/>
                <w:color w:val="262626" w:themeColor="text1" w:themeTint="D9"/>
                <w:sz w:val="16"/>
                <w:szCs w:val="16"/>
              </w:rPr>
              <w:br/>
              <w:t>Analogue Scale of current health status (EQVAS); Brief Illness Perceptions Questionnaire.</w:t>
            </w:r>
          </w:p>
        </w:tc>
      </w:tr>
      <w:tr w:rsidR="00C63ACE" w:rsidRPr="0057272B" w14:paraId="2D77BDA0"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102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3C3D0690"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lastRenderedPageBreak/>
              <w:t xml:space="preserve">Riley, R., N. Coghill, A. Montgomery, G. Feder, and J. Horwood, Experiences of patients and healthcare professionals of NHS cardiovascular health checks: a qualitative study. Journal of Public Health. 2016;38:(3): 543-551.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&lt;EndNote&gt;&lt;Cite&gt;&lt;Author&gt;Riley&lt;/Author&gt;&lt;Year&gt;2016&lt;/Year&gt;&lt;RecNum&gt;56&lt;/RecNum&gt;&lt;DisplayText&gt;(38)&lt;/DisplayText&gt;&lt;record&gt;&lt;rec-number&gt;56&lt;/rec-number&gt;&lt;foreign-keys&gt;&lt;key app="EN" db-id="f9edtwwtof5ftneevt1pr0voafdvfedx92e2" timestamp="1550219649"&gt;56&lt;/key&gt;&lt;/foreign-keys&gt;&lt;ref-type name="Journal Article"&gt;17&lt;/ref-type&gt;&lt;contributors&gt;&lt;authors&gt;&lt;author&gt;Riley, R.&lt;/author&gt;&lt;author&gt;Coghill, N.&lt;/author&gt;&lt;author&gt;Montgomery, A.&lt;/author&gt;&lt;author&gt;Feder, G.&lt;/author&gt;&lt;author&gt;Horwood, J.&lt;/author&gt;&lt;/authors&gt;&lt;/contributors&gt;&lt;auth-address&gt;Riley, R. School of Social and Community Medicine, University of Bristol, Bristol BS8 2PS, UK.&amp;#xD;Coghill, N. School of Social and Community Medicine, University of Bristol, Bristol BS8 2PS, UK.&amp;#xD;Montgomery, A. Faculty of Medicine &amp;amp; Health Sciences, University of Nottingham, Nottingham NG7 2UH, UK.&amp;#xD;Feder, G. School of Social and Community Medicine, University of Bristol, Bristol BS8 2PS, UK.&amp;#xD;Horwood, J. School of Social and Community Medicine, University of Bristol, Bristol BS8 2PS, UK.&lt;/auth-address&gt;&lt;titles&gt;&lt;title&gt;Experiences of patients and healthcare professionals of NHS cardiovascular health checks: a qualitative study&lt;/title&gt;&lt;secondary-title&gt;Journal of Public Health&lt;/secondary-title&gt;&lt;/titles&gt;&lt;periodical&gt;&lt;full-title&gt;Journal of Public Health&lt;/full-title&gt;&lt;/periodical&gt;&lt;pages&gt;543-551&lt;/pages&gt;&lt;volume&gt;38&lt;/volume&gt;&lt;number&gt;3&lt;/number&gt;&lt;dates&gt;&lt;year&gt;2016&lt;/year&gt;&lt;/dates&gt;&lt;accession-num&gt;26408822&lt;/accession-num&gt;&lt;work-type&gt;Research Support, Non-U.S. Gov&amp;apos;t&lt;/work-type&gt;&lt;urls&gt;&lt;related-urls&gt;&lt;url&gt;http://ovidsp.ovid.com/ovidweb.cgi?T=JS&amp;amp;CSC=Y&amp;amp;NEWS=N&amp;amp;PAGE=fulltext&amp;amp;D=medc&amp;amp;AN=26408822&lt;/url&gt;&lt;url&gt;https://www.ncbi.nlm.nih.gov/pmc/articles/PMC5072162/pdf/fdv121.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(38)</w:t>
            </w:r>
            <w:r w:rsidRPr="0057272B">
              <w:rPr>
                <w:rFonts w:ascii="Arial" w:hAnsi="Arial" w:cs="Arial"/>
                <w:color w:val="262626" w:themeColor="text1" w:themeTint="D9"/>
                <w:sz w:val="16"/>
                <w:szCs w:val="16"/>
              </w:rPr>
              <w:fldChar w:fldCharType="end"/>
            </w:r>
          </w:p>
        </w:tc>
        <w:tc>
          <w:tcPr>
            <w:tcW w:w="2551" w:type="dxa"/>
            <w:tcBorders>
              <w:top w:val="single" w:sz="4" w:space="0" w:color="8EAADB" w:themeColor="accent1" w:themeTint="99"/>
              <w:left w:val="nil"/>
              <w:right w:val="nil"/>
            </w:tcBorders>
            <w:shd w:val="clear" w:color="auto" w:fill="auto"/>
            <w:hideMark/>
          </w:tcPr>
          <w:p w14:paraId="0C31A260"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28 patients and 16 HCPs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672F021B" w14:textId="77777777" w:rsidR="00C63ACE" w:rsidRPr="003A4FEA"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3A4FEA">
              <w:rPr>
                <w:rFonts w:ascii="Arial" w:hAnsi="Arial" w:cs="Arial"/>
                <w:color w:val="000000"/>
                <w:sz w:val="16"/>
                <w:szCs w:val="16"/>
              </w:rPr>
              <w:t>Attend</w:t>
            </w:r>
            <w:r w:rsidRPr="003A4FEA">
              <w:rPr>
                <w:rFonts w:ascii="Arial" w:hAnsi="Arial" w:cs="Arial"/>
                <w:color w:val="000000"/>
                <w:sz w:val="16"/>
                <w:szCs w:val="16"/>
              </w:rPr>
              <w:br/>
              <w:t>Deliver</w:t>
            </w:r>
            <w:r w:rsidRPr="003A4FEA">
              <w:rPr>
                <w:rFonts w:ascii="Arial" w:hAnsi="Arial" w:cs="Arial"/>
                <w:color w:val="000000"/>
                <w:sz w:val="16"/>
                <w:szCs w:val="16"/>
              </w:rPr>
              <w:br/>
            </w:r>
            <w:r>
              <w:rPr>
                <w:rFonts w:ascii="Arial" w:hAnsi="Arial" w:cs="Arial"/>
                <w:color w:val="000000"/>
                <w:sz w:val="16"/>
                <w:szCs w:val="16"/>
              </w:rPr>
              <w:t>Patient behaviour change</w:t>
            </w:r>
          </w:p>
        </w:tc>
        <w:tc>
          <w:tcPr>
            <w:tcW w:w="3127" w:type="dxa"/>
            <w:gridSpan w:val="2"/>
            <w:tcBorders>
              <w:top w:val="single" w:sz="4" w:space="0" w:color="8EAADB" w:themeColor="accent1" w:themeTint="99"/>
              <w:left w:val="nil"/>
              <w:right w:val="nil"/>
            </w:tcBorders>
            <w:shd w:val="clear" w:color="auto" w:fill="auto"/>
            <w:hideMark/>
          </w:tcPr>
          <w:p w14:paraId="1170BFB8"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 </w:t>
            </w:r>
            <w:r>
              <w:rPr>
                <w:rFonts w:ascii="Arial" w:hAnsi="Arial" w:cs="Arial"/>
                <w:color w:val="262626" w:themeColor="text1" w:themeTint="D9"/>
                <w:sz w:val="16"/>
                <w:szCs w:val="16"/>
              </w:rPr>
              <w:t>Interviews</w:t>
            </w:r>
          </w:p>
        </w:tc>
      </w:tr>
      <w:tr w:rsidR="00C63ACE" w:rsidRPr="0057272B" w14:paraId="6178C190"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65B27D69"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Riley, V.A., C. Gidlow, and N.J. Ellis, Uptake of NHS health check: issues in monitoring. Primary Health Care Research &amp; Development. 2018;1-4.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&lt;EndNote&gt;&lt;Cite&gt;&lt;Author&gt;Riley&lt;/Author&gt;&lt;Year&gt;2018&lt;/Year&gt;&lt;RecNum&gt;57&lt;/RecNum&gt;&lt;DisplayText&gt;(39)&lt;/DisplayText&gt;&lt;record&gt;&lt;rec-number&gt;57&lt;/rec-number&gt;&lt;foreign-keys&gt;&lt;key app="EN" db-id="f9edtwwtof5ftneevt1pr0voafdvfedx92e2" timestamp="1550219649"&gt;57&lt;/key&gt;&lt;/foreign-keys&gt;&lt;ref-type name="Journal Article"&gt;17&lt;/ref-type&gt;&lt;contributors&gt;&lt;authors&gt;&lt;author&gt;Riley, V. A.&lt;/author&gt;&lt;author&gt;Gidlow, C.&lt;/author&gt;&lt;author&gt;Ellis, N. J.&lt;/author&gt;&lt;/authors&gt;&lt;/contributors&gt;&lt;auth-address&gt;Riley, Victoria A. 1Research Associate and Part-Time PhD Student,School of Life Sciences and Education,Staffordshire University,Stoke-on-Trent,Staffordshire,UK.&amp;#xD;Gidlow, Christopher. 2Associate Professor,School of Life Sciences and Education,Staffordshire University,Stoke-on-Trent,Staffordshire,UK.&amp;#xD;Ellis, Naomi J. 3Senior Lecturer,School of Life Sciences and Education, Staffordshire University,Stoke-on-Trent,Staffordshire,UK.&lt;/auth-address&gt;&lt;titles&gt;&lt;title&gt;Uptake of NHS health check: issues in monitoring&lt;/title&gt;&lt;secondary-title&gt;Primary Health Care Research &amp;amp; Development&lt;/secondary-title&gt;&lt;/titles&gt;&lt;periodical&gt;&lt;full-title&gt;Primary Health Care Research &amp;amp; Development&lt;/full-title&gt;&lt;/periodical&gt;&lt;pages&gt;1-4&lt;/pages&gt;&lt;dates&gt;&lt;year&gt;2018&lt;/year&gt;&lt;/dates&gt;&lt;accession-num&gt;30124177&lt;/accession-num&gt;&lt;urls&gt;&lt;related-urls&gt;&lt;url&gt;http://ovidsp.ovid.com/ovidweb.cgi?T=JS&amp;amp;CSC=Y&amp;amp;NEWS=N&amp;amp;PAGE=fulltext&amp;amp;D=medp&amp;amp;AN=30124177&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(39)</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0B8220A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15 commissioners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1A2A8127" w14:textId="77777777" w:rsidR="00C63ACE" w:rsidRPr="003A4FEA"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3A4FEA">
              <w:rPr>
                <w:rFonts w:ascii="Arial" w:hAnsi="Arial" w:cs="Arial"/>
                <w:color w:val="000000"/>
                <w:sz w:val="16"/>
                <w:szCs w:val="16"/>
              </w:rPr>
              <w:t>Record</w:t>
            </w:r>
          </w:p>
        </w:tc>
        <w:tc>
          <w:tcPr>
            <w:tcW w:w="3127" w:type="dxa"/>
            <w:gridSpan w:val="2"/>
            <w:tcBorders>
              <w:left w:val="nil"/>
              <w:right w:val="nil"/>
            </w:tcBorders>
            <w:shd w:val="clear" w:color="auto" w:fill="auto"/>
            <w:hideMark/>
          </w:tcPr>
          <w:p w14:paraId="6BA985A3"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Interviews</w:t>
            </w:r>
          </w:p>
        </w:tc>
      </w:tr>
      <w:tr w:rsidR="00C63ACE" w:rsidRPr="0057272B" w14:paraId="451CA381"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102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70A69B2F"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Robson, J., I. Dostal, V. Madurasinghe, A. Sheikh, S. Hull, K. Boomla, et al., NHS Health Check comorbidity and management: an observational matched study in primary care.[Erratum appears in Br J Gen Pract. 2017 Mar;67(656):112; PMID: 28232346]. British Journal of General Practice. 2017;67:(655): e86-e93. </w:t>
            </w:r>
            <w:r w:rsidRPr="0057272B">
              <w:rPr>
                <w:rFonts w:ascii="Arial" w:hAnsi="Arial" w:cs="Arial"/>
                <w:color w:val="262626" w:themeColor="text1" w:themeTint="D9"/>
                <w:sz w:val="16"/>
                <w:szCs w:val="16"/>
              </w:rPr>
              <w:fldChar w:fldCharType="begin">
                <w:fldData xml:space="preserve">PEVuZE5vdGU+PENpdGU+PEF1dGhvcj5Sb2Jzb248L0F1dGhvcj48WWVhcj4yMDE3PC9ZZWFyPjxS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PEVuZE5vdGU+PENpdGU+PEF1dGhvcj5Sb2Jzb248L0F1dGhvcj48WWVhcj4yMDE3PC9ZZWFyPjxS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(40)</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429C4D2A"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252 259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s in 3 CCGs in East London</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01491E1A" w14:textId="77777777" w:rsidR="00C63ACE" w:rsidRPr="003A4FEA"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000000"/>
                <w:sz w:val="16"/>
                <w:szCs w:val="16"/>
              </w:rPr>
              <w:t>Only n</w:t>
            </w:r>
            <w:r w:rsidRPr="003A4FEA">
              <w:rPr>
                <w:rFonts w:ascii="Arial" w:hAnsi="Arial" w:cs="Arial"/>
                <w:color w:val="000000"/>
                <w:sz w:val="16"/>
                <w:szCs w:val="16"/>
              </w:rPr>
              <w:t xml:space="preserve">on-modifiable influences on behaviour </w:t>
            </w:r>
            <w:r>
              <w:rPr>
                <w:rFonts w:ascii="Arial" w:hAnsi="Arial" w:cs="Arial"/>
                <w:color w:val="000000"/>
                <w:sz w:val="16"/>
                <w:szCs w:val="16"/>
              </w:rPr>
              <w:t>reported</w:t>
            </w:r>
          </w:p>
        </w:tc>
        <w:tc>
          <w:tcPr>
            <w:tcW w:w="3127" w:type="dxa"/>
            <w:gridSpan w:val="2"/>
            <w:tcBorders>
              <w:left w:val="nil"/>
              <w:right w:val="nil"/>
            </w:tcBorders>
            <w:shd w:val="clear" w:color="auto" w:fill="auto"/>
            <w:hideMark/>
          </w:tcPr>
          <w:p w14:paraId="6D1476C0"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Routinely collected data</w:t>
            </w:r>
          </w:p>
        </w:tc>
      </w:tr>
      <w:tr w:rsidR="00C63ACE" w:rsidRPr="0057272B" w14:paraId="72A8966E"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76B965B3"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Burgess, C., A.J. Wright, A.S. Forster, H. Dodhia, J. Miller, F. Fuller, et al., Influences on individuals’ decisions to take up the offer of a health check: a qualitative study. Health Expectations. 2015;18:(6): 2437-2448.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(41)</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417F7C10"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27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52C74B5A" w14:textId="77777777" w:rsidR="00C63ACE" w:rsidRPr="003A4FEA"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3A4FEA">
              <w:rPr>
                <w:rFonts w:ascii="Arial" w:hAnsi="Arial" w:cs="Arial"/>
                <w:color w:val="000000"/>
                <w:sz w:val="16"/>
                <w:szCs w:val="16"/>
              </w:rPr>
              <w:t>Attend</w:t>
            </w:r>
          </w:p>
        </w:tc>
        <w:tc>
          <w:tcPr>
            <w:tcW w:w="3127" w:type="dxa"/>
            <w:gridSpan w:val="2"/>
            <w:tcBorders>
              <w:left w:val="nil"/>
              <w:right w:val="nil"/>
            </w:tcBorders>
            <w:shd w:val="clear" w:color="auto" w:fill="auto"/>
            <w:hideMark/>
          </w:tcPr>
          <w:p w14:paraId="42A297DB"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w:t>
            </w:r>
          </w:p>
        </w:tc>
      </w:tr>
      <w:tr w:rsidR="00C63ACE" w:rsidRPr="0057272B" w14:paraId="0AE3376B"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89FED0D"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Chipchase, L., J. Waterall, and P. Hill, Understanding how the NHS Health Check works in practice. Practice Nursing. 2013;24:(1): 24-29.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&lt;EndNote&gt;&lt;Cite&gt;&lt;Author&gt;Chipchase&lt;/Author&gt;&lt;Year&gt;2013&lt;/Year&gt;&lt;RecNum&gt;14&lt;/RecNum&gt;&lt;DisplayText&gt;(42)&lt;/DisplayText&gt;&lt;record&gt;&lt;rec-number&gt;14&lt;/rec-number&gt;&lt;foreign-keys&gt;&lt;key app="EN" db-id="f9edtwwtof5ftneevt1pr0voafdvfedx92e2" timestamp="1550219648"&gt;14&lt;/key&gt;&lt;/foreign-keys&gt;&lt;ref-type name="Journal Article"&gt;17&lt;/ref-type&gt;&lt;contributors&gt;&lt;authors&gt;&lt;author&gt;Laura Chipchase&lt;/author&gt;&lt;author&gt;Jamie Waterall&lt;/author&gt;&lt;author&gt;Patrick Hill&lt;/author&gt;&lt;/authors&gt;&lt;/contributors&gt;&lt;titles&gt;&lt;title&gt;Understanding how the NHS Health Check works in practice&lt;/title&gt;&lt;secondary-title&gt;Practice Nursing&lt;/secondary-title&gt;&lt;/titles&gt;&lt;periodical&gt;&lt;full-title&gt;Practice Nursing&lt;/full-title&gt;&lt;/periodical&gt;&lt;pages&gt;24-29&lt;/pages&gt;&lt;volume&gt;24&lt;/volume&gt;&lt;number&gt;1&lt;/number&gt;&lt;keywords&gt;&lt;keyword&gt;NHS health checks,cardiovascular disease,communicating risk,lifestyle prevention,primary care,behaviour change&lt;/keyword&gt;&lt;/keywords&gt;&lt;dates&gt;&lt;year&gt;2013&lt;/year&gt;&lt;/dates&gt;&lt;urls&gt;&lt;related-urls&gt;&lt;url&gt;https://www.magonlinelibrary.com/doi/abs/10.12968/pnur.2013.24.1.24&lt;/url&gt;&lt;/related-urls&gt;&lt;/urls&gt;&lt;electronic-resource-num&gt;10.12968/pnur.2013.24.1.24&lt;/electronic-resource-num&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(42)</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3A55E590"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10 patients who had undergone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0C5496FD" w14:textId="77777777" w:rsidR="00C63ACE" w:rsidRPr="003A4FEA"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3A4FEA">
              <w:rPr>
                <w:rFonts w:ascii="Arial" w:hAnsi="Arial" w:cs="Arial"/>
                <w:color w:val="000000"/>
                <w:sz w:val="16"/>
                <w:szCs w:val="16"/>
              </w:rPr>
              <w:t>Attend</w:t>
            </w:r>
            <w:r w:rsidRPr="003A4FEA">
              <w:rPr>
                <w:rFonts w:ascii="Arial" w:hAnsi="Arial" w:cs="Arial"/>
                <w:color w:val="000000"/>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24311AF0"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w:t>
            </w:r>
          </w:p>
        </w:tc>
      </w:tr>
      <w:tr w:rsidR="00C63ACE" w:rsidRPr="0057272B" w14:paraId="56D1A3FC" w14:textId="77777777" w:rsidTr="0052052E">
        <w:trPr>
          <w:gridAfter w:val="2"/>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9D1A943"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Shaw, R.L., H. Lowe, C. Holland, H. Pattison, and R. Cooke, GPs' perspectives on managing the NHS Health Check in primary care: a qualitative evaluation of implementation in one area of England. BMJ Open. 2016;6:(7): e010951.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&lt;EndNote&gt;&lt;Cite&gt;&lt;Author&gt;Shaw&lt;/Author&gt;&lt;Year&gt;2016&lt;/Year&gt;&lt;RecNum&gt;63&lt;/RecNum&gt;&lt;DisplayText&gt;(43)&lt;/DisplayText&gt;&lt;record&gt;&lt;rec-number&gt;63&lt;/rec-number&gt;&lt;foreign-keys&gt;&lt;key app="EN" db-id="f9edtwwtof5ftneevt1pr0voafdvfedx92e2" timestamp="1550219649"&gt;63&lt;/key&gt;&lt;/foreign-keys&gt;&lt;ref-type name="Journal Article"&gt;17&lt;/ref-type&gt;&lt;contributors&gt;&lt;authors&gt;&lt;author&gt;Shaw, R. L.&lt;/author&gt;&lt;author&gt;Lowe, H.&lt;/author&gt;&lt;author&gt;Holland, C.&lt;/author&gt;&lt;author&gt;Pattison, H.&lt;/author&gt;&lt;author&gt;Cooke, R.&lt;/author&gt;&lt;/authors&gt;&lt;/contributors&gt;&lt;auth-address&gt;Shaw, Rachel L. School of Life &amp;amp; Health Sciences, Aston University, Birmingham, UK.&amp;#xD;Lowe, Helen. School of Life &amp;amp; Health Sciences, Aston University, Birmingham, UK.&amp;#xD;Holland, Carol. School of Life &amp;amp; Health Sciences, Aston University, Birmingham, UK.&amp;#xD;Pattison, Helen. School of Life &amp;amp; Health Sciences, Aston University, Birmingham, UK.&amp;#xD;Cooke, Richard. School of Life &amp;amp; Health Sciences, Aston University, Birmingham, UK.&lt;/auth-address&gt;&lt;titles&gt;&lt;title&gt;GPs&amp;apos; perspectives on managing the NHS Health Check in primary care: a qualitative evaluation of implementation in one area of England&lt;/title&gt;&lt;secondary-title&gt;BMJ Open&lt;/secondary-title&gt;&lt;/titles&gt;&lt;periodical&gt;&lt;full-title&gt;BMJ Open&lt;/full-title&gt;&lt;/periodical&gt;&lt;pages&gt;e010951&lt;/pages&gt;&lt;volume&gt;6&lt;/volume&gt;&lt;number&gt;7&lt;/number&gt;&lt;dates&gt;&lt;year&gt;2016&lt;/year&gt;&lt;/dates&gt;&lt;accession-num&gt;27388356&lt;/accession-num&gt;&lt;work-type&gt;Research Support, Non-U.S. Gov&amp;apos;t&lt;/work-type&gt;&lt;urls&gt;&lt;related-urls&gt;&lt;url&gt;http://ovidsp.ovid.com/ovidweb.cgi?T=JS&amp;amp;CSC=Y&amp;amp;NEWS=N&amp;amp;PAGE=fulltext&amp;amp;D=medl&amp;amp;AN=27388356&lt;/url&gt;&lt;url&gt;https://www.ncbi.nlm.nih.gov/pmc/articles/PMC4947777/pdf/bmjopen-2015-010951.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(43)</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0B573B52"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9 GPs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2C8B734F" w14:textId="77777777" w:rsidR="00C63ACE" w:rsidRPr="003A4FEA"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3A4FEA">
              <w:rPr>
                <w:rFonts w:ascii="Arial" w:hAnsi="Arial" w:cs="Arial"/>
                <w:color w:val="000000"/>
                <w:sz w:val="16"/>
                <w:szCs w:val="16"/>
              </w:rPr>
              <w:t>Deliver</w:t>
            </w:r>
            <w:r w:rsidRPr="003A4FEA">
              <w:rPr>
                <w:rFonts w:ascii="Arial" w:hAnsi="Arial" w:cs="Arial"/>
                <w:color w:val="000000"/>
                <w:sz w:val="16"/>
                <w:szCs w:val="16"/>
              </w:rPr>
              <w:br/>
              <w:t>Refer</w:t>
            </w:r>
          </w:p>
        </w:tc>
        <w:tc>
          <w:tcPr>
            <w:tcW w:w="3127" w:type="dxa"/>
            <w:gridSpan w:val="2"/>
            <w:tcBorders>
              <w:left w:val="nil"/>
              <w:right w:val="nil"/>
            </w:tcBorders>
            <w:shd w:val="clear" w:color="auto" w:fill="auto"/>
            <w:hideMark/>
          </w:tcPr>
          <w:p w14:paraId="7CD37237"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w:t>
            </w:r>
          </w:p>
        </w:tc>
      </w:tr>
      <w:tr w:rsidR="00C63ACE" w:rsidRPr="0057272B" w14:paraId="242B6120"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38CEC10"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lastRenderedPageBreak/>
              <w:t xml:space="preserve">Shaw, R.L., H.M. Pattison, C. Holland, and R. Cooke, Be SMART: examining the experience of implementing the NHS Health Check in UK primary care. BMC Family Practice. 2015;16:(1).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&lt;EndNote&gt;&lt;Cite&gt;&lt;Author&gt;Shaw&lt;/Author&gt;&lt;Year&gt;2015&lt;/Year&gt;&lt;RecNum&gt;64&lt;/RecNum&gt;&lt;DisplayText&gt;(44)&lt;/DisplayText&gt;&lt;record&gt;&lt;rec-number&gt;64&lt;/rec-number&gt;&lt;foreign-keys&gt;&lt;key app="EN" db-id="f9edtwwtof5ftneevt1pr0voafdvfedx92e2" timestamp="1550219649"&gt;64&lt;/key&gt;&lt;/foreign-keys&gt;&lt;ref-type name="Journal Article"&gt;17&lt;/ref-type&gt;&lt;contributors&gt;&lt;authors&gt;&lt;author&gt;Shaw, R. L.&lt;/author&gt;&lt;author&gt;Pattison, H. M.&lt;/author&gt;&lt;author&gt;Holland, C.&lt;/author&gt;&lt;author&gt;Cooke, R.&lt;/author&gt;&lt;/authors&gt;&lt;/contributors&gt;&lt;auth-address&gt;Shaw, Rachel L. School of Life &amp;amp; Health Sciences, Aston University, Birmingham, B4 7ET, UK. r.l.shaw@aston.ac.uk.&amp;#xD;Pattison, Helen M. School of Life &amp;amp; Health Sciences, Aston University, Birmingham, B4 7ET, UK. h.m.pattison@aston.ac.uk.&amp;#xD;Holland, Carol. School of Life &amp;amp; Health Sciences, Aston University, Birmingham, B4 7ET, UK. c.holland1@aston.ac.uk.&amp;#xD;Cooke, Richard. School of Life &amp;amp; Health Sciences, Aston University, Birmingham, B4 7ET, UK. r.cooke@aston.ac.uk.&lt;/auth-address&gt;&lt;titles&gt;&lt;title&gt;Be SMART: examining the experience of implementing the NHS Health Check in UK primary care&lt;/title&gt;&lt;secondary-title&gt;BMC Family Practice&lt;/secondary-title&gt;&lt;/titles&gt;&lt;periodical&gt;&lt;full-title&gt;BMC Family Practice&lt;/full-title&gt;&lt;/periodical&gt;&lt;pages&gt;1&lt;/pages&gt;&lt;volume&gt;16&lt;/volume&gt;&lt;dates&gt;&lt;year&gt;2015&lt;/year&gt;&lt;/dates&gt;&lt;accession-num&gt;25608667&lt;/accession-num&gt;&lt;urls&gt;&lt;related-urls&gt;&lt;url&gt;http://ovidsp.ovid.com/ovidweb.cgi?T=JS&amp;amp;CSC=Y&amp;amp;NEWS=N&amp;amp;PAGE=fulltext&amp;amp;D=med8&amp;amp;AN=25608667&lt;/url&gt;&lt;url&gt;https://www.ncbi.nlm.nih.gov/pmc/articles/PMC4308836/pdf/12875_2014_Article_212.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(44)</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104902C6"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23 Patients and 31 HCPs</w:t>
            </w:r>
          </w:p>
        </w:tc>
        <w:tc>
          <w:tcPr>
            <w:tcW w:w="2551" w:type="dxa"/>
            <w:tcBorders>
              <w:top w:val="single" w:sz="4" w:space="0" w:color="8EAADB" w:themeColor="accent1" w:themeTint="99"/>
              <w:left w:val="nil"/>
              <w:bottom w:val="single" w:sz="4" w:space="0" w:color="8EAADB" w:themeColor="accent1" w:themeTint="99"/>
              <w:right w:val="nil"/>
            </w:tcBorders>
            <w:shd w:val="clear" w:color="auto" w:fill="auto"/>
          </w:tcPr>
          <w:p w14:paraId="5BFC1B0D" w14:textId="77777777" w:rsidR="00C63ACE" w:rsidRPr="0057272B"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262626" w:themeColor="text1" w:themeTint="D9"/>
                <w:sz w:val="16"/>
                <w:szCs w:val="16"/>
              </w:rPr>
              <w:t>Deliver</w:t>
            </w:r>
            <w:r w:rsidRPr="007A7535">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71A6B99B"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w:t>
            </w:r>
          </w:p>
        </w:tc>
      </w:tr>
      <w:tr w:rsidR="00C63ACE" w:rsidRPr="0057272B" w14:paraId="076F0E9E"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2F39DF2B"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Attwood, S., K. Morton, and S. Sutton, Exploring equity in uptake of the NHS Health Check and a nested physical activity intervention trial. Journal of Public Health. 2016;38:(3): 560-568.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&lt;EndNote&gt;&lt;Cite&gt;&lt;Author&gt;Attwood&lt;/Author&gt;&lt;Year&gt;2016&lt;/Year&gt;&lt;RecNum&gt;5&lt;/RecNum&gt;&lt;DisplayText&gt;(45)&lt;/DisplayText&gt;&lt;record&gt;&lt;rec-number&gt;5&lt;/rec-number&gt;&lt;foreign-keys&gt;&lt;key app="EN" db-id="f9edtwwtof5ftneevt1pr0voafdvfedx92e2" timestamp="1550219648"&gt;5&lt;/key&gt;&lt;/foreign-keys&gt;&lt;ref-type name="Journal Article"&gt;17&lt;/ref-type&gt;&lt;contributors&gt;&lt;authors&gt;&lt;author&gt;Attwood, S.&lt;/author&gt;&lt;author&gt;Morton, K.&lt;/author&gt;&lt;author&gt;Sutton, S.&lt;/author&gt;&lt;/authors&gt;&lt;/contributors&gt;&lt;titles&gt;&lt;title&gt;Exploring equity in uptake of the NHS Health Check and a nested physical activity intervention trial&lt;/title&gt;&lt;secondary-title&gt;Journal of Public Health&lt;/secondary-title&gt;&lt;/titles&gt;&lt;periodical&gt;&lt;full-title&gt;Journal of Public Health&lt;/full-title&gt;&lt;/periodical&gt;&lt;pages&gt;560-568&lt;/pages&gt;&lt;volume&gt;38&lt;/volume&gt;&lt;number&gt;3&lt;/number&gt;&lt;dates&gt;&lt;year&gt;2016&lt;/year&gt;&lt;/dates&gt;&lt;isbn&gt;1741-3842&lt;/isbn&gt;&lt;urls&gt;&lt;related-urls&gt;&lt;url&gt;http://dx.doi.org/10.1093/pubmed/fdv070&lt;/url&gt;&lt;/related-urls&gt;&lt;/urls&gt;&lt;electronic-resource-num&gt;10.1093/pubmed/fdv070&lt;/electronic-resource-num&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(45)</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5A334697"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1165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7C28041D" w14:textId="77777777" w:rsidR="00C63ACE" w:rsidRPr="0057272B"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262626" w:themeColor="text1" w:themeTint="D9"/>
                <w:sz w:val="16"/>
                <w:szCs w:val="16"/>
              </w:rPr>
              <w:t>Behaviour only</w:t>
            </w:r>
          </w:p>
        </w:tc>
        <w:tc>
          <w:tcPr>
            <w:tcW w:w="3127" w:type="dxa"/>
            <w:gridSpan w:val="2"/>
            <w:tcBorders>
              <w:left w:val="nil"/>
              <w:right w:val="nil"/>
            </w:tcBorders>
            <w:shd w:val="clear" w:color="auto" w:fill="auto"/>
            <w:hideMark/>
          </w:tcPr>
          <w:p w14:paraId="2632D70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Routinely collected data</w:t>
            </w:r>
          </w:p>
        </w:tc>
      </w:tr>
      <w:tr w:rsidR="00C63ACE" w:rsidRPr="0057272B" w14:paraId="056E6BF1"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1163"/>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A90814A"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Artac, M., A.R.H. Dalton, H. Babu, S. Bates, C. Millett, and A. Majeed, Primary care and population factors associated with NHS Health Check coverage: a national cross-sectional study. Journal of Public Health. 2013;35:(3): 431-439.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&lt;EndNote&gt;&lt;Cite&gt;&lt;Author&gt;Artac&lt;/Author&gt;&lt;Year&gt;2013&lt;/Year&gt;&lt;RecNum&gt;3&lt;/RecNum&gt;&lt;DisplayText&gt;(46)&lt;/DisplayText&gt;&lt;record&gt;&lt;rec-number&gt;3&lt;/rec-number&gt;&lt;foreign-keys&gt;&lt;key app="EN" db-id="f9edtwwtof5ftneevt1pr0voafdvfedx92e2" timestamp="1550219648"&gt;3&lt;/key&gt;&lt;/foreign-keys&gt;&lt;ref-type name="Journal Article"&gt;17&lt;/ref-type&gt;&lt;contributors&gt;&lt;authors&gt;&lt;author&gt;Artac, M.&lt;/author&gt;&lt;author&gt;Dalton, A. R. H.&lt;/author&gt;&lt;author&gt;Babu, H.&lt;/author&gt;&lt;author&gt;Bates, S.&lt;/author&gt;&lt;author&gt;Millett, C.&lt;/author&gt;&lt;author&gt;Majeed, A.&lt;/author&gt;&lt;/authors&gt;&lt;/contributors&gt;&lt;titles&gt;&lt;title&gt;Primary care and population factors associated with NHS Health Check coverage: a national cross-sectional study&lt;/title&gt;&lt;secondary-title&gt;Journal of Public Health&lt;/secondary-title&gt;&lt;/titles&gt;&lt;periodical&gt;&lt;full-title&gt;Journal of Public Health&lt;/full-title&gt;&lt;/periodical&gt;&lt;pages&gt;431-439&lt;/pages&gt;&lt;volume&gt;35&lt;/volume&gt;&lt;number&gt;3&lt;/number&gt;&lt;dates&gt;&lt;year&gt;2013&lt;/year&gt;&lt;/dates&gt;&lt;isbn&gt;1741-3842&lt;/isbn&gt;&lt;urls&gt;&lt;related-urls&gt;&lt;url&gt;http://dx.doi.org/10.1093/pubmed/fdt069&lt;/url&gt;&lt;url&gt;https://watermark.silverchair.com/fdt069.pdf?token=AQECAHi208BE49Ooan9kkhW_Ercy7Dm3ZL_9Cf3qfKAc485ysgAAAkwwggJIBgkqhkiG9w0BBwagggI5MIICNQIBADCCAi4GCSqGSIb3DQEHATAeBglghkgBZQMEAS4wEQQMC0ch4HN8ZhptZ-N8AgEQgIIB_8_FXQg2vRvNVCG4Xd4Iy1cLCFJHNDaT64Aj5UwkU5yi6NukcJc-5VqNgiH7S6H1YIfJwoTPE2J9UdAQZj5mCCZN1KJr-0KX4YGmGnQ3p8NbAnCDuLDmJ5RA3GT-1pfIEX040dWdnpQPAuBKgOwgg8xKrzfipEO_1nrvZKeJLUywWqZFJLdpeoZvJd0-xjwUWJSEjnYt1CUYRxVQPNxM4fkCX7_Y9M3aZidESpSRo4qpxgrA9NGSx2RAiuatMz7RsTfya11V5paW9xxleDpYlZmgXcUBIOAjvlarrISDBNpPylTWe-On4tlWpEg9F9c1JHSTWqYIwGKeE9ItPRje1bj_7izrKw6zaH0dziv-WQc4dfNDWf6V3UTzU40tcOT-oz8I08tSxNwLwa0jqjJM8a9Z0e4X_igFQON0KfxAxKRY4Gnau1wa7e-xG4V69nQaoM-XbLbMKIMNH6pRqMKixvbBB9m9J8f4ZCij-rnyYwBsufUellbQXHRlaYmQy8BuA48sUUmJ5GbwSqj_tVCqVy3A8KL1ZdV37kKbUJG6UB8qhT_E1xVHVjlLhPnSpGPIVNp_QB3sqTt7Go7dJOI_3YBnmVpHxD4SBMGzYAbeHdWJLliDZMnhZr1qhg-zCl5oXh9w5d0Qk4GywPMytv05bhztcExsAAB_cN64J9vbtOI&lt;/url&gt;&lt;/related-urls&gt;&lt;/urls&gt;&lt;electronic-resource-num&gt;10.1093/pubmed/fdt069&lt;/electronic-resource-num&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(46)</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24BCCF13"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40,112 patients invited for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7A60C18C" w14:textId="77777777" w:rsidR="00C63ACE" w:rsidRPr="0057272B"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262626" w:themeColor="text1" w:themeTint="D9"/>
                <w:sz w:val="16"/>
                <w:szCs w:val="16"/>
              </w:rPr>
              <w:t>Behaviour only</w:t>
            </w:r>
          </w:p>
        </w:tc>
        <w:tc>
          <w:tcPr>
            <w:tcW w:w="3127" w:type="dxa"/>
            <w:gridSpan w:val="2"/>
            <w:tcBorders>
              <w:left w:val="nil"/>
              <w:right w:val="nil"/>
            </w:tcBorders>
            <w:shd w:val="clear" w:color="auto" w:fill="auto"/>
            <w:hideMark/>
          </w:tcPr>
          <w:p w14:paraId="6CEE1A28" w14:textId="77777777" w:rsidR="00C63ACE" w:rsidRPr="0057272B"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Electronic medical records of general practices</w:t>
            </w:r>
            <w:r>
              <w:rPr>
                <w:rFonts w:ascii="Arial" w:hAnsi="Arial" w:cs="Arial"/>
                <w:color w:val="262626" w:themeColor="text1" w:themeTint="D9"/>
                <w:sz w:val="16"/>
                <w:szCs w:val="16"/>
              </w:rPr>
              <w:t xml:space="preserve"> </w:t>
            </w:r>
            <w:r w:rsidRPr="0057272B">
              <w:rPr>
                <w:rFonts w:ascii="Arial" w:hAnsi="Arial" w:cs="Arial"/>
                <w:color w:val="262626" w:themeColor="text1" w:themeTint="D9"/>
                <w:sz w:val="16"/>
                <w:szCs w:val="16"/>
              </w:rPr>
              <w:t>in Hammersmith and Fulham, London</w:t>
            </w:r>
          </w:p>
        </w:tc>
      </w:tr>
      <w:tr w:rsidR="00C63ACE" w:rsidRPr="007A7535" w14:paraId="5972435A" w14:textId="77777777" w:rsidTr="0052052E">
        <w:trPr>
          <w:gridAfter w:val="3"/>
          <w:wAfter w:w="289" w:type="dxa"/>
          <w:trHeight w:val="463"/>
        </w:trPr>
        <w:tc>
          <w:tcPr>
            <w:cnfStyle w:val="001000000000" w:firstRow="0" w:lastRow="0" w:firstColumn="1" w:lastColumn="0" w:oddVBand="0" w:evenVBand="0" w:oddHBand="0" w:evenHBand="0" w:firstRowFirstColumn="0" w:firstRowLastColumn="0" w:lastRowFirstColumn="0" w:lastRowLastColumn="0"/>
            <w:tcW w:w="13325" w:type="dxa"/>
            <w:gridSpan w:val="4"/>
            <w:tcBorders>
              <w:left w:val="nil"/>
              <w:right w:val="nil"/>
            </w:tcBorders>
            <w:shd w:val="clear" w:color="auto" w:fill="D9E2F3" w:themeFill="accent1" w:themeFillTint="33"/>
          </w:tcPr>
          <w:p w14:paraId="782FB651" w14:textId="77777777" w:rsidR="00C63ACE" w:rsidRPr="007A7535" w:rsidRDefault="00C63ACE" w:rsidP="0052052E">
            <w:pPr>
              <w:snapToGrid w:val="0"/>
              <w:spacing w:before="120" w:after="120" w:line="276" w:lineRule="auto"/>
              <w:rPr>
                <w:rFonts w:ascii="Arial" w:hAnsi="Arial" w:cs="Arial"/>
                <w:color w:val="262626" w:themeColor="text1" w:themeTint="D9"/>
                <w:sz w:val="16"/>
                <w:szCs w:val="16"/>
              </w:rPr>
            </w:pPr>
            <w:r w:rsidRPr="0057272B">
              <w:rPr>
                <w:rFonts w:ascii="Arial" w:hAnsi="Arial" w:cs="Arial"/>
                <w:color w:val="262626" w:themeColor="text1" w:themeTint="D9"/>
                <w:sz w:val="16"/>
                <w:szCs w:val="16"/>
              </w:rPr>
              <w:t>Primary and community care </w:t>
            </w:r>
          </w:p>
        </w:tc>
      </w:tr>
      <w:tr w:rsidR="00C63ACE" w:rsidRPr="0057272B" w14:paraId="2FE3743A"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102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0F8EAC57"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Usher-Smith, J.A., E. Harte, C. MacLure, A. Martin, C.L. Saunders, C. Meads, et al., Patient experience of NHS health checks: a systematic review and qualitative synthesis. BMJ Open. 2017;7:(8): e017169. </w:t>
            </w:r>
            <w:r w:rsidRPr="0057272B">
              <w:rPr>
                <w:rFonts w:ascii="Arial" w:hAnsi="Arial" w:cs="Arial"/>
                <w:color w:val="262626" w:themeColor="text1" w:themeTint="D9"/>
                <w:sz w:val="16"/>
                <w:szCs w:val="16"/>
              </w:rPr>
              <w:fldChar w:fldCharType="begin">
                <w:fldData xml:space="preserve">PEVuZE5vdGU+PENpdGU+PEF1dGhvcj5Vc2hlci1TbWl0aDwvQXV0aG9yPjxZZWFyPjIwMTc8L1ll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PEVuZE5vdGU+PENpdGU+PEF1dGhvcj5Vc2hlci1TbWl0aDwvQXV0aG9yPjxZZWFyPjIwMTc8L1ll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(47)</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6F763482"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20 studies reporting Patient experience of NHS health</w:t>
            </w:r>
            <w:r w:rsidRPr="0057272B">
              <w:rPr>
                <w:rFonts w:ascii="Arial" w:hAnsi="Arial" w:cs="Arial"/>
                <w:color w:val="262626" w:themeColor="text1" w:themeTint="D9"/>
                <w:sz w:val="16"/>
                <w:szCs w:val="16"/>
              </w:rPr>
              <w:br/>
              <w:t xml:space="preserve">checks </w:t>
            </w:r>
          </w:p>
          <w:p w14:paraId="24C95431"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(3,497 participants, number of participants not reported for 1 study)"</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5AAFA41B" w14:textId="77777777" w:rsidR="00C63ACE" w:rsidRPr="0057272B"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262626" w:themeColor="text1" w:themeTint="D9"/>
                <w:sz w:val="16"/>
                <w:szCs w:val="16"/>
              </w:rPr>
              <w:t>Attend</w:t>
            </w:r>
            <w:r w:rsidRPr="007A7535">
              <w:rPr>
                <w:rFonts w:ascii="Arial" w:hAnsi="Arial" w:cs="Arial"/>
                <w:color w:val="262626" w:themeColor="text1" w:themeTint="D9"/>
                <w:sz w:val="16"/>
                <w:szCs w:val="16"/>
              </w:rPr>
              <w:br/>
              <w:t>Deliver</w:t>
            </w:r>
            <w:r w:rsidRPr="007A7535">
              <w:rPr>
                <w:rFonts w:ascii="Arial" w:hAnsi="Arial" w:cs="Arial"/>
                <w:color w:val="262626" w:themeColor="text1" w:themeTint="D9"/>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1F378484"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Secondary data synthesis</w:t>
            </w:r>
          </w:p>
        </w:tc>
      </w:tr>
      <w:tr w:rsidR="00C63ACE" w:rsidRPr="0057272B" w14:paraId="7D139FD9" w14:textId="77777777" w:rsidTr="0052052E">
        <w:trPr>
          <w:gridAfter w:val="2"/>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3EE985B"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Mills, K., E. Harte, A. Martin, C. MacLure, S.J. Griffin, J. Mant, et al., Views of commissioners, managers and healthcare professionals on the NHS Health Check programme: a systematic review. BMJ Open. 2017;7:(11): e018606. </w:t>
            </w:r>
            <w:r w:rsidRPr="0057272B">
              <w:rPr>
                <w:rFonts w:ascii="Arial" w:hAnsi="Arial" w:cs="Arial"/>
                <w:color w:val="262626" w:themeColor="text1" w:themeTint="D9"/>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(48)</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3357B93F"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15 papers reporting views of Commissioners, managers and HCPs (870 participants)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476A65BA" w14:textId="77777777" w:rsidR="00C63ACE" w:rsidRPr="0057272B"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262626" w:themeColor="text1" w:themeTint="D9"/>
                <w:sz w:val="16"/>
                <w:szCs w:val="16"/>
              </w:rPr>
              <w:t>Attend</w:t>
            </w:r>
            <w:r w:rsidRPr="007A7535">
              <w:rPr>
                <w:rFonts w:ascii="Arial" w:hAnsi="Arial" w:cs="Arial"/>
                <w:color w:val="262626" w:themeColor="text1" w:themeTint="D9"/>
                <w:sz w:val="16"/>
                <w:szCs w:val="16"/>
              </w:rPr>
              <w:br/>
              <w:t>Deliver</w:t>
            </w:r>
            <w:r w:rsidRPr="007A7535">
              <w:rPr>
                <w:rFonts w:ascii="Arial" w:hAnsi="Arial" w:cs="Arial"/>
                <w:color w:val="262626" w:themeColor="text1" w:themeTint="D9"/>
                <w:sz w:val="16"/>
                <w:szCs w:val="16"/>
              </w:rPr>
              <w:br/>
              <w:t>Refer</w:t>
            </w:r>
          </w:p>
        </w:tc>
        <w:tc>
          <w:tcPr>
            <w:tcW w:w="3127" w:type="dxa"/>
            <w:gridSpan w:val="2"/>
            <w:tcBorders>
              <w:left w:val="nil"/>
              <w:right w:val="nil"/>
            </w:tcBorders>
            <w:shd w:val="clear" w:color="auto" w:fill="auto"/>
            <w:hideMark/>
          </w:tcPr>
          <w:p w14:paraId="57CD611E"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Secondary data synthesis</w:t>
            </w:r>
          </w:p>
        </w:tc>
      </w:tr>
      <w:tr w:rsidR="00C63ACE" w:rsidRPr="0057272B" w14:paraId="0FE67E96" w14:textId="77777777" w:rsidTr="0052052E">
        <w:trPr>
          <w:gridAfter w:val="3"/>
          <w:cnfStyle w:val="000000100000" w:firstRow="0" w:lastRow="0" w:firstColumn="0" w:lastColumn="0" w:oddVBand="0" w:evenVBand="0" w:oddHBand="1" w:evenHBand="0" w:firstRowFirstColumn="0" w:firstRowLastColumn="0" w:lastRowFirstColumn="0" w:lastRowLastColumn="0"/>
          <w:wAfter w:w="289" w:type="dxa"/>
          <w:trHeight w:val="340"/>
        </w:trPr>
        <w:tc>
          <w:tcPr>
            <w:cnfStyle w:val="001000000000" w:firstRow="0" w:lastRow="0" w:firstColumn="1" w:lastColumn="0" w:oddVBand="0" w:evenVBand="0" w:oddHBand="0" w:evenHBand="0" w:firstRowFirstColumn="0" w:firstRowLastColumn="0" w:lastRowFirstColumn="0" w:lastRowLastColumn="0"/>
            <w:tcW w:w="13325" w:type="dxa"/>
            <w:gridSpan w:val="4"/>
            <w:tcBorders>
              <w:left w:val="nil"/>
              <w:right w:val="nil"/>
            </w:tcBorders>
          </w:tcPr>
          <w:p w14:paraId="74E853DF" w14:textId="77777777" w:rsidR="00C63ACE" w:rsidRPr="0057272B" w:rsidRDefault="00C63ACE" w:rsidP="0052052E">
            <w:pPr>
              <w:snapToGrid w:val="0"/>
              <w:spacing w:before="120" w:after="120" w:line="276" w:lineRule="auto"/>
              <w:rPr>
                <w:rFonts w:ascii="Arial" w:hAnsi="Arial" w:cs="Arial"/>
                <w:color w:val="262626" w:themeColor="text1" w:themeTint="D9"/>
                <w:sz w:val="16"/>
                <w:szCs w:val="16"/>
              </w:rPr>
            </w:pPr>
            <w:r w:rsidRPr="0057272B">
              <w:rPr>
                <w:rFonts w:ascii="Arial" w:hAnsi="Arial" w:cs="Arial"/>
                <w:color w:val="262626" w:themeColor="text1" w:themeTint="D9"/>
                <w:sz w:val="16"/>
                <w:szCs w:val="16"/>
              </w:rPr>
              <w:t>Community care</w:t>
            </w:r>
          </w:p>
        </w:tc>
      </w:tr>
      <w:tr w:rsidR="00C63ACE" w:rsidRPr="0057272B" w14:paraId="2F8C13F5" w14:textId="77777777" w:rsidTr="0052052E">
        <w:trPr>
          <w:gridAfter w:val="2"/>
          <w:wAfter w:w="140" w:type="dxa"/>
          <w:trHeight w:val="34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1892FB9D"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Mason, A., D. Liu, L. Marks, H. Davis, D. Hunter, L.M. Jehu, et al., Local authority commissioning of NHS Health Checks: A regression analysis of the first three years. Health Policy. 2018;122:(9): 1035-1042. </w:t>
            </w:r>
            <w:r w:rsidRPr="0057272B">
              <w:rPr>
                <w:rFonts w:ascii="Arial" w:hAnsi="Arial" w:cs="Arial"/>
                <w:color w:val="262626" w:themeColor="text1" w:themeTint="D9"/>
                <w:sz w:val="16"/>
                <w:szCs w:val="16"/>
              </w:rPr>
              <w:fldChar w:fldCharType="begin">
                <w:fldData xml:space="preserve">PEVuZE5vdGU+PENpdGU+PEF1dGhvcj5NYXNvbjwvQXV0aG9yPjxZZWFyPjIwMTg8L1llYXI+PFJl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==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PEVuZE5vdGU+PENpdGU+PEF1dGhvcj5NYXNvbjwvQXV0aG9yPjxZZWFyPjIwMTg8L1llYXI+PFJl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==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(49)</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59CB7593"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HPCs and &gt;8,000,000 patients</w:t>
            </w:r>
          </w:p>
        </w:tc>
        <w:tc>
          <w:tcPr>
            <w:tcW w:w="2551" w:type="dxa"/>
            <w:tcBorders>
              <w:left w:val="nil"/>
              <w:bottom w:val="single" w:sz="4" w:space="0" w:color="8EAADB" w:themeColor="accent1" w:themeTint="99"/>
              <w:right w:val="nil"/>
            </w:tcBorders>
            <w:shd w:val="clear" w:color="auto" w:fill="auto"/>
          </w:tcPr>
          <w:p w14:paraId="6D6A6370" w14:textId="77777777" w:rsidR="00C63ACE" w:rsidRPr="0057272B"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262626" w:themeColor="text1" w:themeTint="D9"/>
                <w:sz w:val="16"/>
                <w:szCs w:val="16"/>
              </w:rPr>
              <w:t>Invite</w:t>
            </w:r>
          </w:p>
        </w:tc>
        <w:tc>
          <w:tcPr>
            <w:tcW w:w="3127" w:type="dxa"/>
            <w:gridSpan w:val="2"/>
            <w:tcBorders>
              <w:left w:val="nil"/>
              <w:right w:val="nil"/>
            </w:tcBorders>
            <w:shd w:val="clear" w:color="auto" w:fill="auto"/>
            <w:hideMark/>
          </w:tcPr>
          <w:p w14:paraId="2575B42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Routinely collected national data</w:t>
            </w:r>
          </w:p>
        </w:tc>
      </w:tr>
      <w:tr w:rsidR="00C63ACE" w:rsidRPr="0057272B" w14:paraId="265CBAA4"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23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2BE659CC"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lastRenderedPageBreak/>
              <w:t xml:space="preserve">McNaughton, R.J., N.T. Oswald, J.S. Shucksmith, P.J. Heywood, and P.S. Watson, Making a success of providing NHS Health Checks in community pharmacies across the Tees Valley: a qualitative study. BMC Health Services Research. 2011;11:(222).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&lt;EndNote&gt;&lt;Cite&gt;&lt;Author&gt;McNaughton&lt;/Author&gt;&lt;Year&gt;2011&lt;/Year&gt;&lt;RecNum&gt;47&lt;/RecNum&gt;&lt;DisplayText&gt;(50)&lt;/DisplayText&gt;&lt;record&gt;&lt;rec-number&gt;47&lt;/rec-number&gt;&lt;foreign-keys&gt;&lt;key app="EN" db-id="f9edtwwtof5ftneevt1pr0voafdvfedx92e2" timestamp="1550219649"&gt;47&lt;/key&gt;&lt;/foreign-keys&gt;&lt;ref-type name="Journal Article"&gt;17&lt;/ref-type&gt;&lt;contributors&gt;&lt;authors&gt;&lt;author&gt;McNaughton, R. J.&lt;/author&gt;&lt;author&gt;Oswald, N. T.&lt;/author&gt;&lt;author&gt;Shucksmith, J. S.&lt;/author&gt;&lt;author&gt;Heywood, P. J.&lt;/author&gt;&lt;author&gt;Watson, P. S.&lt;/author&gt;&lt;/authors&gt;&lt;/contributors&gt;&lt;auth-address&gt;McNaughton, Rebekah J. Health and Social Care Institute, School of Health and Social Care, Teesside University, Middlesbrough, Tees Valley, UK. R.McNaughton@tees.ac.uk&lt;/auth-address&gt;&lt;titles&gt;&lt;title&gt;Making a success of providing NHS Health Checks in community pharmacies across the Tees Valley: a qualitative study&lt;/title&gt;&lt;secondary-title&gt;BMC Health Services Research&lt;/secondary-title&gt;&lt;/titles&gt;&lt;periodical&gt;&lt;full-title&gt;BMC Health Services Research&lt;/full-title&gt;&lt;/periodical&gt;&lt;pages&gt;222&lt;/pages&gt;&lt;volume&gt;11&lt;/volume&gt;&lt;dates&gt;&lt;year&gt;2011&lt;/year&gt;&lt;/dates&gt;&lt;accession-num&gt;21929809&lt;/accession-num&gt;&lt;work-type&gt;Evaluation Studies&lt;/work-type&gt;&lt;urls&gt;&lt;related-urls&gt;&lt;url&gt;http://ovidsp.ovid.com/ovidweb.cgi?T=JS&amp;amp;CSC=Y&amp;amp;NEWS=N&amp;amp;PAGE=fulltext&amp;amp;D=med7&amp;amp;AN=21929809&lt;/url&gt;&lt;url&gt;https://www.ncbi.nlm.nih.gov/pmc/articles/PMC3182894/pdf/1472-6963-11-222.pdf&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(50)</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3F0FBF00"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20 (10 in primary care including DPH, project manager, clinical lead, public health nurses,</w:t>
            </w:r>
            <w:r w:rsidRPr="0057272B">
              <w:rPr>
                <w:rFonts w:ascii="Arial" w:hAnsi="Arial" w:cs="Arial"/>
                <w:color w:val="262626" w:themeColor="text1" w:themeTint="D9"/>
                <w:sz w:val="16"/>
                <w:szCs w:val="16"/>
              </w:rPr>
              <w:br/>
              <w:t>pharmacy advisor, community</w:t>
            </w:r>
            <w:r w:rsidRPr="0057272B">
              <w:rPr>
                <w:rFonts w:ascii="Arial" w:hAnsi="Arial" w:cs="Arial"/>
                <w:color w:val="262626" w:themeColor="text1" w:themeTint="D9"/>
                <w:sz w:val="16"/>
                <w:szCs w:val="16"/>
              </w:rPr>
              <w:br/>
              <w:t>services manager, a professional executive committee</w:t>
            </w:r>
            <w:r>
              <w:rPr>
                <w:rFonts w:ascii="Arial" w:hAnsi="Arial" w:cs="Arial"/>
                <w:color w:val="262626" w:themeColor="text1" w:themeTint="D9"/>
                <w:sz w:val="16"/>
                <w:szCs w:val="16"/>
              </w:rPr>
              <w:t xml:space="preserve"> </w:t>
            </w:r>
            <w:r w:rsidRPr="0057272B">
              <w:rPr>
                <w:rFonts w:ascii="Arial" w:hAnsi="Arial" w:cs="Arial"/>
                <w:color w:val="262626" w:themeColor="text1" w:themeTint="D9"/>
                <w:sz w:val="16"/>
                <w:szCs w:val="16"/>
              </w:rPr>
              <w:t xml:space="preserve">member and  IT database developer; 8 pharmacists, </w:t>
            </w:r>
            <w:r>
              <w:rPr>
                <w:rFonts w:ascii="Arial" w:hAnsi="Arial" w:cs="Arial"/>
                <w:color w:val="262626" w:themeColor="text1" w:themeTint="D9"/>
                <w:sz w:val="16"/>
                <w:szCs w:val="16"/>
              </w:rPr>
              <w:t>two</w:t>
            </w:r>
            <w:r w:rsidRPr="0057272B">
              <w:rPr>
                <w:rFonts w:ascii="Arial" w:hAnsi="Arial" w:cs="Arial"/>
                <w:color w:val="262626" w:themeColor="text1" w:themeTint="D9"/>
                <w:sz w:val="16"/>
                <w:szCs w:val="16"/>
              </w:rPr>
              <w:t xml:space="preserve"> Local Pharmaceutical</w:t>
            </w:r>
            <w:r>
              <w:rPr>
                <w:rFonts w:ascii="Arial" w:hAnsi="Arial" w:cs="Arial"/>
                <w:color w:val="262626" w:themeColor="text1" w:themeTint="D9"/>
                <w:sz w:val="16"/>
                <w:szCs w:val="16"/>
              </w:rPr>
              <w:t xml:space="preserve"> </w:t>
            </w:r>
            <w:r w:rsidRPr="0057272B">
              <w:rPr>
                <w:rFonts w:ascii="Arial" w:hAnsi="Arial" w:cs="Arial"/>
                <w:color w:val="262626" w:themeColor="text1" w:themeTint="D9"/>
                <w:sz w:val="16"/>
                <w:szCs w:val="16"/>
              </w:rPr>
              <w:t>Committee  representatives)</w:t>
            </w:r>
          </w:p>
        </w:tc>
        <w:tc>
          <w:tcPr>
            <w:tcW w:w="2551" w:type="dxa"/>
            <w:tcBorders>
              <w:left w:val="nil"/>
              <w:bottom w:val="single" w:sz="4" w:space="0" w:color="8EAADB" w:themeColor="accent1" w:themeTint="99"/>
              <w:right w:val="nil"/>
            </w:tcBorders>
            <w:shd w:val="clear" w:color="auto" w:fill="auto"/>
          </w:tcPr>
          <w:p w14:paraId="5A1F3F4F" w14:textId="77777777" w:rsidR="00C63ACE" w:rsidRPr="0057272B"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Attend</w:t>
            </w:r>
          </w:p>
          <w:p w14:paraId="7BCCB182" w14:textId="77777777" w:rsidR="00C63ACE" w:rsidRPr="0057272B"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Deliver</w:t>
            </w:r>
          </w:p>
        </w:tc>
        <w:tc>
          <w:tcPr>
            <w:tcW w:w="3127" w:type="dxa"/>
            <w:gridSpan w:val="2"/>
            <w:tcBorders>
              <w:left w:val="nil"/>
              <w:right w:val="nil"/>
            </w:tcBorders>
            <w:shd w:val="clear" w:color="auto" w:fill="auto"/>
            <w:hideMark/>
          </w:tcPr>
          <w:p w14:paraId="76C2B312"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Interviews</w:t>
            </w:r>
          </w:p>
        </w:tc>
      </w:tr>
      <w:tr w:rsidR="00C63ACE" w:rsidRPr="0057272B" w14:paraId="622B6C26" w14:textId="77777777" w:rsidTr="0052052E">
        <w:trPr>
          <w:gridAfter w:val="2"/>
          <w:wAfter w:w="140" w:type="dxa"/>
          <w:trHeight w:val="1124"/>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E70FE38"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Penn, L., A. Rodrigues, A. Haste, M.M. Marques, K. Budig, K. Sainsbury, et al., NHS Diabetes Prevention Programme in England: formative evaluation of the programme in early phase implementation. BMJ Open. 2018;8:(2): e019467. </w:t>
            </w:r>
            <w:r w:rsidRPr="0057272B">
              <w:rPr>
                <w:rFonts w:ascii="Arial" w:hAnsi="Arial" w:cs="Arial"/>
                <w:color w:val="262626" w:themeColor="text1" w:themeTint="D9"/>
                <w:sz w:val="16"/>
                <w:szCs w:val="16"/>
              </w:rPr>
              <w:fldChar w:fldCharType="begin">
                <w:fldData xml:space="preserve">PEVuZE5vdGU+PENpdGU+PEF1dGhvcj5QZW5uPC9BdXRob3I+PFllYXI+MjAxODwvWWVhcj48UmVj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PEVuZE5vdGU+PENpdGU+PEF1dGhvcj5QZW5uPC9BdXRob3I+PFllYXI+MjAxODwvWWVhcj48UmVj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(51)</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5FD57F9C"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20 patients referred to NHS Diabetes Prevention Programme following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1C8D78A3" w14:textId="77777777" w:rsidR="00C63ACE" w:rsidRPr="007A7535"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7A59CD71"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Interviews and focus groups</w:t>
            </w:r>
          </w:p>
        </w:tc>
      </w:tr>
      <w:tr w:rsidR="00C63ACE" w:rsidRPr="0057272B" w14:paraId="38AFA3AF"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36E0D0A3"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Perry, C., M. Thurston, S. Alford, J. Cushing, and L. Panter, The NHS health check programme in England: a qualitative study. Health Promotion International. 2016;31:(1): 106-15. </w:t>
            </w:r>
            <w:r w:rsidRPr="0057272B">
              <w:rPr>
                <w:rFonts w:ascii="Arial" w:hAnsi="Arial" w:cs="Arial"/>
                <w:color w:val="262626" w:themeColor="text1" w:themeTint="D9"/>
                <w:sz w:val="16"/>
                <w:szCs w:val="16"/>
              </w:rPr>
              <w:fldChar w:fldCharType="begin">
                <w:fldData xml:space="preserve">PEVuZE5vdGU+PENpdGU+PEF1dGhvcj5QZXJyeTwvQXV0aG9yPjxZZWFyPjIwMTY8L1llYXI+PFJl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PEVuZE5vdGU+PENpdGU+PEF1dGhvcj5QZXJyeTwvQXV0aG9yPjxZZWFyPjIwMTY8L1llYXI+PFJl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(52)</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69B0C718"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36 patients undergoing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3DD2C14E" w14:textId="77777777" w:rsidR="00C63ACE" w:rsidRPr="007A7535"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000000"/>
                <w:sz w:val="16"/>
                <w:szCs w:val="16"/>
              </w:rPr>
              <w:t>Attend</w:t>
            </w:r>
            <w:r w:rsidRPr="007A7535">
              <w:rPr>
                <w:rFonts w:ascii="Arial" w:hAnsi="Arial" w:cs="Arial"/>
                <w:color w:val="000000"/>
                <w:sz w:val="16"/>
                <w:szCs w:val="16"/>
              </w:rPr>
              <w:br/>
              <w:t>Deliver</w:t>
            </w:r>
            <w:r w:rsidRPr="007A7535">
              <w:rPr>
                <w:rFonts w:ascii="Arial" w:hAnsi="Arial" w:cs="Arial"/>
                <w:color w:val="000000"/>
                <w:sz w:val="16"/>
                <w:szCs w:val="16"/>
              </w:rPr>
              <w:br/>
            </w:r>
            <w:r>
              <w:rPr>
                <w:rFonts w:ascii="Arial" w:hAnsi="Arial" w:cs="Arial"/>
                <w:color w:val="000000"/>
                <w:sz w:val="16"/>
                <w:szCs w:val="16"/>
              </w:rPr>
              <w:t>Patient behaviour change</w:t>
            </w:r>
          </w:p>
        </w:tc>
        <w:tc>
          <w:tcPr>
            <w:tcW w:w="3127" w:type="dxa"/>
            <w:gridSpan w:val="2"/>
            <w:tcBorders>
              <w:left w:val="nil"/>
              <w:right w:val="nil"/>
            </w:tcBorders>
            <w:shd w:val="clear" w:color="auto" w:fill="auto"/>
            <w:hideMark/>
          </w:tcPr>
          <w:p w14:paraId="594EA227"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Interviews and focus groups</w:t>
            </w:r>
          </w:p>
        </w:tc>
      </w:tr>
      <w:tr w:rsidR="00C63ACE" w:rsidRPr="0057272B" w14:paraId="4C48A14B" w14:textId="77777777" w:rsidTr="0052052E">
        <w:trPr>
          <w:gridAfter w:val="2"/>
          <w:wAfter w:w="140" w:type="dxa"/>
          <w:trHeight w:val="1020"/>
        </w:trPr>
        <w:tc>
          <w:tcPr>
            <w:cnfStyle w:val="001000000000" w:firstRow="0" w:lastRow="0" w:firstColumn="1" w:lastColumn="0" w:oddVBand="0" w:evenVBand="0" w:oddHBand="0" w:evenHBand="0" w:firstRowFirstColumn="0" w:firstRowLastColumn="0" w:lastRowFirstColumn="0" w:lastRowLastColumn="0"/>
            <w:tcW w:w="5245" w:type="dxa"/>
            <w:tcBorders>
              <w:left w:val="nil"/>
              <w:right w:val="nil"/>
            </w:tcBorders>
            <w:shd w:val="clear" w:color="auto" w:fill="auto"/>
            <w:hideMark/>
          </w:tcPr>
          <w:p w14:paraId="45275188"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Roberts, D.J. and V.C. de Souza, A venue-based analysis of the reach of a targeted outreach service to deliver opportunistic community NHS Health Checks to 'hard-to-reach' groups. Public Health. 2016;137:(176-81).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&lt;EndNote&gt;&lt;Cite&gt;&lt;Author&gt;Roberts&lt;/Author&gt;&lt;Year&gt;2016&lt;/Year&gt;&lt;RecNum&gt;58&lt;/RecNum&gt;&lt;DisplayText&gt;(53)&lt;/DisplayText&gt;&lt;record&gt;&lt;rec-number&gt;58&lt;/rec-number&gt;&lt;foreign-keys&gt;&lt;key app="EN" db-id="f9edtwwtof5ftneevt1pr0voafdvfedx92e2" timestamp="1550219649"&gt;58&lt;/key&gt;&lt;/foreign-keys&gt;&lt;ref-type name="Journal Article"&gt;17&lt;/ref-type&gt;&lt;contributors&gt;&lt;authors&gt;&lt;author&gt;Roberts, D. J.&lt;/author&gt;&lt;author&gt;de Souza, V. C.&lt;/author&gt;&lt;/authors&gt;&lt;/contributors&gt;&lt;auth-address&gt;Roberts, D J. Public Health Team, Buckinghamshire County Council, County Hall, Walton Street, Aylesbury, HP20 1UA, United Kingdom. Electronic address: davidjrobs@doctors.org.uk.&amp;#xD;de Souza, V C. Public Health Team, Buckinghamshire County Council, County Hall, Walton Street, Aylesbury, HP20 1UA, United Kingdom; Solutions for Public Health, 1 Wooton Edge Barns, Holly Bank, Wooton-by-Woodstock, Oxfordshire, OX20 1AE, United Kingdom. Electronic address: veenadesouza@nhs.net.&lt;/auth-address&gt;&lt;titles&gt;&lt;title&gt;A venue-based analysis of the reach of a targeted outreach service to deliver opportunistic community NHS Health Checks to &amp;apos;hard-to-reach&amp;apos; groups&lt;/title&gt;&lt;secondary-title&gt;Public Health&lt;/secondary-title&gt;&lt;/titles&gt;&lt;periodical&gt;&lt;full-title&gt;Public Health&lt;/full-title&gt;&lt;/periodical&gt;&lt;pages&gt;176-81&lt;/pages&gt;&lt;volume&gt;137&lt;/volume&gt;&lt;dates&gt;&lt;year&gt;2016&lt;/year&gt;&lt;/dates&gt;&lt;accession-num&gt;27062066&lt;/accession-num&gt;&lt;urls&gt;&lt;related-urls&gt;&lt;url&gt;http://ovidsp.ovid.com/ovidweb.cgi?T=JS&amp;amp;CSC=Y&amp;amp;NEWS=N&amp;amp;PAGE=fulltext&amp;amp;D=med8&amp;amp;AN=27062066&lt;/url&gt;&lt;/related-urls&gt;&lt;/urls&gt;&lt;remote-database-name&gt;MEDLINE&lt;/remote-database-name&gt;&lt;remote-database-provider&gt;Ovid Technologies&lt;/remote-database-provider&gt;&lt;research-notes&gt;Reports behaviours relevant to NHSHC outreach&lt;/research-notes&gt;&lt;/record&gt;&lt;/Cite&gt;&lt;/EndNote&gt;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(53)</w:t>
            </w:r>
            <w:r w:rsidRPr="0057272B">
              <w:rPr>
                <w:rFonts w:ascii="Arial" w:hAnsi="Arial" w:cs="Arial"/>
                <w:color w:val="262626" w:themeColor="text1" w:themeTint="D9"/>
                <w:sz w:val="16"/>
                <w:szCs w:val="16"/>
              </w:rPr>
              <w:fldChar w:fldCharType="end"/>
            </w:r>
          </w:p>
        </w:tc>
        <w:tc>
          <w:tcPr>
            <w:tcW w:w="2551" w:type="dxa"/>
            <w:tcBorders>
              <w:left w:val="nil"/>
              <w:right w:val="nil"/>
            </w:tcBorders>
            <w:shd w:val="clear" w:color="auto" w:fill="auto"/>
            <w:hideMark/>
          </w:tcPr>
          <w:p w14:paraId="106FA9E6"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3,849 patients who underwent opportunistic outreach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xml:space="preserve">s </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26D587B7" w14:textId="77777777" w:rsidR="00C63ACE" w:rsidRPr="007A7535"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000000"/>
                <w:sz w:val="16"/>
                <w:szCs w:val="16"/>
              </w:rPr>
              <w:t>Behaviour only</w:t>
            </w:r>
          </w:p>
        </w:tc>
        <w:tc>
          <w:tcPr>
            <w:tcW w:w="3127" w:type="dxa"/>
            <w:gridSpan w:val="2"/>
            <w:tcBorders>
              <w:left w:val="nil"/>
              <w:right w:val="nil"/>
            </w:tcBorders>
            <w:shd w:val="clear" w:color="auto" w:fill="auto"/>
            <w:hideMark/>
          </w:tcPr>
          <w:p w14:paraId="68C442EE"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Routinely collected data for an outreach service in Buckinghamshire.</w:t>
            </w:r>
          </w:p>
        </w:tc>
      </w:tr>
      <w:tr w:rsidR="00C63ACE" w:rsidRPr="0057272B" w14:paraId="311B7B99" w14:textId="77777777" w:rsidTr="0052052E">
        <w:trPr>
          <w:gridAfter w:val="2"/>
          <w:cnfStyle w:val="000000100000" w:firstRow="0" w:lastRow="0" w:firstColumn="0" w:lastColumn="0" w:oddVBand="0" w:evenVBand="0" w:oddHBand="1" w:evenHBand="0" w:firstRowFirstColumn="0" w:firstRowLastColumn="0" w:lastRowFirstColumn="0" w:lastRowLastColumn="0"/>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bottom w:val="single" w:sz="4" w:space="0" w:color="8EAADB" w:themeColor="accent1" w:themeTint="99"/>
              <w:right w:val="nil"/>
            </w:tcBorders>
            <w:shd w:val="clear" w:color="auto" w:fill="auto"/>
            <w:hideMark/>
          </w:tcPr>
          <w:p w14:paraId="19608541"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Taylor, J., J. Krska, and A. Mackridge, A community pharmacy-based cardiovascular screening service: views of service users and the public. International Journal of Pharmacy Practice. 2012;20:(5): 277-84. </w:t>
            </w:r>
            <w:r w:rsidRPr="0057272B">
              <w:rPr>
                <w:rFonts w:ascii="Arial" w:hAnsi="Arial" w:cs="Arial"/>
                <w:color w:val="262626" w:themeColor="text1" w:themeTint="D9"/>
                <w:sz w:val="16"/>
                <w:szCs w:val="16"/>
              </w:rPr>
              <w:fldChar w:fldCharType="begin"/>
            </w:r>
            <w:r>
              <w:rPr>
                <w:rFonts w:ascii="Arial" w:hAnsi="Arial" w:cs="Arial"/>
                <w:color w:val="262626" w:themeColor="text1" w:themeTint="D9"/>
                <w:sz w:val="16"/>
                <w:szCs w:val="16"/>
              </w:rPr>
              <w:instrText xml:space="preserve"> ADDIN EN.CITE &lt;EndNote&gt;&lt;Cite&gt;&lt;Author&gt;Taylor&lt;/Author&gt;&lt;Year&gt;2012&lt;/Year&gt;&lt;RecNum&gt;66&lt;/RecNum&gt;&lt;DisplayText&gt;(54)&lt;/DisplayText&gt;&lt;record&gt;&lt;rec-number&gt;66&lt;/rec-number&gt;&lt;foreign-keys&gt;&lt;key app="EN" db-id="f9edtwwtof5ftneevt1pr0voafdvfedx92e2" timestamp="1550219649"&gt;66&lt;/key&gt;&lt;/foreign-keys&gt;&lt;ref-type name="Journal Article"&gt;17&lt;/ref-type&gt;&lt;contributors&gt;&lt;authors&gt;&lt;author&gt;Taylor, J.&lt;/author&gt;&lt;author&gt;Krska, J.&lt;/author&gt;&lt;author&gt;Mackridge, A.&lt;/author&gt;&lt;/authors&gt;&lt;/contributors&gt;&lt;auth-address&gt;Taylor, Julia. School of Pharmacy and Biomolecular Sciences, Liverpool John Moores University, Liverpool, UK.&lt;/auth-address&gt;&lt;titles&gt;&lt;title&gt;A community pharmacy-based cardiovascular screening service: views of service users and the public&lt;/title&gt;&lt;secondary-title&gt;International Journal of Pharmacy Practice&lt;/secondary-title&gt;&lt;/titles&gt;&lt;periodical&gt;&lt;full-title&gt;International Journal of Pharmacy Practice&lt;/full-title&gt;&lt;/periodical&gt;&lt;pages&gt;277-84&lt;/pages&gt;&lt;volume&gt;20&lt;/volume&gt;&lt;number&gt;5&lt;/number&gt;&lt;dates&gt;&lt;year&gt;2012&lt;/year&gt;&lt;/dates&gt;&lt;accession-num&gt;22953766&lt;/accession-num&gt;&lt;work-type&gt;Research Support, Non-U.S. Gov&amp;apos;t&lt;/work-type&gt;&lt;urls&gt;&lt;related-urls&gt;&lt;url&gt;http://ovidsp.ovid.com/ovidweb.cgi?T=JS&amp;amp;CSC=Y&amp;amp;NEWS=N&amp;amp;PAGE=fulltext&amp;amp;D=med7&amp;amp;AN=22953766&lt;/url&gt;&lt;url&gt;https://onlinelibrary.wiley.com/doi/abs/10.1111/j.2042-7174.2012.00190.x&lt;/url&gt;&lt;/related-urls&gt;&lt;/urls&gt;&lt;remote-database-name&gt;MEDLINE&lt;/remote-database-name&gt;&lt;remote-database-provider&gt;Ovid Technologies&lt;/remote-database-provider&gt;&lt;/record&gt;&lt;/Cite&gt;&lt;/EndNote&gt;</w:instrText>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(54)</w:t>
            </w:r>
            <w:r w:rsidRPr="0057272B">
              <w:rPr>
                <w:rFonts w:ascii="Arial" w:hAnsi="Arial" w:cs="Arial"/>
                <w:color w:val="262626" w:themeColor="text1" w:themeTint="D9"/>
                <w:sz w:val="16"/>
                <w:szCs w:val="16"/>
              </w:rPr>
              <w:fldChar w:fldCharType="end"/>
            </w:r>
          </w:p>
        </w:tc>
        <w:tc>
          <w:tcPr>
            <w:tcW w:w="2551" w:type="dxa"/>
            <w:tcBorders>
              <w:left w:val="nil"/>
              <w:bottom w:val="single" w:sz="4" w:space="0" w:color="8EAADB" w:themeColor="accent1" w:themeTint="99"/>
              <w:right w:val="nil"/>
            </w:tcBorders>
            <w:shd w:val="clear" w:color="auto" w:fill="auto"/>
            <w:hideMark/>
          </w:tcPr>
          <w:p w14:paraId="26E4BB46"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259 patients who had undergone NHS H</w:t>
            </w:r>
            <w:r>
              <w:rPr>
                <w:rFonts w:ascii="Arial" w:hAnsi="Arial" w:cs="Arial"/>
                <w:color w:val="262626" w:themeColor="text1" w:themeTint="D9"/>
                <w:sz w:val="16"/>
                <w:szCs w:val="16"/>
              </w:rPr>
              <w:t xml:space="preserve">ealth </w:t>
            </w:r>
            <w:r w:rsidRPr="0057272B">
              <w:rPr>
                <w:rFonts w:ascii="Arial" w:hAnsi="Arial" w:cs="Arial"/>
                <w:color w:val="262626" w:themeColor="text1" w:themeTint="D9"/>
                <w:sz w:val="16"/>
                <w:szCs w:val="16"/>
              </w:rPr>
              <w:t>C</w:t>
            </w:r>
            <w:r>
              <w:rPr>
                <w:rFonts w:ascii="Arial" w:hAnsi="Arial" w:cs="Arial"/>
                <w:color w:val="262626" w:themeColor="text1" w:themeTint="D9"/>
                <w:sz w:val="16"/>
                <w:szCs w:val="16"/>
              </w:rPr>
              <w:t>heck</w:t>
            </w:r>
            <w:r w:rsidRPr="0057272B">
              <w:rPr>
                <w:rFonts w:ascii="Arial" w:hAnsi="Arial" w:cs="Arial"/>
                <w:color w:val="262626" w:themeColor="text1" w:themeTint="D9"/>
                <w:sz w:val="16"/>
                <w:szCs w:val="16"/>
              </w:rPr>
              <w:t>, and 261 non-service users</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2FF129CC" w14:textId="77777777" w:rsidR="00C63ACE" w:rsidRPr="007A7535" w:rsidRDefault="00C63ACE" w:rsidP="0052052E">
            <w:pPr>
              <w:snapToGrid w:val="0"/>
              <w:spacing w:before="120" w:after="120"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000000"/>
                <w:sz w:val="16"/>
                <w:szCs w:val="16"/>
              </w:rPr>
              <w:t>Attend</w:t>
            </w:r>
          </w:p>
        </w:tc>
        <w:tc>
          <w:tcPr>
            <w:tcW w:w="3127" w:type="dxa"/>
            <w:gridSpan w:val="2"/>
            <w:tcBorders>
              <w:left w:val="nil"/>
              <w:bottom w:val="single" w:sz="4" w:space="0" w:color="8EAADB" w:themeColor="accent1" w:themeTint="99"/>
              <w:right w:val="nil"/>
            </w:tcBorders>
            <w:shd w:val="clear" w:color="auto" w:fill="auto"/>
            <w:hideMark/>
          </w:tcPr>
          <w:p w14:paraId="51DD47E2" w14:textId="77777777" w:rsidR="00C63ACE" w:rsidRPr="0057272B" w:rsidRDefault="00C63ACE" w:rsidP="0052052E">
            <w:pPr>
              <w:snapToGrid w:val="0"/>
              <w:spacing w:before="120" w:after="120" w:line="276" w:lineRule="auto"/>
              <w:cnfStyle w:val="000000100000" w:firstRow="0" w:lastRow="0" w:firstColumn="0" w:lastColumn="0" w:oddVBand="0" w:evenVBand="0" w:oddHBand="1"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Questionnaire</w:t>
            </w:r>
          </w:p>
        </w:tc>
      </w:tr>
      <w:tr w:rsidR="00C63ACE" w:rsidRPr="0057272B" w14:paraId="01A58D4A" w14:textId="77777777" w:rsidTr="0052052E">
        <w:trPr>
          <w:gridAfter w:val="2"/>
          <w:wAfter w:w="140" w:type="dxa"/>
          <w:trHeight w:val="680"/>
        </w:trPr>
        <w:tc>
          <w:tcPr>
            <w:cnfStyle w:val="001000000000" w:firstRow="0" w:lastRow="0" w:firstColumn="1" w:lastColumn="0" w:oddVBand="0" w:evenVBand="0" w:oddHBand="0" w:evenHBand="0" w:firstRowFirstColumn="0" w:firstRowLastColumn="0" w:lastRowFirstColumn="0" w:lastRowLastColumn="0"/>
            <w:tcW w:w="5245" w:type="dxa"/>
            <w:tcBorders>
              <w:left w:val="nil"/>
              <w:bottom w:val="single" w:sz="4" w:space="0" w:color="8EAADB" w:themeColor="accent1" w:themeTint="99"/>
              <w:right w:val="nil"/>
            </w:tcBorders>
            <w:shd w:val="clear" w:color="auto" w:fill="auto"/>
            <w:hideMark/>
          </w:tcPr>
          <w:p w14:paraId="066175E7" w14:textId="77777777" w:rsidR="00C63ACE" w:rsidRPr="0057272B" w:rsidRDefault="00C63ACE" w:rsidP="0052052E">
            <w:pPr>
              <w:snapToGrid w:val="0"/>
              <w:spacing w:before="120" w:after="120" w:line="276" w:lineRule="auto"/>
              <w:rPr>
                <w:rFonts w:ascii="Arial" w:hAnsi="Arial" w:cs="Arial"/>
                <w:b w:val="0"/>
                <w:color w:val="262626" w:themeColor="text1" w:themeTint="D9"/>
                <w:sz w:val="16"/>
                <w:szCs w:val="16"/>
              </w:rPr>
            </w:pPr>
            <w:r w:rsidRPr="0057272B">
              <w:rPr>
                <w:rFonts w:ascii="Arial" w:hAnsi="Arial" w:cs="Arial"/>
                <w:b w:val="0"/>
                <w:color w:val="262626" w:themeColor="text1" w:themeTint="D9"/>
                <w:sz w:val="16"/>
                <w:szCs w:val="16"/>
              </w:rPr>
              <w:t xml:space="preserve">Visram, S., S.M. Carr, and L. Geddes, Can lay health trainers increase uptake of NHS Health Checks in hard-to-reach populations? A mixed-method pilot evaluation. Journal of Public Health. 2015;37:(2): 226-33. </w:t>
            </w:r>
            <w:r w:rsidRPr="0057272B">
              <w:rPr>
                <w:rFonts w:ascii="Arial" w:hAnsi="Arial" w:cs="Arial"/>
                <w:color w:val="262626" w:themeColor="text1" w:themeTint="D9"/>
                <w:sz w:val="16"/>
                <w:szCs w:val="16"/>
              </w:rPr>
              <w:fldChar w:fldCharType="begin">
                <w:fldData xml:space="preserve">PEVuZE5vdGU+PENpdGU+PEF1dGhvcj5WaXNyYW08L0F1dGhvcj48WWVhcj4yMDE1PC9ZZWFyPjxS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</w:fldData>
              </w:fldChar>
            </w:r>
            <w:r>
              <w:rPr>
                <w:rFonts w:ascii="Arial" w:hAnsi="Arial" w:cs="Arial"/>
                <w:color w:val="262626" w:themeColor="text1" w:themeTint="D9"/>
                <w:sz w:val="16"/>
                <w:szCs w:val="16"/>
              </w:rPr>
              <w:instrText xml:space="preserve"> ADDIN EN.CITE </w:instrText>
            </w:r>
            <w:r>
              <w:rPr>
                <w:rFonts w:ascii="Arial" w:hAnsi="Arial" w:cs="Arial"/>
                <w:color w:val="262626" w:themeColor="text1" w:themeTint="D9"/>
                <w:sz w:val="16"/>
                <w:szCs w:val="16"/>
              </w:rPr>
              <w:fldChar w:fldCharType="begin">
                <w:fldData xml:space="preserve">PEVuZE5vdGU+PENpdGU+PEF1dGhvcj5WaXNyYW08L0F1dGhvcj48WWVhcj4yMDE1PC9ZZWFyPjxS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</w:fldData>
              </w:fldChar>
            </w:r>
            <w:r>
              <w:rPr>
                <w:rFonts w:ascii="Arial" w:hAnsi="Arial" w:cs="Arial"/>
                <w:color w:val="262626" w:themeColor="text1" w:themeTint="D9"/>
                <w:sz w:val="16"/>
                <w:szCs w:val="16"/>
              </w:rPr>
              <w:instrText xml:space="preserve"> ADDIN EN.CITE.DATA </w:instrText>
            </w:r>
            <w:r>
              <w:rPr>
                <w:rFonts w:ascii="Arial" w:hAnsi="Arial" w:cs="Arial"/>
                <w:color w:val="262626" w:themeColor="text1" w:themeTint="D9"/>
                <w:sz w:val="16"/>
                <w:szCs w:val="16"/>
              </w:rPr>
            </w:r>
            <w:r>
              <w:rPr>
                <w:rFonts w:ascii="Arial" w:hAnsi="Arial" w:cs="Arial"/>
                <w:color w:val="262626" w:themeColor="text1" w:themeTint="D9"/>
                <w:sz w:val="16"/>
                <w:szCs w:val="16"/>
              </w:rPr>
              <w:fldChar w:fldCharType="end"/>
            </w:r>
            <w:r w:rsidRPr="0057272B">
              <w:rPr>
                <w:rFonts w:ascii="Arial" w:hAnsi="Arial" w:cs="Arial"/>
                <w:color w:val="262626" w:themeColor="text1" w:themeTint="D9"/>
                <w:sz w:val="16"/>
                <w:szCs w:val="16"/>
              </w:rPr>
            </w:r>
            <w:r w:rsidRPr="0057272B">
              <w:rPr>
                <w:rFonts w:ascii="Arial" w:hAnsi="Arial" w:cs="Arial"/>
                <w:color w:val="262626" w:themeColor="text1" w:themeTint="D9"/>
                <w:sz w:val="16"/>
                <w:szCs w:val="16"/>
              </w:rPr>
              <w:fldChar w:fldCharType="separate"/>
            </w:r>
            <w:r>
              <w:rPr>
                <w:rFonts w:ascii="Arial" w:hAnsi="Arial" w:cs="Arial"/>
                <w:noProof/>
                <w:color w:val="262626" w:themeColor="text1" w:themeTint="D9"/>
                <w:sz w:val="16"/>
                <w:szCs w:val="16"/>
              </w:rPr>
              <w:t>(55)</w:t>
            </w:r>
            <w:r w:rsidRPr="0057272B">
              <w:rPr>
                <w:rFonts w:ascii="Arial" w:hAnsi="Arial" w:cs="Arial"/>
                <w:color w:val="262626" w:themeColor="text1" w:themeTint="D9"/>
                <w:sz w:val="16"/>
                <w:szCs w:val="16"/>
              </w:rPr>
              <w:fldChar w:fldCharType="end"/>
            </w:r>
          </w:p>
        </w:tc>
        <w:tc>
          <w:tcPr>
            <w:tcW w:w="2551" w:type="dxa"/>
            <w:tcBorders>
              <w:left w:val="nil"/>
              <w:bottom w:val="single" w:sz="4" w:space="0" w:color="8EAADB" w:themeColor="accent1" w:themeTint="99"/>
              <w:right w:val="nil"/>
            </w:tcBorders>
            <w:shd w:val="clear" w:color="auto" w:fill="auto"/>
            <w:hideMark/>
          </w:tcPr>
          <w:p w14:paraId="63F4BFCF"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 xml:space="preserve">181 patients </w:t>
            </w:r>
          </w:p>
        </w:tc>
        <w:tc>
          <w:tcPr>
            <w:tcW w:w="2551" w:type="dxa"/>
            <w:tcBorders>
              <w:top w:val="single" w:sz="4" w:space="0" w:color="8EAADB" w:themeColor="accent1" w:themeTint="99"/>
              <w:left w:val="nil"/>
              <w:bottom w:val="single" w:sz="4" w:space="0" w:color="8EAADB" w:themeColor="accent1" w:themeTint="99"/>
              <w:right w:val="nil"/>
            </w:tcBorders>
            <w:shd w:val="clear" w:color="000000" w:fill="FFFFFF"/>
          </w:tcPr>
          <w:p w14:paraId="3F6F5E70" w14:textId="77777777" w:rsidR="00C63ACE" w:rsidRPr="007A7535" w:rsidRDefault="00C63ACE" w:rsidP="0052052E">
            <w:pPr>
              <w:snapToGrid w:val="0"/>
              <w:spacing w:before="120" w:after="120"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7A7535">
              <w:rPr>
                <w:rFonts w:ascii="Arial" w:hAnsi="Arial" w:cs="Arial"/>
                <w:color w:val="000000"/>
                <w:sz w:val="16"/>
                <w:szCs w:val="16"/>
              </w:rPr>
              <w:t>Attend</w:t>
            </w:r>
          </w:p>
        </w:tc>
        <w:tc>
          <w:tcPr>
            <w:tcW w:w="3127" w:type="dxa"/>
            <w:gridSpan w:val="2"/>
            <w:tcBorders>
              <w:left w:val="nil"/>
              <w:bottom w:val="single" w:sz="4" w:space="0" w:color="8EAADB" w:themeColor="accent1" w:themeTint="99"/>
              <w:right w:val="nil"/>
            </w:tcBorders>
            <w:shd w:val="clear" w:color="auto" w:fill="auto"/>
            <w:hideMark/>
          </w:tcPr>
          <w:p w14:paraId="2E86BA4B" w14:textId="77777777" w:rsidR="00C63ACE" w:rsidRPr="0057272B" w:rsidRDefault="00C63ACE" w:rsidP="0052052E">
            <w:pPr>
              <w:snapToGrid w:val="0"/>
              <w:spacing w:before="120" w:after="120" w:line="276" w:lineRule="auto"/>
              <w:cnfStyle w:val="000000000000" w:firstRow="0" w:lastRow="0" w:firstColumn="0" w:lastColumn="0" w:oddVBand="0" w:evenVBand="0" w:oddHBand="0" w:evenHBand="0" w:firstRowFirstColumn="0" w:firstRowLastColumn="0" w:lastRowFirstColumn="0" w:lastRowLastColumn="0"/>
              <w:rPr>
                <w:rFonts w:ascii="Arial" w:hAnsi="Arial" w:cs="Arial"/>
                <w:color w:val="262626" w:themeColor="text1" w:themeTint="D9"/>
                <w:sz w:val="16"/>
                <w:szCs w:val="16"/>
              </w:rPr>
            </w:pPr>
            <w:r w:rsidRPr="0057272B">
              <w:rPr>
                <w:rFonts w:ascii="Arial" w:hAnsi="Arial" w:cs="Arial"/>
                <w:color w:val="262626" w:themeColor="text1" w:themeTint="D9"/>
                <w:sz w:val="16"/>
                <w:szCs w:val="16"/>
              </w:rPr>
              <w:t>Questionnaire</w:t>
            </w:r>
          </w:p>
        </w:tc>
      </w:tr>
    </w:tbl>
    <w:p w14:paraId="472A12A5" w14:textId="77777777" w:rsidR="00C63ACE" w:rsidRPr="000D2049" w:rsidRDefault="00C63ACE" w:rsidP="00C63ACE">
      <w:pPr>
        <w:spacing w:before="120" w:after="120" w:line="480" w:lineRule="auto"/>
        <w:rPr>
          <w:rFonts w:ascii="Arial" w:hAnsi="Arial" w:cs="Arial"/>
          <w:i/>
          <w:sz w:val="16"/>
          <w:szCs w:val="16"/>
        </w:rPr>
      </w:pPr>
      <w:r w:rsidRPr="00C864BD">
        <w:rPr>
          <w:rFonts w:ascii="Arial" w:hAnsi="Arial" w:cs="Arial"/>
          <w:i/>
          <w:sz w:val="16"/>
          <w:szCs w:val="16"/>
        </w:rPr>
        <w:t>* Reported data on behaviour only (not influences on behaviour)</w:t>
      </w:r>
      <w:r>
        <w:rPr>
          <w:rFonts w:ascii="Arial" w:hAnsi="Arial" w:cs="Arial"/>
          <w:b/>
          <w:sz w:val="16"/>
          <w:szCs w:val="16"/>
        </w:rPr>
        <w:br w:type="page"/>
      </w:r>
    </w:p>
    <w:p w14:paraId="341A17B7" w14:textId="77777777" w:rsidR="00C63ACE" w:rsidRDefault="00C63ACE" w:rsidP="00C63ACE">
      <w:pPr>
        <w:spacing w:before="120" w:after="120" w:line="480" w:lineRule="auto"/>
        <w:rPr>
          <w:rFonts w:ascii="Arial" w:hAnsi="Arial" w:cs="Arial"/>
          <w:b/>
          <w:sz w:val="16"/>
          <w:szCs w:val="16"/>
        </w:rPr>
        <w:sectPr w:rsidR="00C63ACE" w:rsidSect="00E70401">
          <w:pgSz w:w="16817" w:h="11901" w:orient="landscape"/>
          <w:pgMar w:top="1440" w:right="1440" w:bottom="1440" w:left="1440" w:header="709" w:footer="709" w:gutter="0"/>
          <w:cols w:space="708"/>
          <w:docGrid w:linePitch="360"/>
        </w:sectPr>
      </w:pPr>
    </w:p>
    <w:p w14:paraId="680C8944" w14:textId="77777777" w:rsidR="00C63ACE" w:rsidRPr="006D6CA9" w:rsidRDefault="00C63ACE" w:rsidP="00C63ACE">
      <w:pPr>
        <w:spacing w:before="120" w:after="120" w:line="480" w:lineRule="auto"/>
        <w:rPr>
          <w:rFonts w:ascii="Arial" w:hAnsi="Arial" w:cs="Arial"/>
          <w:b/>
          <w:sz w:val="16"/>
          <w:szCs w:val="16"/>
        </w:rPr>
      </w:pPr>
      <w:r w:rsidRPr="006D6CA9">
        <w:rPr>
          <w:rFonts w:ascii="Arial" w:hAnsi="Arial" w:cs="Arial"/>
          <w:b/>
          <w:sz w:val="16"/>
          <w:szCs w:val="16"/>
        </w:rPr>
        <w:lastRenderedPageBreak/>
        <w:t xml:space="preserve">Table 3. Frequency of domains and </w:t>
      </w:r>
      <w:r>
        <w:rPr>
          <w:rFonts w:ascii="Arial" w:hAnsi="Arial" w:cs="Arial"/>
          <w:b/>
          <w:sz w:val="16"/>
          <w:szCs w:val="16"/>
        </w:rPr>
        <w:t xml:space="preserve">all </w:t>
      </w:r>
      <w:r w:rsidRPr="006D6CA9">
        <w:rPr>
          <w:rFonts w:ascii="Arial" w:hAnsi="Arial" w:cs="Arial"/>
          <w:b/>
          <w:sz w:val="16"/>
          <w:szCs w:val="16"/>
        </w:rPr>
        <w:t>themes related to each identified behaviour</w:t>
      </w:r>
    </w:p>
    <w:tbl>
      <w:tblPr>
        <w:tblStyle w:val="GridTable4-Accent1"/>
        <w:tblW w:w="7553" w:type="dxa"/>
        <w:tblLook w:val="04A0" w:firstRow="1" w:lastRow="0" w:firstColumn="1" w:lastColumn="0" w:noHBand="0" w:noVBand="1"/>
      </w:tblPr>
      <w:tblGrid>
        <w:gridCol w:w="3685"/>
        <w:gridCol w:w="1276"/>
        <w:gridCol w:w="1276"/>
        <w:gridCol w:w="1316"/>
      </w:tblGrid>
      <w:tr w:rsidR="00C63ACE" w:rsidRPr="006D6CA9" w14:paraId="6AB677AC" w14:textId="77777777" w:rsidTr="0052052E">
        <w:trPr>
          <w:cnfStyle w:val="100000000000" w:firstRow="1" w:lastRow="0" w:firstColumn="0" w:lastColumn="0" w:oddVBand="0" w:evenVBand="0" w:oddHBand="0" w:evenHBand="0" w:firstRowFirstColumn="0" w:firstRowLastColumn="0" w:lastRowFirstColumn="0" w:lastRowLastColumn="0"/>
          <w:trHeight w:val="772"/>
          <w:tblHeader/>
        </w:trPr>
        <w:tc>
          <w:tcPr>
            <w:cnfStyle w:val="001000000000" w:firstRow="0" w:lastRow="0" w:firstColumn="1" w:lastColumn="0" w:oddVBand="0" w:evenVBand="0" w:oddHBand="0" w:evenHBand="0" w:firstRowFirstColumn="0" w:firstRowLastColumn="0" w:lastRowFirstColumn="0" w:lastRowLastColumn="0"/>
            <w:tcW w:w="3685" w:type="dxa"/>
            <w:tcBorders>
              <w:left w:val="nil"/>
            </w:tcBorders>
            <w:shd w:val="clear" w:color="auto" w:fill="D9E2F3" w:themeFill="accent1" w:themeFillTint="33"/>
            <w:hideMark/>
          </w:tcPr>
          <w:p w14:paraId="43FAE1F9" w14:textId="77777777" w:rsidR="00C63ACE" w:rsidRDefault="00C63ACE" w:rsidP="0052052E">
            <w:pPr>
              <w:spacing w:before="120" w:line="276" w:lineRule="auto"/>
              <w:rPr>
                <w:rFonts w:ascii="Arial" w:hAnsi="Arial" w:cs="Arial"/>
                <w:b w:val="0"/>
                <w:color w:val="0D0D0D" w:themeColor="text1" w:themeTint="F2"/>
                <w:sz w:val="16"/>
                <w:szCs w:val="16"/>
              </w:rPr>
            </w:pPr>
            <w:r>
              <w:rPr>
                <w:rFonts w:ascii="Arial" w:hAnsi="Arial" w:cs="Arial"/>
                <w:bCs w:val="0"/>
                <w:color w:val="0D0D0D" w:themeColor="text1" w:themeTint="F2"/>
                <w:sz w:val="16"/>
                <w:szCs w:val="16"/>
              </w:rPr>
              <w:t>Theme (number of studies)</w:t>
            </w:r>
          </w:p>
          <w:p w14:paraId="0ABBF95B" w14:textId="77777777" w:rsidR="00C63ACE" w:rsidRPr="00870C24" w:rsidRDefault="00C63ACE" w:rsidP="0052052E">
            <w:pPr>
              <w:spacing w:before="120" w:line="276" w:lineRule="auto"/>
              <w:rPr>
                <w:rFonts w:ascii="Arial" w:hAnsi="Arial" w:cs="Arial"/>
                <w:b w:val="0"/>
                <w:color w:val="0D0D0D" w:themeColor="text1" w:themeTint="F2"/>
                <w:sz w:val="16"/>
                <w:szCs w:val="16"/>
              </w:rPr>
            </w:pPr>
            <w:r w:rsidRPr="00870C24">
              <w:rPr>
                <w:rFonts w:ascii="Arial" w:hAnsi="Arial" w:cs="Arial"/>
                <w:b w:val="0"/>
                <w:color w:val="0D0D0D" w:themeColor="text1" w:themeTint="F2"/>
                <w:sz w:val="16"/>
                <w:szCs w:val="16"/>
              </w:rPr>
              <w:t>Domain</w:t>
            </w:r>
          </w:p>
        </w:tc>
        <w:tc>
          <w:tcPr>
            <w:tcW w:w="1276" w:type="dxa"/>
            <w:shd w:val="clear" w:color="auto" w:fill="D9E2F3" w:themeFill="accent1" w:themeFillTint="33"/>
            <w:hideMark/>
          </w:tcPr>
          <w:p w14:paraId="6859E11D" w14:textId="77777777" w:rsidR="00C63ACE" w:rsidRPr="006D6CA9" w:rsidRDefault="00C63ACE" w:rsidP="0052052E">
            <w:pPr>
              <w:spacing w:before="12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D0D0D" w:themeColor="text1" w:themeTint="F2"/>
                <w:sz w:val="16"/>
                <w:szCs w:val="16"/>
              </w:rPr>
            </w:pPr>
            <w:r w:rsidRPr="006D6CA9">
              <w:rPr>
                <w:rFonts w:ascii="Arial" w:hAnsi="Arial" w:cs="Arial"/>
                <w:bCs w:val="0"/>
                <w:color w:val="0D0D0D" w:themeColor="text1" w:themeTint="F2"/>
                <w:sz w:val="16"/>
                <w:szCs w:val="16"/>
              </w:rPr>
              <w:t xml:space="preserve">Frequency </w:t>
            </w:r>
            <w:r w:rsidRPr="006D6CA9">
              <w:rPr>
                <w:rFonts w:ascii="Arial" w:hAnsi="Arial" w:cs="Arial"/>
                <w:bCs w:val="0"/>
                <w:color w:val="0D0D0D" w:themeColor="text1" w:themeTint="F2"/>
                <w:sz w:val="16"/>
                <w:szCs w:val="16"/>
              </w:rPr>
              <w:br/>
              <w:t>(number of studies)</w:t>
            </w:r>
          </w:p>
        </w:tc>
        <w:tc>
          <w:tcPr>
            <w:tcW w:w="1276" w:type="dxa"/>
            <w:shd w:val="clear" w:color="auto" w:fill="D9E2F3" w:themeFill="accent1" w:themeFillTint="33"/>
            <w:hideMark/>
          </w:tcPr>
          <w:p w14:paraId="5B1DF332" w14:textId="77777777" w:rsidR="00C63ACE" w:rsidRPr="006D6CA9" w:rsidRDefault="00C63ACE" w:rsidP="0052052E">
            <w:pPr>
              <w:spacing w:before="12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D0D0D" w:themeColor="text1" w:themeTint="F2"/>
                <w:sz w:val="16"/>
                <w:szCs w:val="16"/>
              </w:rPr>
            </w:pPr>
            <w:r w:rsidRPr="006D6CA9">
              <w:rPr>
                <w:rFonts w:ascii="Arial" w:hAnsi="Arial" w:cs="Arial"/>
                <w:bCs w:val="0"/>
                <w:color w:val="0D0D0D" w:themeColor="text1" w:themeTint="F2"/>
                <w:sz w:val="16"/>
                <w:szCs w:val="16"/>
              </w:rPr>
              <w:t>Elaboration (number of themes)</w:t>
            </w:r>
          </w:p>
        </w:tc>
        <w:tc>
          <w:tcPr>
            <w:tcW w:w="1316" w:type="dxa"/>
            <w:tcBorders>
              <w:right w:val="nil"/>
            </w:tcBorders>
            <w:shd w:val="clear" w:color="auto" w:fill="D9E2F3" w:themeFill="accent1" w:themeFillTint="33"/>
            <w:hideMark/>
          </w:tcPr>
          <w:p w14:paraId="2707A0F4" w14:textId="77777777" w:rsidR="00C63ACE" w:rsidRPr="006D6CA9" w:rsidRDefault="00C63ACE" w:rsidP="0052052E">
            <w:pPr>
              <w:spacing w:before="12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D0D0D" w:themeColor="text1" w:themeTint="F2"/>
                <w:sz w:val="16"/>
                <w:szCs w:val="16"/>
              </w:rPr>
            </w:pPr>
            <w:r w:rsidRPr="006D6CA9">
              <w:rPr>
                <w:rFonts w:ascii="Arial" w:hAnsi="Arial" w:cs="Arial"/>
                <w:bCs w:val="0"/>
                <w:color w:val="0D0D0D" w:themeColor="text1" w:themeTint="F2"/>
                <w:sz w:val="16"/>
                <w:szCs w:val="16"/>
              </w:rPr>
              <w:t>Evidence of both barriers and facilitators</w:t>
            </w:r>
          </w:p>
        </w:tc>
      </w:tr>
      <w:tr w:rsidR="00C63ACE" w:rsidRPr="006D6CA9" w14:paraId="7D1F43E3" w14:textId="77777777" w:rsidTr="0052052E">
        <w:trPr>
          <w:cnfStyle w:val="000000100000" w:firstRow="0" w:lastRow="0" w:firstColumn="0" w:lastColumn="0" w:oddVBand="0" w:evenVBand="0" w:oddHBand="1" w:evenHBand="0" w:firstRowFirstColumn="0" w:firstRowLastColumn="0" w:lastRowFirstColumn="0" w:lastRowLastColumn="0"/>
          <w:trHeight w:val="628"/>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vAlign w:val="bottom"/>
          </w:tcPr>
          <w:p w14:paraId="7519E2D0" w14:textId="77777777" w:rsidR="00C63ACE" w:rsidRPr="006D6CA9" w:rsidRDefault="00C63ACE" w:rsidP="0052052E">
            <w:pPr>
              <w:spacing w:before="120" w:line="276" w:lineRule="auto"/>
              <w:jc w:val="left"/>
              <w:rPr>
                <w:rFonts w:ascii="Arial" w:hAnsi="Arial" w:cs="Arial"/>
                <w:color w:val="0D0D0D" w:themeColor="text1" w:themeTint="F2"/>
                <w:sz w:val="16"/>
                <w:szCs w:val="16"/>
              </w:rPr>
            </w:pPr>
            <w:r w:rsidRPr="006D6CA9">
              <w:rPr>
                <w:rFonts w:ascii="Arial" w:hAnsi="Arial" w:cs="Arial"/>
                <w:color w:val="0D0D0D" w:themeColor="text1" w:themeTint="F2"/>
                <w:sz w:val="16"/>
                <w:szCs w:val="16"/>
              </w:rPr>
              <w:t>HCP issuing invitation (n=</w:t>
            </w:r>
            <w:r>
              <w:rPr>
                <w:rFonts w:ascii="Arial" w:hAnsi="Arial" w:cs="Arial"/>
                <w:color w:val="0D0D0D" w:themeColor="text1" w:themeTint="F2"/>
                <w:sz w:val="16"/>
                <w:szCs w:val="16"/>
              </w:rPr>
              <w:t>4</w:t>
            </w:r>
            <w:r w:rsidRPr="006D6CA9">
              <w:rPr>
                <w:rFonts w:ascii="Arial" w:hAnsi="Arial" w:cs="Arial"/>
                <w:color w:val="0D0D0D" w:themeColor="text1" w:themeTint="F2"/>
                <w:sz w:val="16"/>
                <w:szCs w:val="16"/>
              </w:rPr>
              <w:t>)</w:t>
            </w:r>
          </w:p>
        </w:tc>
      </w:tr>
      <w:tr w:rsidR="00C63ACE" w:rsidRPr="006D6CA9" w14:paraId="5854F1D0" w14:textId="77777777" w:rsidTr="0052052E">
        <w:trPr>
          <w:trHeight w:val="404"/>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337C6542"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 xml:space="preserve">Environmental context and resources </w:t>
            </w:r>
          </w:p>
        </w:tc>
        <w:tc>
          <w:tcPr>
            <w:tcW w:w="1276" w:type="dxa"/>
            <w:tcBorders>
              <w:left w:val="nil"/>
              <w:right w:val="nil"/>
            </w:tcBorders>
            <w:shd w:val="clear" w:color="auto" w:fill="auto"/>
            <w:hideMark/>
          </w:tcPr>
          <w:p w14:paraId="46457050"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4</w:t>
            </w:r>
          </w:p>
        </w:tc>
        <w:tc>
          <w:tcPr>
            <w:tcW w:w="1276" w:type="dxa"/>
            <w:tcBorders>
              <w:left w:val="nil"/>
              <w:right w:val="nil"/>
            </w:tcBorders>
            <w:shd w:val="clear" w:color="auto" w:fill="auto"/>
            <w:hideMark/>
          </w:tcPr>
          <w:p w14:paraId="70F29702"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2</w:t>
            </w:r>
          </w:p>
        </w:tc>
        <w:tc>
          <w:tcPr>
            <w:tcW w:w="1316" w:type="dxa"/>
            <w:tcBorders>
              <w:left w:val="nil"/>
              <w:right w:val="nil"/>
            </w:tcBorders>
            <w:shd w:val="clear" w:color="auto" w:fill="auto"/>
            <w:hideMark/>
          </w:tcPr>
          <w:p w14:paraId="259821C9"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n</w:t>
            </w:r>
          </w:p>
        </w:tc>
      </w:tr>
      <w:tr w:rsidR="00C63ACE" w:rsidRPr="006D6CA9" w14:paraId="3A8704BB" w14:textId="77777777" w:rsidTr="0052052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4DCD9194"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Memory attention and decision processes</w:t>
            </w:r>
          </w:p>
        </w:tc>
        <w:tc>
          <w:tcPr>
            <w:tcW w:w="1276" w:type="dxa"/>
            <w:tcBorders>
              <w:left w:val="nil"/>
              <w:right w:val="nil"/>
            </w:tcBorders>
            <w:shd w:val="clear" w:color="auto" w:fill="auto"/>
            <w:hideMark/>
          </w:tcPr>
          <w:p w14:paraId="6256AC8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hideMark/>
          </w:tcPr>
          <w:p w14:paraId="3224FDF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502F1D61"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2578C29B" w14:textId="77777777" w:rsidTr="0052052E">
        <w:trPr>
          <w:trHeight w:val="728"/>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noWrap/>
            <w:vAlign w:val="bottom"/>
          </w:tcPr>
          <w:p w14:paraId="68CD4263" w14:textId="77777777" w:rsidR="00C63ACE" w:rsidRPr="006D6CA9" w:rsidRDefault="00C63ACE" w:rsidP="0052052E">
            <w:pPr>
              <w:spacing w:before="120" w:line="276" w:lineRule="auto"/>
              <w:jc w:val="left"/>
              <w:rPr>
                <w:rFonts w:ascii="Arial" w:hAnsi="Arial" w:cs="Arial"/>
                <w:color w:val="0D0D0D" w:themeColor="text1" w:themeTint="F2"/>
                <w:sz w:val="16"/>
                <w:szCs w:val="16"/>
              </w:rPr>
            </w:pPr>
            <w:r w:rsidRPr="006D6CA9">
              <w:rPr>
                <w:rFonts w:ascii="Arial" w:hAnsi="Arial" w:cs="Arial"/>
                <w:color w:val="0D0D0D" w:themeColor="text1" w:themeTint="F2"/>
                <w:sz w:val="16"/>
                <w:szCs w:val="16"/>
              </w:rPr>
              <w:t>Patient attending (n=</w:t>
            </w:r>
            <w:r>
              <w:rPr>
                <w:rFonts w:ascii="Arial" w:hAnsi="Arial" w:cs="Arial"/>
                <w:color w:val="0D0D0D" w:themeColor="text1" w:themeTint="F2"/>
                <w:sz w:val="16"/>
                <w:szCs w:val="16"/>
              </w:rPr>
              <w:t>16</w:t>
            </w:r>
            <w:r w:rsidRPr="006D6CA9">
              <w:rPr>
                <w:rFonts w:ascii="Arial" w:hAnsi="Arial" w:cs="Arial"/>
                <w:color w:val="0D0D0D" w:themeColor="text1" w:themeTint="F2"/>
                <w:sz w:val="16"/>
                <w:szCs w:val="16"/>
              </w:rPr>
              <w:t>)</w:t>
            </w:r>
          </w:p>
        </w:tc>
      </w:tr>
      <w:tr w:rsidR="00C63ACE" w:rsidRPr="006D6CA9" w14:paraId="7F00F2BE" w14:textId="77777777" w:rsidTr="0052052E">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24CE8AB4"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 xml:space="preserve">Environmental context and resources </w:t>
            </w:r>
          </w:p>
        </w:tc>
        <w:tc>
          <w:tcPr>
            <w:tcW w:w="1276" w:type="dxa"/>
            <w:tcBorders>
              <w:left w:val="nil"/>
              <w:right w:val="nil"/>
            </w:tcBorders>
            <w:shd w:val="clear" w:color="auto" w:fill="auto"/>
            <w:noWrap/>
            <w:hideMark/>
          </w:tcPr>
          <w:p w14:paraId="22ABDF6D"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12</w:t>
            </w:r>
          </w:p>
        </w:tc>
        <w:tc>
          <w:tcPr>
            <w:tcW w:w="1276" w:type="dxa"/>
            <w:tcBorders>
              <w:left w:val="nil"/>
              <w:right w:val="nil"/>
            </w:tcBorders>
            <w:shd w:val="clear" w:color="auto" w:fill="auto"/>
            <w:noWrap/>
            <w:hideMark/>
          </w:tcPr>
          <w:p w14:paraId="36A72FBD"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6</w:t>
            </w:r>
          </w:p>
        </w:tc>
        <w:tc>
          <w:tcPr>
            <w:tcW w:w="1316" w:type="dxa"/>
            <w:tcBorders>
              <w:left w:val="nil"/>
              <w:right w:val="nil"/>
            </w:tcBorders>
            <w:shd w:val="clear" w:color="auto" w:fill="auto"/>
            <w:hideMark/>
          </w:tcPr>
          <w:p w14:paraId="46DF4904"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08038F5E"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626D707C"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influences</w:t>
            </w:r>
          </w:p>
        </w:tc>
        <w:tc>
          <w:tcPr>
            <w:tcW w:w="1276" w:type="dxa"/>
            <w:tcBorders>
              <w:left w:val="nil"/>
              <w:right w:val="nil"/>
            </w:tcBorders>
            <w:shd w:val="clear" w:color="auto" w:fill="auto"/>
            <w:noWrap/>
            <w:hideMark/>
          </w:tcPr>
          <w:p w14:paraId="1B8142DB"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8</w:t>
            </w:r>
          </w:p>
        </w:tc>
        <w:tc>
          <w:tcPr>
            <w:tcW w:w="1276" w:type="dxa"/>
            <w:tcBorders>
              <w:left w:val="nil"/>
              <w:right w:val="nil"/>
            </w:tcBorders>
            <w:shd w:val="clear" w:color="auto" w:fill="auto"/>
            <w:noWrap/>
            <w:hideMark/>
          </w:tcPr>
          <w:p w14:paraId="48EE7E0F"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5</w:t>
            </w:r>
          </w:p>
        </w:tc>
        <w:tc>
          <w:tcPr>
            <w:tcW w:w="1316" w:type="dxa"/>
            <w:tcBorders>
              <w:left w:val="nil"/>
              <w:right w:val="nil"/>
            </w:tcBorders>
            <w:shd w:val="clear" w:color="auto" w:fill="auto"/>
            <w:hideMark/>
          </w:tcPr>
          <w:p w14:paraId="0066EFA0"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3D3B3519"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0B9FAC25"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consequences</w:t>
            </w:r>
          </w:p>
        </w:tc>
        <w:tc>
          <w:tcPr>
            <w:tcW w:w="1276" w:type="dxa"/>
            <w:tcBorders>
              <w:left w:val="nil"/>
              <w:right w:val="nil"/>
            </w:tcBorders>
            <w:shd w:val="clear" w:color="auto" w:fill="auto"/>
            <w:noWrap/>
            <w:hideMark/>
          </w:tcPr>
          <w:p w14:paraId="079BC2A1"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7</w:t>
            </w:r>
          </w:p>
        </w:tc>
        <w:tc>
          <w:tcPr>
            <w:tcW w:w="1276" w:type="dxa"/>
            <w:tcBorders>
              <w:left w:val="nil"/>
              <w:right w:val="nil"/>
            </w:tcBorders>
            <w:shd w:val="clear" w:color="auto" w:fill="auto"/>
            <w:noWrap/>
            <w:hideMark/>
          </w:tcPr>
          <w:p w14:paraId="7D8651BC"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6</w:t>
            </w:r>
          </w:p>
        </w:tc>
        <w:tc>
          <w:tcPr>
            <w:tcW w:w="1316" w:type="dxa"/>
            <w:tcBorders>
              <w:left w:val="nil"/>
              <w:right w:val="nil"/>
            </w:tcBorders>
            <w:shd w:val="clear" w:color="auto" w:fill="auto"/>
            <w:hideMark/>
          </w:tcPr>
          <w:p w14:paraId="24FA9BE4"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04F95C7D"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2370CD8F"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Emotion</w:t>
            </w:r>
          </w:p>
        </w:tc>
        <w:tc>
          <w:tcPr>
            <w:tcW w:w="1276" w:type="dxa"/>
            <w:tcBorders>
              <w:left w:val="nil"/>
              <w:right w:val="nil"/>
            </w:tcBorders>
            <w:shd w:val="clear" w:color="auto" w:fill="auto"/>
            <w:noWrap/>
            <w:hideMark/>
          </w:tcPr>
          <w:p w14:paraId="398AB9BF"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6</w:t>
            </w:r>
          </w:p>
        </w:tc>
        <w:tc>
          <w:tcPr>
            <w:tcW w:w="1276" w:type="dxa"/>
            <w:tcBorders>
              <w:left w:val="nil"/>
              <w:right w:val="nil"/>
            </w:tcBorders>
            <w:shd w:val="clear" w:color="auto" w:fill="auto"/>
            <w:noWrap/>
            <w:hideMark/>
          </w:tcPr>
          <w:p w14:paraId="1A04A337"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316" w:type="dxa"/>
            <w:tcBorders>
              <w:left w:val="nil"/>
              <w:right w:val="nil"/>
            </w:tcBorders>
            <w:shd w:val="clear" w:color="auto" w:fill="auto"/>
            <w:hideMark/>
          </w:tcPr>
          <w:p w14:paraId="3EF62BC1"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n</w:t>
            </w:r>
          </w:p>
        </w:tc>
      </w:tr>
      <w:tr w:rsidR="00C63ACE" w:rsidRPr="006D6CA9" w14:paraId="3B16129E"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6D5DE4ED"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Knowledge</w:t>
            </w:r>
          </w:p>
        </w:tc>
        <w:tc>
          <w:tcPr>
            <w:tcW w:w="1276" w:type="dxa"/>
            <w:tcBorders>
              <w:left w:val="nil"/>
              <w:right w:val="nil"/>
            </w:tcBorders>
            <w:shd w:val="clear" w:color="auto" w:fill="auto"/>
            <w:hideMark/>
          </w:tcPr>
          <w:p w14:paraId="462436CF"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6</w:t>
            </w:r>
          </w:p>
        </w:tc>
        <w:tc>
          <w:tcPr>
            <w:tcW w:w="1276" w:type="dxa"/>
            <w:tcBorders>
              <w:left w:val="nil"/>
              <w:right w:val="nil"/>
            </w:tcBorders>
            <w:shd w:val="clear" w:color="auto" w:fill="auto"/>
            <w:hideMark/>
          </w:tcPr>
          <w:p w14:paraId="76576D7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130ED535"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41C3967F"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58D5125C"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Memory attention and decision processes</w:t>
            </w:r>
          </w:p>
        </w:tc>
        <w:tc>
          <w:tcPr>
            <w:tcW w:w="1276" w:type="dxa"/>
            <w:tcBorders>
              <w:left w:val="nil"/>
              <w:right w:val="nil"/>
            </w:tcBorders>
            <w:shd w:val="clear" w:color="auto" w:fill="auto"/>
            <w:noWrap/>
            <w:hideMark/>
          </w:tcPr>
          <w:p w14:paraId="012E40E5"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276" w:type="dxa"/>
            <w:tcBorders>
              <w:left w:val="nil"/>
              <w:right w:val="nil"/>
            </w:tcBorders>
            <w:shd w:val="clear" w:color="auto" w:fill="auto"/>
            <w:noWrap/>
            <w:hideMark/>
          </w:tcPr>
          <w:p w14:paraId="667C5320"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hideMark/>
          </w:tcPr>
          <w:p w14:paraId="4A8DECD5"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2FC1EF47"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07716E4A"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professional role and identity</w:t>
            </w:r>
          </w:p>
        </w:tc>
        <w:tc>
          <w:tcPr>
            <w:tcW w:w="1276" w:type="dxa"/>
            <w:tcBorders>
              <w:left w:val="nil"/>
              <w:right w:val="nil"/>
            </w:tcBorders>
            <w:shd w:val="clear" w:color="auto" w:fill="auto"/>
            <w:noWrap/>
            <w:hideMark/>
          </w:tcPr>
          <w:p w14:paraId="25A0D2CB"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276" w:type="dxa"/>
            <w:tcBorders>
              <w:left w:val="nil"/>
              <w:right w:val="nil"/>
            </w:tcBorders>
            <w:shd w:val="clear" w:color="auto" w:fill="auto"/>
            <w:noWrap/>
            <w:hideMark/>
          </w:tcPr>
          <w:p w14:paraId="25C37B48"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316" w:type="dxa"/>
            <w:tcBorders>
              <w:left w:val="nil"/>
              <w:right w:val="nil"/>
            </w:tcBorders>
            <w:shd w:val="clear" w:color="auto" w:fill="auto"/>
            <w:hideMark/>
          </w:tcPr>
          <w:p w14:paraId="575D4236"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27B5107F"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3E055295"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capabilities</w:t>
            </w:r>
          </w:p>
        </w:tc>
        <w:tc>
          <w:tcPr>
            <w:tcW w:w="1276" w:type="dxa"/>
            <w:tcBorders>
              <w:left w:val="nil"/>
              <w:right w:val="nil"/>
            </w:tcBorders>
            <w:shd w:val="clear" w:color="auto" w:fill="auto"/>
            <w:noWrap/>
            <w:hideMark/>
          </w:tcPr>
          <w:p w14:paraId="6D3DE529"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276" w:type="dxa"/>
            <w:tcBorders>
              <w:left w:val="nil"/>
              <w:right w:val="nil"/>
            </w:tcBorders>
            <w:shd w:val="clear" w:color="auto" w:fill="auto"/>
            <w:noWrap/>
            <w:hideMark/>
          </w:tcPr>
          <w:p w14:paraId="7A8D3739"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hideMark/>
          </w:tcPr>
          <w:p w14:paraId="168C841D"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08DAAB34"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6846A84F"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Cognitive and interpersonal skills</w:t>
            </w:r>
          </w:p>
        </w:tc>
        <w:tc>
          <w:tcPr>
            <w:tcW w:w="1276" w:type="dxa"/>
            <w:tcBorders>
              <w:left w:val="nil"/>
              <w:right w:val="nil"/>
            </w:tcBorders>
            <w:shd w:val="clear" w:color="auto" w:fill="auto"/>
            <w:hideMark/>
          </w:tcPr>
          <w:p w14:paraId="79B3C62C"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hideMark/>
          </w:tcPr>
          <w:p w14:paraId="00C68046"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5A339B5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767A81F2" w14:textId="77777777" w:rsidTr="0052052E">
        <w:trPr>
          <w:trHeight w:val="699"/>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noWrap/>
            <w:vAlign w:val="bottom"/>
          </w:tcPr>
          <w:p w14:paraId="47E6A5FC" w14:textId="77777777" w:rsidR="00C63ACE" w:rsidRPr="006D6CA9" w:rsidRDefault="00C63ACE" w:rsidP="0052052E">
            <w:pPr>
              <w:spacing w:before="120" w:line="276" w:lineRule="auto"/>
              <w:jc w:val="left"/>
              <w:rPr>
                <w:rFonts w:ascii="Arial" w:hAnsi="Arial" w:cs="Arial"/>
                <w:color w:val="0D0D0D" w:themeColor="text1" w:themeTint="F2"/>
                <w:sz w:val="16"/>
                <w:szCs w:val="16"/>
              </w:rPr>
            </w:pPr>
            <w:r w:rsidRPr="006D6CA9">
              <w:rPr>
                <w:rFonts w:ascii="Arial" w:hAnsi="Arial" w:cs="Arial"/>
                <w:color w:val="0D0D0D" w:themeColor="text1" w:themeTint="F2"/>
                <w:sz w:val="16"/>
                <w:szCs w:val="16"/>
              </w:rPr>
              <w:t>HCP Delivering NHS Health Check (n=18)</w:t>
            </w:r>
          </w:p>
        </w:tc>
      </w:tr>
      <w:tr w:rsidR="00C63ACE" w:rsidRPr="006D6CA9" w14:paraId="055D2694" w14:textId="77777777" w:rsidTr="0052052E">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54D8131B"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Environmental context and resources</w:t>
            </w:r>
          </w:p>
        </w:tc>
        <w:tc>
          <w:tcPr>
            <w:tcW w:w="1276" w:type="dxa"/>
            <w:tcBorders>
              <w:left w:val="nil"/>
              <w:right w:val="nil"/>
            </w:tcBorders>
            <w:shd w:val="clear" w:color="auto" w:fill="auto"/>
            <w:hideMark/>
          </w:tcPr>
          <w:p w14:paraId="0061C5C2"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13</w:t>
            </w:r>
          </w:p>
        </w:tc>
        <w:tc>
          <w:tcPr>
            <w:tcW w:w="1276" w:type="dxa"/>
            <w:tcBorders>
              <w:left w:val="nil"/>
              <w:right w:val="nil"/>
            </w:tcBorders>
            <w:shd w:val="clear" w:color="auto" w:fill="auto"/>
            <w:hideMark/>
          </w:tcPr>
          <w:p w14:paraId="41EC59E0"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8</w:t>
            </w:r>
          </w:p>
        </w:tc>
        <w:tc>
          <w:tcPr>
            <w:tcW w:w="1316" w:type="dxa"/>
            <w:tcBorders>
              <w:left w:val="nil"/>
              <w:right w:val="nil"/>
            </w:tcBorders>
            <w:shd w:val="clear" w:color="auto" w:fill="auto"/>
            <w:hideMark/>
          </w:tcPr>
          <w:p w14:paraId="2340BB46"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y</w:t>
            </w:r>
          </w:p>
        </w:tc>
      </w:tr>
      <w:tr w:rsidR="00C63ACE" w:rsidRPr="006D6CA9" w14:paraId="7B410154"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619DAD71"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consequences</w:t>
            </w:r>
          </w:p>
        </w:tc>
        <w:tc>
          <w:tcPr>
            <w:tcW w:w="1276" w:type="dxa"/>
            <w:tcBorders>
              <w:left w:val="nil"/>
              <w:right w:val="nil"/>
            </w:tcBorders>
            <w:shd w:val="clear" w:color="auto" w:fill="auto"/>
            <w:hideMark/>
          </w:tcPr>
          <w:p w14:paraId="7913B24C"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12</w:t>
            </w:r>
          </w:p>
        </w:tc>
        <w:tc>
          <w:tcPr>
            <w:tcW w:w="1276" w:type="dxa"/>
            <w:tcBorders>
              <w:left w:val="nil"/>
              <w:right w:val="nil"/>
            </w:tcBorders>
            <w:shd w:val="clear" w:color="auto" w:fill="auto"/>
            <w:hideMark/>
          </w:tcPr>
          <w:p w14:paraId="03ABFD2E"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5</w:t>
            </w:r>
          </w:p>
        </w:tc>
        <w:tc>
          <w:tcPr>
            <w:tcW w:w="1316" w:type="dxa"/>
            <w:tcBorders>
              <w:left w:val="nil"/>
              <w:right w:val="nil"/>
            </w:tcBorders>
            <w:shd w:val="clear" w:color="auto" w:fill="auto"/>
            <w:hideMark/>
          </w:tcPr>
          <w:p w14:paraId="781C9304"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5E199AE5"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07DCDD8B"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professional role and identity</w:t>
            </w:r>
          </w:p>
        </w:tc>
        <w:tc>
          <w:tcPr>
            <w:tcW w:w="1276" w:type="dxa"/>
            <w:tcBorders>
              <w:left w:val="nil"/>
              <w:right w:val="nil"/>
            </w:tcBorders>
            <w:shd w:val="clear" w:color="auto" w:fill="auto"/>
            <w:noWrap/>
            <w:hideMark/>
          </w:tcPr>
          <w:p w14:paraId="3F2BD1DF"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9</w:t>
            </w:r>
          </w:p>
        </w:tc>
        <w:tc>
          <w:tcPr>
            <w:tcW w:w="1276" w:type="dxa"/>
            <w:tcBorders>
              <w:left w:val="nil"/>
              <w:right w:val="nil"/>
            </w:tcBorders>
            <w:shd w:val="clear" w:color="auto" w:fill="auto"/>
            <w:noWrap/>
            <w:hideMark/>
          </w:tcPr>
          <w:p w14:paraId="0F1F3095"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316" w:type="dxa"/>
            <w:tcBorders>
              <w:left w:val="nil"/>
              <w:right w:val="nil"/>
            </w:tcBorders>
            <w:shd w:val="clear" w:color="auto" w:fill="auto"/>
            <w:hideMark/>
          </w:tcPr>
          <w:p w14:paraId="3A976C11"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12D70E99"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1758316A"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Cognitive and interpersonal skills</w:t>
            </w:r>
          </w:p>
        </w:tc>
        <w:tc>
          <w:tcPr>
            <w:tcW w:w="1276" w:type="dxa"/>
            <w:tcBorders>
              <w:left w:val="nil"/>
              <w:right w:val="nil"/>
            </w:tcBorders>
            <w:shd w:val="clear" w:color="auto" w:fill="auto"/>
            <w:noWrap/>
            <w:hideMark/>
          </w:tcPr>
          <w:p w14:paraId="2D6C6A67"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9</w:t>
            </w:r>
          </w:p>
        </w:tc>
        <w:tc>
          <w:tcPr>
            <w:tcW w:w="1276" w:type="dxa"/>
            <w:tcBorders>
              <w:left w:val="nil"/>
              <w:right w:val="nil"/>
            </w:tcBorders>
            <w:shd w:val="clear" w:color="auto" w:fill="auto"/>
            <w:noWrap/>
            <w:hideMark/>
          </w:tcPr>
          <w:p w14:paraId="333AC26B"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hideMark/>
          </w:tcPr>
          <w:p w14:paraId="704143E8"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52E35A43"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5F57CC09"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 xml:space="preserve">Social influences </w:t>
            </w:r>
          </w:p>
        </w:tc>
        <w:tc>
          <w:tcPr>
            <w:tcW w:w="1276" w:type="dxa"/>
            <w:tcBorders>
              <w:left w:val="nil"/>
              <w:right w:val="nil"/>
            </w:tcBorders>
            <w:shd w:val="clear" w:color="auto" w:fill="auto"/>
            <w:hideMark/>
          </w:tcPr>
          <w:p w14:paraId="463B67E9"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8</w:t>
            </w:r>
          </w:p>
        </w:tc>
        <w:tc>
          <w:tcPr>
            <w:tcW w:w="1276" w:type="dxa"/>
            <w:tcBorders>
              <w:left w:val="nil"/>
              <w:right w:val="nil"/>
            </w:tcBorders>
            <w:shd w:val="clear" w:color="auto" w:fill="auto"/>
            <w:hideMark/>
          </w:tcPr>
          <w:p w14:paraId="700E2C09"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316" w:type="dxa"/>
            <w:tcBorders>
              <w:left w:val="nil"/>
              <w:right w:val="nil"/>
            </w:tcBorders>
            <w:shd w:val="clear" w:color="auto" w:fill="auto"/>
            <w:hideMark/>
          </w:tcPr>
          <w:p w14:paraId="6ABC3FA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77398DE0"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770A9FB1"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Optimism</w:t>
            </w:r>
          </w:p>
        </w:tc>
        <w:tc>
          <w:tcPr>
            <w:tcW w:w="1276" w:type="dxa"/>
            <w:tcBorders>
              <w:left w:val="nil"/>
              <w:right w:val="nil"/>
            </w:tcBorders>
            <w:shd w:val="clear" w:color="auto" w:fill="auto"/>
            <w:noWrap/>
            <w:hideMark/>
          </w:tcPr>
          <w:p w14:paraId="6D9D43F5"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5</w:t>
            </w:r>
          </w:p>
        </w:tc>
        <w:tc>
          <w:tcPr>
            <w:tcW w:w="1276" w:type="dxa"/>
            <w:tcBorders>
              <w:left w:val="nil"/>
              <w:right w:val="nil"/>
            </w:tcBorders>
            <w:shd w:val="clear" w:color="auto" w:fill="auto"/>
            <w:noWrap/>
            <w:hideMark/>
          </w:tcPr>
          <w:p w14:paraId="4544F52E"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017EC433"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6998CFE9"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7604B0CD"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Memory attention and decision processes</w:t>
            </w:r>
          </w:p>
        </w:tc>
        <w:tc>
          <w:tcPr>
            <w:tcW w:w="1276" w:type="dxa"/>
            <w:tcBorders>
              <w:left w:val="nil"/>
              <w:right w:val="nil"/>
            </w:tcBorders>
            <w:shd w:val="clear" w:color="auto" w:fill="auto"/>
            <w:noWrap/>
            <w:hideMark/>
          </w:tcPr>
          <w:p w14:paraId="2CFF998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276" w:type="dxa"/>
            <w:tcBorders>
              <w:left w:val="nil"/>
              <w:right w:val="nil"/>
            </w:tcBorders>
            <w:shd w:val="clear" w:color="auto" w:fill="auto"/>
            <w:noWrap/>
            <w:hideMark/>
          </w:tcPr>
          <w:p w14:paraId="64B220B7"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316" w:type="dxa"/>
            <w:tcBorders>
              <w:left w:val="nil"/>
              <w:right w:val="nil"/>
            </w:tcBorders>
            <w:shd w:val="clear" w:color="auto" w:fill="auto"/>
            <w:hideMark/>
          </w:tcPr>
          <w:p w14:paraId="209E07A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1A0D2B10"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266CFE9B"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Knowledge</w:t>
            </w:r>
          </w:p>
        </w:tc>
        <w:tc>
          <w:tcPr>
            <w:tcW w:w="1276" w:type="dxa"/>
            <w:tcBorders>
              <w:left w:val="nil"/>
              <w:right w:val="nil"/>
            </w:tcBorders>
            <w:shd w:val="clear" w:color="auto" w:fill="auto"/>
            <w:hideMark/>
          </w:tcPr>
          <w:p w14:paraId="3E70356F"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276" w:type="dxa"/>
            <w:tcBorders>
              <w:left w:val="nil"/>
              <w:right w:val="nil"/>
            </w:tcBorders>
            <w:shd w:val="clear" w:color="auto" w:fill="auto"/>
            <w:hideMark/>
          </w:tcPr>
          <w:p w14:paraId="71BEB4D8"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hideMark/>
          </w:tcPr>
          <w:p w14:paraId="3C2CB449"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168FF04C"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0639D6CA"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capabilities</w:t>
            </w:r>
          </w:p>
        </w:tc>
        <w:tc>
          <w:tcPr>
            <w:tcW w:w="1276" w:type="dxa"/>
            <w:tcBorders>
              <w:left w:val="nil"/>
              <w:right w:val="nil"/>
            </w:tcBorders>
            <w:shd w:val="clear" w:color="auto" w:fill="auto"/>
            <w:noWrap/>
            <w:hideMark/>
          </w:tcPr>
          <w:p w14:paraId="73F1ABEB"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276" w:type="dxa"/>
            <w:tcBorders>
              <w:left w:val="nil"/>
              <w:right w:val="nil"/>
            </w:tcBorders>
            <w:shd w:val="clear" w:color="auto" w:fill="auto"/>
            <w:noWrap/>
            <w:hideMark/>
          </w:tcPr>
          <w:p w14:paraId="195D3A7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2899279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1CD9564E"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2B02486F"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Emotion</w:t>
            </w:r>
          </w:p>
        </w:tc>
        <w:tc>
          <w:tcPr>
            <w:tcW w:w="1276" w:type="dxa"/>
            <w:tcBorders>
              <w:left w:val="nil"/>
              <w:right w:val="nil"/>
            </w:tcBorders>
            <w:shd w:val="clear" w:color="auto" w:fill="auto"/>
            <w:noWrap/>
            <w:hideMark/>
          </w:tcPr>
          <w:p w14:paraId="11A1A657"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276" w:type="dxa"/>
            <w:tcBorders>
              <w:left w:val="nil"/>
              <w:right w:val="nil"/>
            </w:tcBorders>
            <w:shd w:val="clear" w:color="auto" w:fill="auto"/>
            <w:noWrap/>
            <w:hideMark/>
          </w:tcPr>
          <w:p w14:paraId="01770D2F"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hideMark/>
          </w:tcPr>
          <w:p w14:paraId="4F4172AE"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4877326E"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58D0AC27"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Goals</w:t>
            </w:r>
          </w:p>
        </w:tc>
        <w:tc>
          <w:tcPr>
            <w:tcW w:w="1276" w:type="dxa"/>
            <w:tcBorders>
              <w:left w:val="nil"/>
              <w:right w:val="nil"/>
            </w:tcBorders>
            <w:shd w:val="clear" w:color="auto" w:fill="auto"/>
            <w:noWrap/>
            <w:hideMark/>
          </w:tcPr>
          <w:p w14:paraId="5869286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553F3E19"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763E20A4"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671DE836"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1FD693BC"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Intentions</w:t>
            </w:r>
          </w:p>
        </w:tc>
        <w:tc>
          <w:tcPr>
            <w:tcW w:w="1276" w:type="dxa"/>
            <w:tcBorders>
              <w:left w:val="nil"/>
              <w:right w:val="nil"/>
            </w:tcBorders>
            <w:shd w:val="clear" w:color="auto" w:fill="auto"/>
            <w:noWrap/>
            <w:hideMark/>
          </w:tcPr>
          <w:p w14:paraId="05EE4ABF"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21B644C0"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hideMark/>
          </w:tcPr>
          <w:p w14:paraId="6878388A"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5667266B"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016256E8"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Behavioural regulation</w:t>
            </w:r>
          </w:p>
        </w:tc>
        <w:tc>
          <w:tcPr>
            <w:tcW w:w="1276" w:type="dxa"/>
            <w:tcBorders>
              <w:left w:val="nil"/>
              <w:right w:val="nil"/>
            </w:tcBorders>
            <w:shd w:val="clear" w:color="auto" w:fill="auto"/>
            <w:noWrap/>
            <w:hideMark/>
          </w:tcPr>
          <w:p w14:paraId="34ACBC5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61C299C4"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0191EE14"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402609D4"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4E39B6B4"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Reinforcement</w:t>
            </w:r>
          </w:p>
        </w:tc>
        <w:tc>
          <w:tcPr>
            <w:tcW w:w="1276" w:type="dxa"/>
            <w:tcBorders>
              <w:left w:val="nil"/>
              <w:right w:val="nil"/>
            </w:tcBorders>
            <w:shd w:val="clear" w:color="auto" w:fill="auto"/>
            <w:noWrap/>
            <w:hideMark/>
          </w:tcPr>
          <w:p w14:paraId="172308E9"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36198D3D"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0D4C38A7"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41313310" w14:textId="77777777" w:rsidTr="0052052E">
        <w:trPr>
          <w:cnfStyle w:val="000000100000" w:firstRow="0" w:lastRow="0" w:firstColumn="0" w:lastColumn="0" w:oddVBand="0" w:evenVBand="0" w:oddHBand="1" w:evenHBand="0" w:firstRowFirstColumn="0" w:firstRowLastColumn="0" w:lastRowFirstColumn="0" w:lastRowLastColumn="0"/>
          <w:trHeight w:val="712"/>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vAlign w:val="bottom"/>
          </w:tcPr>
          <w:p w14:paraId="0E53D579" w14:textId="77777777" w:rsidR="00C63ACE" w:rsidRPr="006D6CA9" w:rsidRDefault="00C63ACE" w:rsidP="0052052E">
            <w:pPr>
              <w:spacing w:before="120" w:line="276" w:lineRule="auto"/>
              <w:jc w:val="left"/>
              <w:rPr>
                <w:rFonts w:ascii="Arial" w:hAnsi="Arial" w:cs="Arial"/>
                <w:color w:val="0D0D0D" w:themeColor="text1" w:themeTint="F2"/>
                <w:sz w:val="16"/>
                <w:szCs w:val="16"/>
              </w:rPr>
            </w:pPr>
            <w:r w:rsidRPr="006D6CA9">
              <w:rPr>
                <w:rFonts w:ascii="Arial" w:hAnsi="Arial" w:cs="Arial"/>
                <w:color w:val="0D0D0D" w:themeColor="text1" w:themeTint="F2"/>
                <w:sz w:val="16"/>
                <w:szCs w:val="16"/>
              </w:rPr>
              <w:t>HCP making referral after NHS Health Check (n=3)</w:t>
            </w:r>
          </w:p>
        </w:tc>
      </w:tr>
      <w:tr w:rsidR="00C63ACE" w:rsidRPr="006D6CA9" w14:paraId="505D1AFA" w14:textId="77777777" w:rsidTr="0052052E">
        <w:trPr>
          <w:trHeight w:val="411"/>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1780B7D2"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Environmental context and resources</w:t>
            </w:r>
          </w:p>
        </w:tc>
        <w:tc>
          <w:tcPr>
            <w:tcW w:w="1276" w:type="dxa"/>
            <w:tcBorders>
              <w:left w:val="nil"/>
              <w:right w:val="nil"/>
            </w:tcBorders>
            <w:shd w:val="clear" w:color="auto" w:fill="auto"/>
            <w:noWrap/>
            <w:hideMark/>
          </w:tcPr>
          <w:p w14:paraId="40189FF2"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276" w:type="dxa"/>
            <w:tcBorders>
              <w:left w:val="nil"/>
              <w:right w:val="nil"/>
            </w:tcBorders>
            <w:shd w:val="clear" w:color="auto" w:fill="auto"/>
            <w:noWrap/>
            <w:hideMark/>
          </w:tcPr>
          <w:p w14:paraId="0BBCEAA6"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69828CB6"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175F5617"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1EE0C223"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influences</w:t>
            </w:r>
          </w:p>
        </w:tc>
        <w:tc>
          <w:tcPr>
            <w:tcW w:w="1276" w:type="dxa"/>
            <w:tcBorders>
              <w:left w:val="nil"/>
              <w:right w:val="nil"/>
            </w:tcBorders>
            <w:shd w:val="clear" w:color="auto" w:fill="auto"/>
            <w:noWrap/>
            <w:hideMark/>
          </w:tcPr>
          <w:p w14:paraId="2F847FF9"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092E4356"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4ED9DF7B"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3E2B19AB" w14:textId="77777777" w:rsidTr="0052052E">
        <w:trPr>
          <w:trHeight w:val="748"/>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vAlign w:val="bottom"/>
          </w:tcPr>
          <w:p w14:paraId="3F76731E" w14:textId="77777777" w:rsidR="00C63ACE" w:rsidRPr="006D6CA9" w:rsidRDefault="00C63ACE" w:rsidP="0052052E">
            <w:pPr>
              <w:spacing w:before="120" w:line="276" w:lineRule="auto"/>
              <w:jc w:val="left"/>
              <w:rPr>
                <w:rFonts w:ascii="Arial" w:hAnsi="Arial" w:cs="Arial"/>
                <w:color w:val="0D0D0D" w:themeColor="text1" w:themeTint="F2"/>
                <w:sz w:val="16"/>
                <w:szCs w:val="16"/>
              </w:rPr>
            </w:pPr>
            <w:r w:rsidRPr="006D6CA9">
              <w:rPr>
                <w:rFonts w:ascii="Arial" w:hAnsi="Arial" w:cs="Arial"/>
                <w:color w:val="0D0D0D" w:themeColor="text1" w:themeTint="F2"/>
                <w:sz w:val="16"/>
                <w:szCs w:val="16"/>
              </w:rPr>
              <w:lastRenderedPageBreak/>
              <w:t>Patient attend referral (n=1)</w:t>
            </w:r>
          </w:p>
        </w:tc>
      </w:tr>
      <w:tr w:rsidR="00C63ACE" w:rsidRPr="006D6CA9" w14:paraId="3DB4D76D" w14:textId="77777777" w:rsidTr="0052052E">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168491CF"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consequences</w:t>
            </w:r>
          </w:p>
        </w:tc>
        <w:tc>
          <w:tcPr>
            <w:tcW w:w="1276" w:type="dxa"/>
            <w:tcBorders>
              <w:left w:val="nil"/>
              <w:right w:val="nil"/>
            </w:tcBorders>
            <w:shd w:val="clear" w:color="auto" w:fill="auto"/>
            <w:noWrap/>
            <w:hideMark/>
          </w:tcPr>
          <w:p w14:paraId="76DA801F"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377221DE"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308A1E30"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291BB458" w14:textId="77777777" w:rsidTr="0052052E">
        <w:trPr>
          <w:trHeight w:val="708"/>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noWrap/>
            <w:vAlign w:val="bottom"/>
            <w:hideMark/>
          </w:tcPr>
          <w:p w14:paraId="5DB94F15" w14:textId="77777777" w:rsidR="00C63ACE" w:rsidRPr="006D6CA9" w:rsidRDefault="00C63ACE" w:rsidP="0052052E">
            <w:pPr>
              <w:spacing w:before="120" w:line="276" w:lineRule="auto"/>
              <w:jc w:val="left"/>
              <w:rPr>
                <w:rFonts w:ascii="Arial" w:hAnsi="Arial" w:cs="Arial"/>
                <w:color w:val="0D0D0D" w:themeColor="text1" w:themeTint="F2"/>
                <w:sz w:val="16"/>
                <w:szCs w:val="16"/>
              </w:rPr>
            </w:pPr>
            <w:r w:rsidRPr="006D6CA9">
              <w:rPr>
                <w:rFonts w:ascii="Arial" w:hAnsi="Arial" w:cs="Arial"/>
                <w:color w:val="0D0D0D" w:themeColor="text1" w:themeTint="F2"/>
                <w:sz w:val="16"/>
                <w:szCs w:val="16"/>
              </w:rPr>
              <w:t>Patient behaviour change (n=15)</w:t>
            </w:r>
          </w:p>
        </w:tc>
      </w:tr>
      <w:tr w:rsidR="00C63ACE" w:rsidRPr="006D6CA9" w14:paraId="1A9CD6C3"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26E25409"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Knowledge</w:t>
            </w:r>
          </w:p>
        </w:tc>
        <w:tc>
          <w:tcPr>
            <w:tcW w:w="1276" w:type="dxa"/>
            <w:tcBorders>
              <w:left w:val="nil"/>
              <w:right w:val="nil"/>
            </w:tcBorders>
            <w:shd w:val="clear" w:color="auto" w:fill="auto"/>
            <w:noWrap/>
            <w:hideMark/>
          </w:tcPr>
          <w:p w14:paraId="53BE9C5C"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10</w:t>
            </w:r>
          </w:p>
        </w:tc>
        <w:tc>
          <w:tcPr>
            <w:tcW w:w="1276" w:type="dxa"/>
            <w:tcBorders>
              <w:left w:val="nil"/>
              <w:right w:val="nil"/>
            </w:tcBorders>
            <w:shd w:val="clear" w:color="auto" w:fill="auto"/>
            <w:noWrap/>
            <w:hideMark/>
          </w:tcPr>
          <w:p w14:paraId="52814D03"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noWrap/>
            <w:hideMark/>
          </w:tcPr>
          <w:p w14:paraId="457452E4"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16AB1736"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0DE7B9D4"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Intentions</w:t>
            </w:r>
          </w:p>
        </w:tc>
        <w:tc>
          <w:tcPr>
            <w:tcW w:w="1276" w:type="dxa"/>
            <w:tcBorders>
              <w:left w:val="nil"/>
              <w:right w:val="nil"/>
            </w:tcBorders>
            <w:shd w:val="clear" w:color="auto" w:fill="auto"/>
            <w:noWrap/>
            <w:hideMark/>
          </w:tcPr>
          <w:p w14:paraId="0DD0BC55"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8</w:t>
            </w:r>
          </w:p>
        </w:tc>
        <w:tc>
          <w:tcPr>
            <w:tcW w:w="1276" w:type="dxa"/>
            <w:tcBorders>
              <w:left w:val="nil"/>
              <w:right w:val="nil"/>
            </w:tcBorders>
            <w:shd w:val="clear" w:color="auto" w:fill="auto"/>
            <w:noWrap/>
            <w:hideMark/>
          </w:tcPr>
          <w:p w14:paraId="1BD5B2D7"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noWrap/>
            <w:hideMark/>
          </w:tcPr>
          <w:p w14:paraId="703AB127"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28939B60"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3CA637C7"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Environmental context and resources</w:t>
            </w:r>
          </w:p>
        </w:tc>
        <w:tc>
          <w:tcPr>
            <w:tcW w:w="1276" w:type="dxa"/>
            <w:tcBorders>
              <w:left w:val="nil"/>
              <w:right w:val="nil"/>
            </w:tcBorders>
            <w:shd w:val="clear" w:color="auto" w:fill="auto"/>
            <w:noWrap/>
            <w:hideMark/>
          </w:tcPr>
          <w:p w14:paraId="4FB699DE"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6</w:t>
            </w:r>
          </w:p>
        </w:tc>
        <w:tc>
          <w:tcPr>
            <w:tcW w:w="1276" w:type="dxa"/>
            <w:tcBorders>
              <w:left w:val="nil"/>
              <w:right w:val="nil"/>
            </w:tcBorders>
            <w:shd w:val="clear" w:color="auto" w:fill="auto"/>
            <w:noWrap/>
            <w:hideMark/>
          </w:tcPr>
          <w:p w14:paraId="2B39CBE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5</w:t>
            </w:r>
          </w:p>
        </w:tc>
        <w:tc>
          <w:tcPr>
            <w:tcW w:w="1316" w:type="dxa"/>
            <w:tcBorders>
              <w:left w:val="nil"/>
              <w:right w:val="nil"/>
            </w:tcBorders>
            <w:shd w:val="clear" w:color="auto" w:fill="auto"/>
            <w:noWrap/>
            <w:hideMark/>
          </w:tcPr>
          <w:p w14:paraId="6350A9EC"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0D85AE98" w14:textId="77777777" w:rsidTr="0052052E">
        <w:trPr>
          <w:trHeight w:val="331"/>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41BC8725"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influences</w:t>
            </w:r>
          </w:p>
        </w:tc>
        <w:tc>
          <w:tcPr>
            <w:tcW w:w="1276" w:type="dxa"/>
            <w:tcBorders>
              <w:left w:val="nil"/>
              <w:right w:val="nil"/>
            </w:tcBorders>
            <w:shd w:val="clear" w:color="auto" w:fill="auto"/>
            <w:noWrap/>
            <w:hideMark/>
          </w:tcPr>
          <w:p w14:paraId="7899650A"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5</w:t>
            </w:r>
          </w:p>
        </w:tc>
        <w:tc>
          <w:tcPr>
            <w:tcW w:w="1276" w:type="dxa"/>
            <w:tcBorders>
              <w:left w:val="nil"/>
              <w:right w:val="nil"/>
            </w:tcBorders>
            <w:shd w:val="clear" w:color="auto" w:fill="auto"/>
            <w:noWrap/>
            <w:hideMark/>
          </w:tcPr>
          <w:p w14:paraId="2FC61F3A"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noWrap/>
            <w:hideMark/>
          </w:tcPr>
          <w:p w14:paraId="5EA8D1CE"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37E07C08"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5C87C021"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capabilities</w:t>
            </w:r>
          </w:p>
        </w:tc>
        <w:tc>
          <w:tcPr>
            <w:tcW w:w="1276" w:type="dxa"/>
            <w:tcBorders>
              <w:left w:val="nil"/>
              <w:right w:val="nil"/>
            </w:tcBorders>
            <w:shd w:val="clear" w:color="auto" w:fill="auto"/>
            <w:noWrap/>
            <w:hideMark/>
          </w:tcPr>
          <w:p w14:paraId="5EE293B1"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276" w:type="dxa"/>
            <w:tcBorders>
              <w:left w:val="nil"/>
              <w:right w:val="nil"/>
            </w:tcBorders>
            <w:shd w:val="clear" w:color="auto" w:fill="auto"/>
            <w:noWrap/>
            <w:hideMark/>
          </w:tcPr>
          <w:p w14:paraId="3548E81C"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48FD48D9"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074DD587"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3A031885"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Beliefs about consequences</w:t>
            </w:r>
          </w:p>
        </w:tc>
        <w:tc>
          <w:tcPr>
            <w:tcW w:w="1276" w:type="dxa"/>
            <w:tcBorders>
              <w:left w:val="nil"/>
              <w:right w:val="nil"/>
            </w:tcBorders>
            <w:shd w:val="clear" w:color="auto" w:fill="auto"/>
            <w:noWrap/>
            <w:hideMark/>
          </w:tcPr>
          <w:p w14:paraId="23D08973"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276" w:type="dxa"/>
            <w:tcBorders>
              <w:left w:val="nil"/>
              <w:right w:val="nil"/>
            </w:tcBorders>
            <w:shd w:val="clear" w:color="auto" w:fill="auto"/>
            <w:noWrap/>
            <w:hideMark/>
          </w:tcPr>
          <w:p w14:paraId="1235C02B"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4</w:t>
            </w:r>
          </w:p>
        </w:tc>
        <w:tc>
          <w:tcPr>
            <w:tcW w:w="1316" w:type="dxa"/>
            <w:tcBorders>
              <w:left w:val="nil"/>
              <w:right w:val="nil"/>
            </w:tcBorders>
            <w:shd w:val="clear" w:color="auto" w:fill="auto"/>
            <w:noWrap/>
            <w:hideMark/>
          </w:tcPr>
          <w:p w14:paraId="3319FEB9"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13374C63" w14:textId="77777777" w:rsidTr="0052052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noWrap/>
            <w:hideMark/>
          </w:tcPr>
          <w:p w14:paraId="5005591C"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professional role and identity</w:t>
            </w:r>
          </w:p>
        </w:tc>
        <w:tc>
          <w:tcPr>
            <w:tcW w:w="1276" w:type="dxa"/>
            <w:tcBorders>
              <w:left w:val="nil"/>
              <w:right w:val="nil"/>
            </w:tcBorders>
            <w:shd w:val="clear" w:color="auto" w:fill="auto"/>
            <w:noWrap/>
            <w:hideMark/>
          </w:tcPr>
          <w:p w14:paraId="7838626E"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276" w:type="dxa"/>
            <w:tcBorders>
              <w:left w:val="nil"/>
              <w:right w:val="nil"/>
            </w:tcBorders>
            <w:shd w:val="clear" w:color="auto" w:fill="auto"/>
            <w:noWrap/>
            <w:hideMark/>
          </w:tcPr>
          <w:p w14:paraId="26251F4E"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316" w:type="dxa"/>
            <w:tcBorders>
              <w:left w:val="nil"/>
              <w:right w:val="nil"/>
            </w:tcBorders>
            <w:shd w:val="clear" w:color="auto" w:fill="auto"/>
            <w:noWrap/>
            <w:hideMark/>
          </w:tcPr>
          <w:p w14:paraId="792ECB39"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7C5F1D9F"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4B7A1D0C"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Optimism</w:t>
            </w:r>
          </w:p>
        </w:tc>
        <w:tc>
          <w:tcPr>
            <w:tcW w:w="1276" w:type="dxa"/>
            <w:tcBorders>
              <w:left w:val="nil"/>
              <w:right w:val="nil"/>
            </w:tcBorders>
            <w:shd w:val="clear" w:color="auto" w:fill="auto"/>
            <w:noWrap/>
            <w:hideMark/>
          </w:tcPr>
          <w:p w14:paraId="26B94036"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2</w:t>
            </w:r>
          </w:p>
        </w:tc>
        <w:tc>
          <w:tcPr>
            <w:tcW w:w="1276" w:type="dxa"/>
            <w:tcBorders>
              <w:left w:val="nil"/>
              <w:right w:val="nil"/>
            </w:tcBorders>
            <w:shd w:val="clear" w:color="auto" w:fill="auto"/>
            <w:noWrap/>
            <w:hideMark/>
          </w:tcPr>
          <w:p w14:paraId="2BE10BD8"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73902818"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6FD04EED" w14:textId="77777777" w:rsidTr="0052052E">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vAlign w:val="bottom"/>
          </w:tcPr>
          <w:p w14:paraId="6800552B" w14:textId="77777777" w:rsidR="00C63ACE" w:rsidRPr="006D6CA9" w:rsidRDefault="00C63ACE" w:rsidP="0052052E">
            <w:pPr>
              <w:spacing w:before="120" w:line="276" w:lineRule="auto"/>
              <w:jc w:val="left"/>
              <w:rPr>
                <w:rFonts w:ascii="Arial" w:hAnsi="Arial" w:cs="Arial"/>
                <w:bCs w:val="0"/>
                <w:color w:val="0D0D0D" w:themeColor="text1" w:themeTint="F2"/>
                <w:sz w:val="16"/>
                <w:szCs w:val="16"/>
              </w:rPr>
            </w:pPr>
            <w:r w:rsidRPr="006D6CA9">
              <w:rPr>
                <w:rFonts w:ascii="Arial" w:hAnsi="Arial" w:cs="Arial"/>
                <w:bCs w:val="0"/>
                <w:color w:val="0D0D0D" w:themeColor="text1" w:themeTint="F2"/>
                <w:sz w:val="16"/>
                <w:szCs w:val="16"/>
              </w:rPr>
              <w:t>Patient attend repeat NHS Health Check (n=1)</w:t>
            </w:r>
          </w:p>
        </w:tc>
      </w:tr>
      <w:tr w:rsidR="00C63ACE" w:rsidRPr="006D6CA9" w14:paraId="0E4E5F5C" w14:textId="77777777" w:rsidTr="0052052E">
        <w:trPr>
          <w:trHeight w:val="416"/>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2570C10D"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Intentions</w:t>
            </w:r>
          </w:p>
        </w:tc>
        <w:tc>
          <w:tcPr>
            <w:tcW w:w="1276" w:type="dxa"/>
            <w:tcBorders>
              <w:left w:val="nil"/>
              <w:right w:val="nil"/>
            </w:tcBorders>
            <w:shd w:val="clear" w:color="auto" w:fill="auto"/>
            <w:noWrap/>
            <w:hideMark/>
          </w:tcPr>
          <w:p w14:paraId="71AAD960"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426226EB"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4A7BE6B4"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n</w:t>
            </w:r>
          </w:p>
        </w:tc>
      </w:tr>
      <w:tr w:rsidR="00C63ACE" w:rsidRPr="006D6CA9" w14:paraId="6ED864AE" w14:textId="77777777" w:rsidTr="0052052E">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7553" w:type="dxa"/>
            <w:gridSpan w:val="4"/>
            <w:tcBorders>
              <w:left w:val="nil"/>
              <w:right w:val="nil"/>
            </w:tcBorders>
            <w:shd w:val="clear" w:color="auto" w:fill="auto"/>
          </w:tcPr>
          <w:p w14:paraId="6FAD0956" w14:textId="77777777" w:rsidR="00C63ACE" w:rsidRPr="006D6CA9" w:rsidRDefault="00C63ACE" w:rsidP="0052052E">
            <w:pPr>
              <w:spacing w:before="120" w:line="276" w:lineRule="auto"/>
              <w:jc w:val="left"/>
              <w:rPr>
                <w:rFonts w:ascii="Arial" w:hAnsi="Arial" w:cs="Arial"/>
                <w:b w:val="0"/>
                <w:bCs w:val="0"/>
                <w:color w:val="0D0D0D" w:themeColor="text1" w:themeTint="F2"/>
                <w:sz w:val="16"/>
                <w:szCs w:val="16"/>
              </w:rPr>
            </w:pPr>
          </w:p>
          <w:p w14:paraId="5C4C1BEE" w14:textId="77777777" w:rsidR="00C63ACE" w:rsidRPr="006D6CA9" w:rsidRDefault="00C63ACE" w:rsidP="0052052E">
            <w:pPr>
              <w:spacing w:before="120" w:line="276" w:lineRule="auto"/>
              <w:jc w:val="left"/>
              <w:rPr>
                <w:rFonts w:ascii="Arial" w:hAnsi="Arial" w:cs="Arial"/>
                <w:b w:val="0"/>
                <w:bCs w:val="0"/>
                <w:color w:val="0D0D0D" w:themeColor="text1" w:themeTint="F2"/>
                <w:sz w:val="16"/>
                <w:szCs w:val="16"/>
              </w:rPr>
            </w:pPr>
            <w:r w:rsidRPr="006D6CA9">
              <w:rPr>
                <w:rFonts w:ascii="Arial" w:hAnsi="Arial" w:cs="Arial"/>
                <w:color w:val="0D0D0D" w:themeColor="text1" w:themeTint="F2"/>
                <w:sz w:val="16"/>
                <w:szCs w:val="16"/>
              </w:rPr>
              <w:t>HCP record programme data (n=</w:t>
            </w:r>
            <w:r>
              <w:rPr>
                <w:rFonts w:ascii="Arial" w:hAnsi="Arial" w:cs="Arial"/>
                <w:color w:val="0D0D0D" w:themeColor="text1" w:themeTint="F2"/>
                <w:sz w:val="16"/>
                <w:szCs w:val="16"/>
              </w:rPr>
              <w:t>2</w:t>
            </w:r>
            <w:r w:rsidRPr="006D6CA9">
              <w:rPr>
                <w:rFonts w:ascii="Arial" w:hAnsi="Arial" w:cs="Arial"/>
                <w:color w:val="0D0D0D" w:themeColor="text1" w:themeTint="F2"/>
                <w:sz w:val="16"/>
                <w:szCs w:val="16"/>
              </w:rPr>
              <w:t>)</w:t>
            </w:r>
          </w:p>
        </w:tc>
      </w:tr>
      <w:tr w:rsidR="00C63ACE" w:rsidRPr="006D6CA9" w14:paraId="15AF4BE2"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7E9B64A3"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Environmental context and resources</w:t>
            </w:r>
          </w:p>
        </w:tc>
        <w:tc>
          <w:tcPr>
            <w:tcW w:w="1276" w:type="dxa"/>
            <w:tcBorders>
              <w:left w:val="nil"/>
              <w:right w:val="nil"/>
            </w:tcBorders>
            <w:shd w:val="clear" w:color="auto" w:fill="auto"/>
            <w:noWrap/>
            <w:hideMark/>
          </w:tcPr>
          <w:p w14:paraId="2A70C41E"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432072F6"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3</w:t>
            </w:r>
          </w:p>
        </w:tc>
        <w:tc>
          <w:tcPr>
            <w:tcW w:w="1316" w:type="dxa"/>
            <w:tcBorders>
              <w:left w:val="nil"/>
              <w:right w:val="nil"/>
            </w:tcBorders>
            <w:shd w:val="clear" w:color="auto" w:fill="auto"/>
            <w:noWrap/>
            <w:hideMark/>
          </w:tcPr>
          <w:p w14:paraId="4EE72CD2"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Pr>
                <w:rFonts w:ascii="Arial" w:hAnsi="Arial" w:cs="Arial"/>
                <w:color w:val="0D0D0D" w:themeColor="text1" w:themeTint="F2"/>
                <w:sz w:val="16"/>
                <w:szCs w:val="16"/>
              </w:rPr>
              <w:t>y*</w:t>
            </w:r>
          </w:p>
        </w:tc>
      </w:tr>
      <w:tr w:rsidR="00C63ACE" w:rsidRPr="006D6CA9" w14:paraId="2F317A94" w14:textId="77777777" w:rsidTr="0052052E">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3685" w:type="dxa"/>
            <w:tcBorders>
              <w:left w:val="nil"/>
              <w:right w:val="nil"/>
            </w:tcBorders>
            <w:shd w:val="clear" w:color="auto" w:fill="auto"/>
            <w:hideMark/>
          </w:tcPr>
          <w:p w14:paraId="00FEDD8B"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Behavioural regulation</w:t>
            </w:r>
          </w:p>
        </w:tc>
        <w:tc>
          <w:tcPr>
            <w:tcW w:w="1276" w:type="dxa"/>
            <w:tcBorders>
              <w:left w:val="nil"/>
              <w:right w:val="nil"/>
            </w:tcBorders>
            <w:shd w:val="clear" w:color="auto" w:fill="auto"/>
            <w:noWrap/>
            <w:hideMark/>
          </w:tcPr>
          <w:p w14:paraId="4C85D910"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right w:val="nil"/>
            </w:tcBorders>
            <w:shd w:val="clear" w:color="auto" w:fill="auto"/>
            <w:noWrap/>
            <w:hideMark/>
          </w:tcPr>
          <w:p w14:paraId="45E5242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right w:val="nil"/>
            </w:tcBorders>
            <w:shd w:val="clear" w:color="auto" w:fill="auto"/>
            <w:noWrap/>
            <w:hideMark/>
          </w:tcPr>
          <w:p w14:paraId="02A92D0A" w14:textId="77777777" w:rsidR="00C63ACE" w:rsidRPr="006D6CA9" w:rsidRDefault="00C63ACE" w:rsidP="0052052E">
            <w:pPr>
              <w:spacing w:before="12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r w:rsidR="00C63ACE" w:rsidRPr="006D6CA9" w14:paraId="0F324112" w14:textId="77777777" w:rsidTr="0052052E">
        <w:trPr>
          <w:trHeight w:val="340"/>
        </w:trPr>
        <w:tc>
          <w:tcPr>
            <w:cnfStyle w:val="001000000000" w:firstRow="0" w:lastRow="0" w:firstColumn="1" w:lastColumn="0" w:oddVBand="0" w:evenVBand="0" w:oddHBand="0" w:evenHBand="0" w:firstRowFirstColumn="0" w:firstRowLastColumn="0" w:lastRowFirstColumn="0" w:lastRowLastColumn="0"/>
            <w:tcW w:w="3685" w:type="dxa"/>
            <w:tcBorders>
              <w:left w:val="nil"/>
              <w:bottom w:val="nil"/>
              <w:right w:val="nil"/>
            </w:tcBorders>
            <w:shd w:val="clear" w:color="auto" w:fill="auto"/>
            <w:hideMark/>
          </w:tcPr>
          <w:p w14:paraId="18383E1C" w14:textId="77777777" w:rsidR="00C63ACE" w:rsidRPr="006D6CA9" w:rsidRDefault="00C63ACE" w:rsidP="0052052E">
            <w:pPr>
              <w:spacing w:before="120" w:line="276" w:lineRule="auto"/>
              <w:rPr>
                <w:rFonts w:ascii="Arial" w:hAnsi="Arial" w:cs="Arial"/>
                <w:b w:val="0"/>
                <w:color w:val="0D0D0D" w:themeColor="text1" w:themeTint="F2"/>
                <w:sz w:val="16"/>
                <w:szCs w:val="16"/>
              </w:rPr>
            </w:pPr>
            <w:r w:rsidRPr="006D6CA9">
              <w:rPr>
                <w:rFonts w:ascii="Arial" w:hAnsi="Arial" w:cs="Arial"/>
                <w:b w:val="0"/>
                <w:color w:val="0D0D0D" w:themeColor="text1" w:themeTint="F2"/>
                <w:sz w:val="16"/>
                <w:szCs w:val="16"/>
              </w:rPr>
              <w:t>Social professional role and identity</w:t>
            </w:r>
          </w:p>
        </w:tc>
        <w:tc>
          <w:tcPr>
            <w:tcW w:w="1276" w:type="dxa"/>
            <w:tcBorders>
              <w:left w:val="nil"/>
              <w:bottom w:val="nil"/>
              <w:right w:val="nil"/>
            </w:tcBorders>
            <w:shd w:val="clear" w:color="auto" w:fill="auto"/>
            <w:noWrap/>
            <w:hideMark/>
          </w:tcPr>
          <w:p w14:paraId="40B38772"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276" w:type="dxa"/>
            <w:tcBorders>
              <w:left w:val="nil"/>
              <w:bottom w:val="nil"/>
              <w:right w:val="nil"/>
            </w:tcBorders>
            <w:shd w:val="clear" w:color="auto" w:fill="auto"/>
            <w:noWrap/>
            <w:hideMark/>
          </w:tcPr>
          <w:p w14:paraId="426000FF"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1</w:t>
            </w:r>
          </w:p>
        </w:tc>
        <w:tc>
          <w:tcPr>
            <w:tcW w:w="1316" w:type="dxa"/>
            <w:tcBorders>
              <w:left w:val="nil"/>
              <w:bottom w:val="nil"/>
              <w:right w:val="nil"/>
            </w:tcBorders>
            <w:shd w:val="clear" w:color="auto" w:fill="auto"/>
            <w:noWrap/>
            <w:hideMark/>
          </w:tcPr>
          <w:p w14:paraId="781315A5" w14:textId="77777777" w:rsidR="00C63ACE" w:rsidRPr="006D6CA9" w:rsidRDefault="00C63ACE" w:rsidP="0052052E">
            <w:pPr>
              <w:spacing w:before="12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D0D0D" w:themeColor="text1" w:themeTint="F2"/>
                <w:sz w:val="16"/>
                <w:szCs w:val="16"/>
              </w:rPr>
            </w:pPr>
            <w:r w:rsidRPr="006D6CA9">
              <w:rPr>
                <w:rFonts w:ascii="Arial" w:hAnsi="Arial" w:cs="Arial"/>
                <w:color w:val="0D0D0D" w:themeColor="text1" w:themeTint="F2"/>
                <w:sz w:val="16"/>
                <w:szCs w:val="16"/>
              </w:rPr>
              <w:t>y</w:t>
            </w:r>
          </w:p>
        </w:tc>
      </w:tr>
    </w:tbl>
    <w:p w14:paraId="15F71932" w14:textId="77777777" w:rsidR="00C63ACE" w:rsidRDefault="00C63ACE" w:rsidP="00C63ACE">
      <w:pPr>
        <w:spacing w:before="120" w:line="480" w:lineRule="auto"/>
        <w:rPr>
          <w:rFonts w:ascii="Arial" w:hAnsi="Arial" w:cs="Arial"/>
          <w:b/>
          <w:bCs/>
          <w:sz w:val="20"/>
          <w:szCs w:val="20"/>
        </w:rPr>
      </w:pPr>
    </w:p>
    <w:p w14:paraId="438E5BD8" w14:textId="77777777" w:rsidR="00C63ACE" w:rsidRPr="00E8358F" w:rsidRDefault="00C63ACE" w:rsidP="00C63ACE">
      <w:pPr>
        <w:spacing w:before="120" w:line="240" w:lineRule="auto"/>
        <w:jc w:val="left"/>
        <w:rPr>
          <w:rFonts w:ascii="Arial" w:hAnsi="Arial" w:cs="Arial"/>
          <w:sz w:val="16"/>
          <w:szCs w:val="16"/>
        </w:rPr>
        <w:sectPr w:rsidR="00C63ACE" w:rsidRPr="00E8358F" w:rsidSect="00971DB7">
          <w:pgSz w:w="11906" w:h="16838"/>
          <w:pgMar w:top="1440" w:right="1440" w:bottom="1440" w:left="1440" w:header="709" w:footer="709" w:gutter="0"/>
          <w:cols w:space="708"/>
          <w:rtlGutter/>
          <w:docGrid w:linePitch="360"/>
        </w:sectPr>
      </w:pPr>
      <w:r w:rsidRPr="00E8358F">
        <w:rPr>
          <w:rFonts w:ascii="Arial" w:hAnsi="Arial" w:cs="Arial"/>
          <w:sz w:val="16"/>
          <w:szCs w:val="16"/>
        </w:rPr>
        <w:t xml:space="preserve">*This is a summary of </w:t>
      </w:r>
      <w:r w:rsidRPr="00FF4D72">
        <w:rPr>
          <w:rFonts w:ascii="Arial" w:hAnsi="Arial" w:cs="Arial"/>
          <w:i/>
          <w:iCs/>
          <w:sz w:val="16"/>
          <w:szCs w:val="16"/>
        </w:rPr>
        <w:t>all</w:t>
      </w:r>
      <w:r w:rsidRPr="00E8358F">
        <w:rPr>
          <w:rFonts w:ascii="Arial" w:hAnsi="Arial" w:cs="Arial"/>
          <w:sz w:val="16"/>
          <w:szCs w:val="16"/>
        </w:rPr>
        <w:t xml:space="preserve"> themes and </w:t>
      </w:r>
      <w:r>
        <w:rPr>
          <w:rFonts w:ascii="Arial" w:hAnsi="Arial" w:cs="Arial"/>
          <w:sz w:val="16"/>
          <w:szCs w:val="16"/>
        </w:rPr>
        <w:t xml:space="preserve">domain coding for barriers and facilitators may differ to Table 4 which are colour coded according to domains and or themes within domains identified as </w:t>
      </w:r>
      <w:r w:rsidRPr="00FF4D72">
        <w:rPr>
          <w:rFonts w:ascii="Arial" w:hAnsi="Arial" w:cs="Arial"/>
          <w:i/>
          <w:iCs/>
          <w:sz w:val="16"/>
          <w:szCs w:val="16"/>
        </w:rPr>
        <w:t>key</w:t>
      </w:r>
      <w:r>
        <w:rPr>
          <w:rFonts w:ascii="Arial" w:hAnsi="Arial" w:cs="Arial"/>
          <w:sz w:val="16"/>
          <w:szCs w:val="16"/>
        </w:rPr>
        <w:t>. For example, Environmental context and resources was identified as a domain relevant HCP recording programme data and contained three themes (a mixture of barriers and facilitators). However, the theme identified as key was a barrier and is presented as such in Table 4.</w:t>
      </w:r>
    </w:p>
    <w:p w14:paraId="47664EA7" w14:textId="77777777" w:rsidR="00C63ACE" w:rsidRDefault="00C63ACE" w:rsidP="00C63ACE">
      <w:pPr>
        <w:spacing w:before="120" w:line="480" w:lineRule="auto"/>
        <w:rPr>
          <w:rFonts w:ascii="Arial" w:hAnsi="Arial" w:cs="Arial"/>
          <w:b/>
          <w:bCs/>
          <w:sz w:val="16"/>
          <w:szCs w:val="16"/>
        </w:rPr>
      </w:pPr>
      <w:r w:rsidRPr="00CD7ED6">
        <w:rPr>
          <w:rFonts w:ascii="Arial" w:hAnsi="Arial" w:cs="Arial"/>
          <w:b/>
          <w:bCs/>
          <w:sz w:val="16"/>
          <w:szCs w:val="16"/>
        </w:rPr>
        <w:lastRenderedPageBreak/>
        <w:t>Table 4. Classification of TDF domains</w:t>
      </w:r>
      <w:r>
        <w:rPr>
          <w:rFonts w:ascii="Arial" w:hAnsi="Arial" w:cs="Arial"/>
          <w:b/>
          <w:bCs/>
          <w:sz w:val="16"/>
          <w:szCs w:val="16"/>
        </w:rPr>
        <w:t xml:space="preserve"> (all themes)</w:t>
      </w:r>
      <w:r w:rsidRPr="00CD7ED6">
        <w:rPr>
          <w:rFonts w:ascii="Arial" w:hAnsi="Arial" w:cs="Arial"/>
          <w:b/>
          <w:bCs/>
          <w:sz w:val="16"/>
          <w:szCs w:val="16"/>
        </w:rPr>
        <w:t xml:space="preserve"> as </w:t>
      </w:r>
      <w:r w:rsidRPr="00CD7ED6">
        <w:rPr>
          <w:rFonts w:ascii="Arial" w:hAnsi="Arial" w:cs="Arial"/>
          <w:b/>
          <w:bCs/>
          <w:color w:val="FF0000"/>
          <w:sz w:val="16"/>
          <w:szCs w:val="16"/>
        </w:rPr>
        <w:t>Barriers</w:t>
      </w:r>
      <w:r w:rsidRPr="00CD7ED6">
        <w:rPr>
          <w:rFonts w:ascii="Arial" w:hAnsi="Arial" w:cs="Arial"/>
          <w:b/>
          <w:bCs/>
          <w:sz w:val="16"/>
          <w:szCs w:val="16"/>
        </w:rPr>
        <w:t xml:space="preserve">, </w:t>
      </w:r>
      <w:r w:rsidRPr="00CD7ED6">
        <w:rPr>
          <w:rFonts w:ascii="Arial" w:hAnsi="Arial" w:cs="Arial"/>
          <w:b/>
          <w:bCs/>
          <w:color w:val="00B050"/>
          <w:sz w:val="16"/>
          <w:szCs w:val="16"/>
        </w:rPr>
        <w:t>Facilitators</w:t>
      </w:r>
      <w:r w:rsidRPr="00CD7ED6">
        <w:rPr>
          <w:rFonts w:ascii="Arial" w:hAnsi="Arial" w:cs="Arial"/>
          <w:b/>
          <w:bCs/>
          <w:sz w:val="16"/>
          <w:szCs w:val="16"/>
        </w:rPr>
        <w:t xml:space="preserve">, or </w:t>
      </w:r>
      <w:r w:rsidRPr="00CD7ED6">
        <w:rPr>
          <w:rFonts w:ascii="Arial" w:hAnsi="Arial" w:cs="Arial"/>
          <w:b/>
          <w:bCs/>
          <w:color w:val="0070C0"/>
          <w:sz w:val="16"/>
          <w:szCs w:val="16"/>
        </w:rPr>
        <w:t>Both</w:t>
      </w:r>
      <w:r w:rsidRPr="00CD7ED6">
        <w:rPr>
          <w:rFonts w:ascii="Arial" w:hAnsi="Arial" w:cs="Arial"/>
          <w:b/>
          <w:bCs/>
          <w:sz w:val="16"/>
          <w:szCs w:val="16"/>
        </w:rPr>
        <w:t xml:space="preserve"> across behaviours</w:t>
      </w:r>
    </w:p>
    <w:p w14:paraId="3AE426B3" w14:textId="77777777" w:rsidR="00C63ACE" w:rsidRPr="00423974" w:rsidRDefault="00C63ACE" w:rsidP="00C63ACE">
      <w:pPr>
        <w:spacing w:before="120" w:line="480" w:lineRule="auto"/>
        <w:rPr>
          <w:rFonts w:ascii="Arial" w:hAnsi="Arial" w:cs="Arial"/>
          <w:b/>
          <w:bCs/>
          <w:sz w:val="16"/>
          <w:szCs w:val="16"/>
        </w:rPr>
      </w:pPr>
      <w:r w:rsidRPr="00F83529">
        <w:rPr>
          <w:rFonts w:ascii="Arial" w:hAnsi="Arial" w:cs="Arial"/>
          <w:b/>
          <w:bCs/>
          <w:noProof/>
          <w:sz w:val="16"/>
          <w:szCs w:val="16"/>
          <w:lang w:eastAsia="en-GB"/>
        </w:rPr>
        <w:drawing>
          <wp:inline distT="0" distB="0" distL="0" distR="0" wp14:anchorId="72494BB7" wp14:editId="00EAA7DE">
            <wp:extent cx="8849995" cy="4057650"/>
            <wp:effectExtent l="0" t="0" r="1905"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849995" cy="4057650"/>
                    </a:xfrm>
                    <a:prstGeom prst="rect">
                      <a:avLst/>
                    </a:prstGeom>
                  </pic:spPr>
                </pic:pic>
              </a:graphicData>
            </a:graphic>
          </wp:inline>
        </w:drawing>
      </w:r>
      <w:r w:rsidRPr="0045127C">
        <w:rPr>
          <w:rFonts w:ascii="Arial" w:hAnsi="Arial" w:cs="Arial"/>
          <w:b/>
          <w:bCs/>
          <w:noProof/>
          <w:sz w:val="16"/>
          <w:szCs w:val="16"/>
        </w:rPr>
        <w:t xml:space="preserve"> </w:t>
      </w:r>
    </w:p>
    <w:p w14:paraId="5DAD662F" w14:textId="77777777" w:rsidR="00C63ACE" w:rsidRPr="00CD7ED6" w:rsidRDefault="00C63ACE" w:rsidP="00C63ACE">
      <w:pPr>
        <w:spacing w:line="240" w:lineRule="auto"/>
        <w:rPr>
          <w:rFonts w:ascii="Arial" w:hAnsi="Arial" w:cs="Arial"/>
          <w:sz w:val="16"/>
          <w:szCs w:val="16"/>
        </w:rPr>
      </w:pPr>
      <w:r w:rsidRPr="00CD7ED6">
        <w:rPr>
          <w:rFonts w:ascii="Arial" w:hAnsi="Arial" w:cs="Arial"/>
          <w:sz w:val="16"/>
          <w:szCs w:val="16"/>
        </w:rPr>
        <w:t xml:space="preserve">* </w:t>
      </w:r>
      <w:r>
        <w:rPr>
          <w:rFonts w:ascii="Arial" w:hAnsi="Arial" w:cs="Arial"/>
          <w:sz w:val="16"/>
          <w:szCs w:val="16"/>
        </w:rPr>
        <w:t>P</w:t>
      </w:r>
      <w:r w:rsidRPr="00CD7ED6">
        <w:rPr>
          <w:rFonts w:ascii="Arial" w:hAnsi="Arial" w:cs="Arial"/>
          <w:sz w:val="16"/>
          <w:szCs w:val="16"/>
        </w:rPr>
        <w:t>atient behaviour</w:t>
      </w:r>
    </w:p>
    <w:p w14:paraId="60360C03" w14:textId="77777777" w:rsidR="00C63ACE" w:rsidRDefault="00C63ACE" w:rsidP="00C63ACE">
      <w:pPr>
        <w:spacing w:line="240" w:lineRule="auto"/>
        <w:rPr>
          <w:rFonts w:ascii="Arial" w:hAnsi="Arial" w:cs="Arial"/>
          <w:sz w:val="16"/>
          <w:szCs w:val="16"/>
        </w:rPr>
      </w:pPr>
      <w:r w:rsidRPr="00CD7ED6">
        <w:rPr>
          <w:rFonts w:ascii="Arial" w:hAnsi="Arial" w:cs="Arial"/>
          <w:sz w:val="16"/>
          <w:szCs w:val="16"/>
        </w:rPr>
        <w:t>**</w:t>
      </w:r>
      <w:r>
        <w:rPr>
          <w:rFonts w:ascii="Arial" w:hAnsi="Arial" w:cs="Arial"/>
          <w:sz w:val="16"/>
          <w:szCs w:val="16"/>
        </w:rPr>
        <w:t xml:space="preserve"> </w:t>
      </w:r>
      <w:r w:rsidRPr="00CD7ED6">
        <w:rPr>
          <w:rFonts w:ascii="Arial" w:hAnsi="Arial" w:cs="Arial"/>
          <w:sz w:val="16"/>
          <w:szCs w:val="16"/>
        </w:rPr>
        <w:t>HCP behaviour</w:t>
      </w:r>
    </w:p>
    <w:p w14:paraId="1477C15C" w14:textId="77777777" w:rsidR="00C63ACE" w:rsidRPr="00CD7ED6" w:rsidRDefault="00C63ACE" w:rsidP="00C63ACE">
      <w:pPr>
        <w:spacing w:line="240" w:lineRule="auto"/>
        <w:rPr>
          <w:rFonts w:ascii="Arial" w:hAnsi="Arial" w:cs="Arial"/>
          <w:sz w:val="16"/>
          <w:szCs w:val="16"/>
        </w:rPr>
      </w:pPr>
      <w:r>
        <w:rPr>
          <w:rFonts w:ascii="Arial" w:hAnsi="Arial" w:cs="Arial"/>
          <w:sz w:val="16"/>
          <w:szCs w:val="16"/>
        </w:rPr>
        <w:t>X Key theme</w:t>
      </w:r>
    </w:p>
    <w:p w14:paraId="514199F9" w14:textId="77777777" w:rsidR="00C63ACE" w:rsidRPr="00CD7ED6" w:rsidRDefault="00C63ACE" w:rsidP="00C63ACE">
      <w:pPr>
        <w:spacing w:line="240" w:lineRule="auto"/>
        <w:rPr>
          <w:rFonts w:ascii="Arial" w:hAnsi="Arial" w:cs="Arial"/>
          <w:color w:val="FF0000"/>
          <w:sz w:val="16"/>
          <w:szCs w:val="16"/>
        </w:rPr>
      </w:pPr>
      <w:r w:rsidRPr="00CD7ED6">
        <w:rPr>
          <w:rFonts w:ascii="Arial" w:hAnsi="Arial" w:cs="Arial"/>
          <w:color w:val="FF0000"/>
          <w:sz w:val="16"/>
          <w:szCs w:val="16"/>
        </w:rPr>
        <w:t>Red cell = Barrier (all themes within the domain are barriers)</w:t>
      </w:r>
    </w:p>
    <w:p w14:paraId="5CBCBE19" w14:textId="77777777" w:rsidR="00C63ACE" w:rsidRPr="00CD7ED6" w:rsidRDefault="00C63ACE" w:rsidP="00C63ACE">
      <w:pPr>
        <w:spacing w:line="240" w:lineRule="auto"/>
        <w:rPr>
          <w:rFonts w:ascii="Arial" w:hAnsi="Arial" w:cs="Arial"/>
          <w:color w:val="00B050"/>
          <w:sz w:val="16"/>
          <w:szCs w:val="16"/>
        </w:rPr>
      </w:pPr>
      <w:r w:rsidRPr="00CD7ED6">
        <w:rPr>
          <w:rFonts w:ascii="Arial" w:hAnsi="Arial" w:cs="Arial"/>
          <w:color w:val="00B050"/>
          <w:sz w:val="16"/>
          <w:szCs w:val="16"/>
        </w:rPr>
        <w:t>Green cell = Facilitator (all themes within the domain are facilitators)</w:t>
      </w:r>
    </w:p>
    <w:p w14:paraId="4FD59A5A" w14:textId="77777777" w:rsidR="00C63ACE" w:rsidRPr="00CD7ED6" w:rsidRDefault="00C63ACE" w:rsidP="00C63ACE">
      <w:pPr>
        <w:spacing w:line="240" w:lineRule="auto"/>
        <w:rPr>
          <w:rFonts w:ascii="Arial" w:hAnsi="Arial" w:cs="Arial"/>
          <w:color w:val="0070C0"/>
          <w:sz w:val="16"/>
          <w:szCs w:val="16"/>
        </w:rPr>
      </w:pPr>
      <w:r w:rsidRPr="00CD7ED6">
        <w:rPr>
          <w:rFonts w:ascii="Arial" w:hAnsi="Arial" w:cs="Arial"/>
          <w:color w:val="0070C0"/>
          <w:sz w:val="16"/>
          <w:szCs w:val="16"/>
        </w:rPr>
        <w:t>Blue cell = Both (themes within the domain are a mixture of barriers and facilitator)</w:t>
      </w:r>
    </w:p>
    <w:p w14:paraId="508F3D4B" w14:textId="77777777" w:rsidR="00C63ACE" w:rsidRPr="00CD7ED6" w:rsidRDefault="00C63ACE" w:rsidP="00C63ACE">
      <w:pPr>
        <w:spacing w:line="240" w:lineRule="auto"/>
        <w:rPr>
          <w:rFonts w:ascii="Arial" w:hAnsi="Arial" w:cs="Arial"/>
          <w:color w:val="000000" w:themeColor="text1"/>
          <w:sz w:val="16"/>
          <w:szCs w:val="16"/>
        </w:rPr>
        <w:sectPr w:rsidR="00C63ACE" w:rsidRPr="00CD7ED6" w:rsidSect="00101FB3">
          <w:pgSz w:w="16817" w:h="11901" w:orient="landscape"/>
          <w:pgMar w:top="1440" w:right="1440" w:bottom="1440" w:left="1440" w:header="709" w:footer="709" w:gutter="0"/>
          <w:cols w:space="708"/>
          <w:docGrid w:linePitch="360"/>
        </w:sectPr>
      </w:pPr>
      <w:r w:rsidRPr="00CD7ED6">
        <w:rPr>
          <w:rFonts w:ascii="Arial" w:hAnsi="Arial" w:cs="Arial"/>
          <w:color w:val="000000" w:themeColor="text1"/>
          <w:sz w:val="16"/>
          <w:szCs w:val="16"/>
        </w:rPr>
        <w:t>White cells = TDF domain not linked to behaviour</w:t>
      </w:r>
    </w:p>
    <w:p w14:paraId="222F54D8" w14:textId="77777777" w:rsidR="00C63ACE" w:rsidRDefault="00C63ACE" w:rsidP="00C63ACE">
      <w:pPr>
        <w:spacing w:before="120" w:after="120" w:line="480" w:lineRule="auto"/>
        <w:rPr>
          <w:rFonts w:ascii="Arial" w:hAnsi="Arial" w:cs="Arial"/>
          <w:b/>
          <w:sz w:val="16"/>
          <w:szCs w:val="16"/>
        </w:rPr>
      </w:pPr>
    </w:p>
    <w:p w14:paraId="0CD699D8" w14:textId="77777777" w:rsidR="00C63ACE" w:rsidRDefault="00C63ACE" w:rsidP="00C63ACE">
      <w:pPr>
        <w:spacing w:before="120" w:after="120" w:line="480" w:lineRule="auto"/>
        <w:rPr>
          <w:rFonts w:ascii="Arial" w:hAnsi="Arial" w:cs="Arial"/>
          <w:b/>
          <w:sz w:val="16"/>
          <w:szCs w:val="16"/>
        </w:rPr>
      </w:pPr>
      <w:r w:rsidRPr="00CD7ED6">
        <w:rPr>
          <w:rFonts w:ascii="Arial" w:hAnsi="Arial" w:cs="Arial"/>
          <w:b/>
          <w:sz w:val="16"/>
          <w:szCs w:val="16"/>
        </w:rPr>
        <w:t>Table 5. Key domains, themes and illustrative quotes</w:t>
      </w:r>
    </w:p>
    <w:tbl>
      <w:tblPr>
        <w:tblStyle w:val="GridTable2-Accent11"/>
        <w:tblW w:w="14034" w:type="dxa"/>
        <w:tblLook w:val="0420" w:firstRow="1" w:lastRow="0" w:firstColumn="0" w:lastColumn="0" w:noHBand="0" w:noVBand="1"/>
      </w:tblPr>
      <w:tblGrid>
        <w:gridCol w:w="3255"/>
        <w:gridCol w:w="2616"/>
        <w:gridCol w:w="8163"/>
      </w:tblGrid>
      <w:tr w:rsidR="00C63ACE" w:rsidRPr="005A6797" w14:paraId="31C4D675" w14:textId="77777777" w:rsidTr="0052052E">
        <w:trPr>
          <w:cnfStyle w:val="100000000000" w:firstRow="1" w:lastRow="0" w:firstColumn="0" w:lastColumn="0" w:oddVBand="0" w:evenVBand="0" w:oddHBand="0" w:evenHBand="0" w:firstRowFirstColumn="0" w:firstRowLastColumn="0" w:lastRowFirstColumn="0" w:lastRowLastColumn="0"/>
          <w:trHeight w:val="15"/>
          <w:tblHeader/>
        </w:trPr>
        <w:tc>
          <w:tcPr>
            <w:tcW w:w="3255" w:type="dxa"/>
            <w:shd w:val="clear" w:color="auto" w:fill="B4C6E7" w:themeFill="accent1" w:themeFillTint="66"/>
            <w:hideMark/>
          </w:tcPr>
          <w:p w14:paraId="1FD8AFDD" w14:textId="77777777" w:rsidR="00C63ACE" w:rsidRPr="009771E9" w:rsidRDefault="00C63ACE" w:rsidP="0052052E">
            <w:pPr>
              <w:spacing w:before="120" w:after="120" w:line="276" w:lineRule="auto"/>
              <w:jc w:val="left"/>
              <w:rPr>
                <w:rFonts w:ascii="Arial" w:hAnsi="Arial" w:cs="Arial"/>
                <w:b w:val="0"/>
                <w:bCs w:val="0"/>
                <w:sz w:val="16"/>
                <w:szCs w:val="16"/>
                <w:lang w:val="en-US"/>
              </w:rPr>
            </w:pPr>
            <w:r w:rsidRPr="009771E9">
              <w:rPr>
                <w:rFonts w:ascii="Arial" w:hAnsi="Arial" w:cs="Arial"/>
                <w:sz w:val="16"/>
                <w:szCs w:val="16"/>
                <w:lang w:val="en-US"/>
              </w:rPr>
              <w:t>TDF domain (COM-B)</w:t>
            </w:r>
          </w:p>
        </w:tc>
        <w:tc>
          <w:tcPr>
            <w:tcW w:w="2616" w:type="dxa"/>
            <w:shd w:val="clear" w:color="auto" w:fill="B4C6E7" w:themeFill="accent1" w:themeFillTint="66"/>
          </w:tcPr>
          <w:p w14:paraId="56DF7432" w14:textId="77777777" w:rsidR="00C63ACE" w:rsidRPr="009771E9" w:rsidRDefault="00C63ACE" w:rsidP="0052052E">
            <w:pPr>
              <w:spacing w:before="120" w:after="120" w:line="276" w:lineRule="auto"/>
              <w:ind w:left="140" w:right="55" w:firstLine="2"/>
              <w:jc w:val="left"/>
              <w:rPr>
                <w:rFonts w:ascii="Arial" w:hAnsi="Arial" w:cs="Arial"/>
                <w:b w:val="0"/>
                <w:bCs w:val="0"/>
                <w:sz w:val="16"/>
                <w:szCs w:val="16"/>
                <w:lang w:val="en-US"/>
              </w:rPr>
            </w:pPr>
            <w:r w:rsidRPr="009771E9">
              <w:rPr>
                <w:rFonts w:ascii="Arial" w:hAnsi="Arial" w:cs="Arial"/>
                <w:sz w:val="16"/>
                <w:szCs w:val="16"/>
                <w:lang w:val="en-US"/>
              </w:rPr>
              <w:t>Theme</w:t>
            </w:r>
          </w:p>
        </w:tc>
        <w:tc>
          <w:tcPr>
            <w:tcW w:w="8163" w:type="dxa"/>
            <w:shd w:val="clear" w:color="auto" w:fill="B4C6E7" w:themeFill="accent1" w:themeFillTint="66"/>
            <w:hideMark/>
          </w:tcPr>
          <w:p w14:paraId="557983DF"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sz w:val="16"/>
                <w:szCs w:val="16"/>
                <w:lang w:val="en-NZ"/>
              </w:rPr>
              <w:t xml:space="preserve">Illustrative extract </w:t>
            </w:r>
          </w:p>
        </w:tc>
      </w:tr>
      <w:tr w:rsidR="00C63ACE" w:rsidRPr="005A6797" w14:paraId="19FF4843" w14:textId="77777777" w:rsidTr="0052052E">
        <w:trPr>
          <w:cnfStyle w:val="000000100000" w:firstRow="0" w:lastRow="0" w:firstColumn="0" w:lastColumn="0" w:oddVBand="0" w:evenVBand="0" w:oddHBand="1" w:evenHBand="0" w:firstRowFirstColumn="0" w:firstRowLastColumn="0" w:lastRowFirstColumn="0" w:lastRowLastColumn="0"/>
          <w:trHeight w:val="195"/>
        </w:trPr>
        <w:tc>
          <w:tcPr>
            <w:tcW w:w="14034" w:type="dxa"/>
            <w:gridSpan w:val="3"/>
          </w:tcPr>
          <w:p w14:paraId="6764152D" w14:textId="77777777" w:rsidR="00C63ACE" w:rsidRPr="009771E9" w:rsidRDefault="00C63ACE" w:rsidP="0052052E">
            <w:pPr>
              <w:spacing w:before="120" w:after="120" w:line="276" w:lineRule="auto"/>
              <w:jc w:val="left"/>
              <w:rPr>
                <w:rFonts w:ascii="Arial" w:hAnsi="Arial" w:cs="Arial"/>
                <w:b/>
                <w:sz w:val="16"/>
                <w:szCs w:val="16"/>
                <w:lang w:val="en-US"/>
              </w:rPr>
            </w:pPr>
          </w:p>
          <w:p w14:paraId="058D54EA" w14:textId="77777777" w:rsidR="00C63ACE" w:rsidRPr="009771E9" w:rsidRDefault="00C63ACE" w:rsidP="0052052E">
            <w:pPr>
              <w:snapToGrid w:val="0"/>
              <w:spacing w:before="120" w:after="120" w:line="252" w:lineRule="auto"/>
              <w:jc w:val="left"/>
              <w:rPr>
                <w:rFonts w:ascii="Arial" w:hAnsi="Arial" w:cs="Arial"/>
                <w:b/>
                <w:i/>
                <w:sz w:val="16"/>
                <w:szCs w:val="16"/>
                <w:lang w:val="en-US"/>
              </w:rPr>
            </w:pPr>
            <w:r w:rsidRPr="009771E9">
              <w:rPr>
                <w:rFonts w:ascii="Arial" w:hAnsi="Arial" w:cs="Arial"/>
                <w:b/>
                <w:sz w:val="16"/>
                <w:szCs w:val="16"/>
                <w:lang w:val="en-US"/>
              </w:rPr>
              <w:t>Invitation (HCP)</w:t>
            </w:r>
          </w:p>
        </w:tc>
      </w:tr>
      <w:tr w:rsidR="00C63ACE" w:rsidRPr="005A6797" w14:paraId="698B99A4" w14:textId="77777777" w:rsidTr="0052052E">
        <w:trPr>
          <w:trHeight w:val="506"/>
        </w:trPr>
        <w:tc>
          <w:tcPr>
            <w:tcW w:w="3255" w:type="dxa"/>
            <w:tcBorders>
              <w:right w:val="nil"/>
            </w:tcBorders>
            <w:shd w:val="clear" w:color="auto" w:fill="auto"/>
            <w:hideMark/>
          </w:tcPr>
          <w:p w14:paraId="7183EF1B"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sz w:val="16"/>
                <w:szCs w:val="16"/>
                <w:lang w:val="en-US"/>
              </w:rPr>
              <w:t>Environmental context and resources (physical opportunity)</w:t>
            </w:r>
          </w:p>
        </w:tc>
        <w:tc>
          <w:tcPr>
            <w:tcW w:w="2616" w:type="dxa"/>
            <w:tcBorders>
              <w:left w:val="nil"/>
              <w:right w:val="nil"/>
            </w:tcBorders>
            <w:shd w:val="clear" w:color="auto" w:fill="auto"/>
          </w:tcPr>
          <w:p w14:paraId="6D78C48F" w14:textId="77777777" w:rsidR="00C63ACE" w:rsidRPr="009771E9" w:rsidRDefault="00C63ACE" w:rsidP="0052052E">
            <w:pPr>
              <w:spacing w:before="120" w:after="120" w:line="276" w:lineRule="auto"/>
              <w:ind w:left="140" w:right="197" w:firstLine="2"/>
              <w:jc w:val="left"/>
              <w:rPr>
                <w:rFonts w:ascii="Arial" w:hAnsi="Arial" w:cs="Arial"/>
                <w:color w:val="0070C0"/>
                <w:kern w:val="24"/>
                <w:sz w:val="16"/>
                <w:szCs w:val="16"/>
              </w:rPr>
            </w:pPr>
            <w:r w:rsidRPr="000D2049">
              <w:rPr>
                <w:rFonts w:ascii="Arial" w:hAnsi="Arial" w:cs="Arial"/>
                <w:color w:val="FF0000"/>
                <w:kern w:val="24"/>
                <w:sz w:val="16"/>
                <w:szCs w:val="16"/>
              </w:rPr>
              <w:t>Difficulty identifying eligible patients from records</w:t>
            </w:r>
          </w:p>
        </w:tc>
        <w:tc>
          <w:tcPr>
            <w:tcW w:w="8163" w:type="dxa"/>
            <w:tcBorders>
              <w:left w:val="nil"/>
            </w:tcBorders>
            <w:shd w:val="clear" w:color="auto" w:fill="auto"/>
            <w:hideMark/>
          </w:tcPr>
          <w:p w14:paraId="4D199590" w14:textId="77777777" w:rsidR="00C63ACE" w:rsidRPr="004F0B48" w:rsidRDefault="00C63ACE" w:rsidP="0052052E">
            <w:pPr>
              <w:snapToGrid w:val="0"/>
              <w:spacing w:before="120" w:after="120" w:line="252" w:lineRule="auto"/>
              <w:jc w:val="left"/>
              <w:rPr>
                <w:rFonts w:ascii="Arial" w:hAnsi="Arial" w:cs="Arial"/>
                <w:i/>
                <w:color w:val="FF0000"/>
                <w:sz w:val="16"/>
                <w:szCs w:val="16"/>
                <w:lang w:val="en-NZ"/>
              </w:rPr>
            </w:pPr>
            <w:r w:rsidRPr="000D2049">
              <w:rPr>
                <w:rFonts w:ascii="Arial" w:hAnsi="Arial" w:cs="Arial"/>
                <w:i/>
                <w:color w:val="FF0000"/>
                <w:sz w:val="16"/>
                <w:szCs w:val="16"/>
                <w:lang w:val="en-NZ"/>
              </w:rPr>
              <w:t>“I print off the list of patients from and I trawl through them, looking, making sure that they’re all within that bracket, because there’s some that are underage (under 40) and some that are over the age (over 74), so it’s a pain, filtering those patients out, 19-year-olds and 90-odd-year-olds on there”</w:t>
            </w:r>
            <w:r>
              <w:rPr>
                <w:rFonts w:ascii="Arial" w:hAnsi="Arial" w:cs="Arial"/>
                <w:i/>
                <w:color w:val="FF0000"/>
                <w:sz w:val="16"/>
                <w:szCs w:val="16"/>
                <w:lang w:val="en-NZ"/>
              </w:rPr>
              <w:t xml:space="preserve"> </w:t>
            </w:r>
            <w:r w:rsidRPr="004F0B48">
              <w:rPr>
                <w:rFonts w:ascii="Arial" w:hAnsi="Arial" w:cs="Arial"/>
                <w:i/>
                <w:color w:val="FF0000"/>
                <w:sz w:val="16"/>
                <w:szCs w:val="16"/>
                <w:lang w:val="en-NZ"/>
              </w:rPr>
              <w:t>(27)</w:t>
            </w:r>
          </w:p>
        </w:tc>
      </w:tr>
      <w:tr w:rsidR="00C63ACE" w:rsidRPr="005A6797" w14:paraId="0C9E5BC1" w14:textId="77777777" w:rsidTr="0052052E">
        <w:trPr>
          <w:cnfStyle w:val="000000100000" w:firstRow="0" w:lastRow="0" w:firstColumn="0" w:lastColumn="0" w:oddVBand="0" w:evenVBand="0" w:oddHBand="1" w:evenHBand="0" w:firstRowFirstColumn="0" w:firstRowLastColumn="0" w:lastRowFirstColumn="0" w:lastRowLastColumn="0"/>
          <w:trHeight w:val="176"/>
        </w:trPr>
        <w:tc>
          <w:tcPr>
            <w:tcW w:w="14034" w:type="dxa"/>
            <w:gridSpan w:val="3"/>
          </w:tcPr>
          <w:p w14:paraId="2B920ABC" w14:textId="77777777" w:rsidR="00C63ACE" w:rsidRPr="009771E9" w:rsidRDefault="00C63ACE" w:rsidP="0052052E">
            <w:pPr>
              <w:spacing w:before="120" w:after="120" w:line="276" w:lineRule="auto"/>
              <w:jc w:val="left"/>
              <w:rPr>
                <w:rFonts w:ascii="Arial" w:hAnsi="Arial" w:cs="Arial"/>
                <w:b/>
                <w:sz w:val="16"/>
                <w:szCs w:val="16"/>
                <w:lang w:val="en-US"/>
              </w:rPr>
            </w:pPr>
          </w:p>
          <w:p w14:paraId="1CB2A631" w14:textId="77777777" w:rsidR="00C63ACE" w:rsidRPr="009771E9" w:rsidRDefault="00C63ACE" w:rsidP="0052052E">
            <w:pPr>
              <w:snapToGrid w:val="0"/>
              <w:spacing w:before="120" w:after="120" w:line="252" w:lineRule="auto"/>
              <w:jc w:val="left"/>
              <w:rPr>
                <w:rFonts w:ascii="Arial" w:hAnsi="Arial" w:cs="Arial"/>
                <w:i/>
                <w:sz w:val="16"/>
                <w:szCs w:val="16"/>
                <w:lang w:val="en-US"/>
              </w:rPr>
            </w:pPr>
            <w:r w:rsidRPr="009771E9">
              <w:rPr>
                <w:rFonts w:ascii="Arial" w:hAnsi="Arial" w:cs="Arial"/>
                <w:b/>
                <w:sz w:val="16"/>
                <w:szCs w:val="16"/>
                <w:lang w:val="en-US"/>
              </w:rPr>
              <w:t>Attendance (patient)</w:t>
            </w:r>
          </w:p>
        </w:tc>
      </w:tr>
      <w:tr w:rsidR="00C63ACE" w:rsidRPr="005A6797" w14:paraId="72A285D6" w14:textId="77777777" w:rsidTr="0052052E">
        <w:trPr>
          <w:trHeight w:val="357"/>
        </w:trPr>
        <w:tc>
          <w:tcPr>
            <w:tcW w:w="3255" w:type="dxa"/>
            <w:tcBorders>
              <w:right w:val="nil"/>
            </w:tcBorders>
            <w:shd w:val="clear" w:color="auto" w:fill="auto"/>
          </w:tcPr>
          <w:p w14:paraId="3232A633"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themeColor="text1"/>
                <w:kern w:val="24"/>
                <w:sz w:val="16"/>
                <w:szCs w:val="16"/>
              </w:rPr>
              <w:t>Knowledge (psychological capability)</w:t>
            </w:r>
          </w:p>
        </w:tc>
        <w:tc>
          <w:tcPr>
            <w:tcW w:w="2616" w:type="dxa"/>
            <w:tcBorders>
              <w:left w:val="nil"/>
              <w:right w:val="nil"/>
            </w:tcBorders>
            <w:shd w:val="clear" w:color="auto" w:fill="auto"/>
          </w:tcPr>
          <w:p w14:paraId="5C1EB703" w14:textId="77777777" w:rsidR="00C63ACE" w:rsidRPr="009771E9" w:rsidRDefault="00C63ACE" w:rsidP="0052052E">
            <w:pPr>
              <w:spacing w:before="120" w:after="120" w:line="276" w:lineRule="auto"/>
              <w:ind w:left="140" w:right="197"/>
              <w:jc w:val="left"/>
              <w:rPr>
                <w:rFonts w:ascii="Arial" w:hAnsi="Arial" w:cs="Arial"/>
                <w:color w:val="FF0000"/>
                <w:kern w:val="24"/>
                <w:sz w:val="16"/>
                <w:szCs w:val="16"/>
              </w:rPr>
            </w:pPr>
            <w:r w:rsidRPr="009771E9">
              <w:rPr>
                <w:rFonts w:ascii="Arial" w:hAnsi="Arial" w:cs="Arial"/>
                <w:color w:val="FF0000"/>
                <w:kern w:val="24"/>
                <w:sz w:val="16"/>
                <w:szCs w:val="16"/>
              </w:rPr>
              <w:t>Lack of understanding of CVD risk and purpose of NHS HC</w:t>
            </w:r>
          </w:p>
        </w:tc>
        <w:tc>
          <w:tcPr>
            <w:tcW w:w="8163" w:type="dxa"/>
            <w:tcBorders>
              <w:left w:val="nil"/>
            </w:tcBorders>
            <w:shd w:val="clear" w:color="auto" w:fill="auto"/>
          </w:tcPr>
          <w:p w14:paraId="215FC8AE"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eastAsiaTheme="minorEastAsia" w:hAnsi="Arial" w:cs="Arial"/>
                <w:i/>
                <w:color w:val="FF0000"/>
                <w:kern w:val="24"/>
                <w:sz w:val="16"/>
                <w:szCs w:val="16"/>
              </w:rPr>
              <w:t xml:space="preserve">“I’d had cholesterol tests, I’d had weight and height, I’d had more or less the whole health check very recently. So, I phoned up my GP and said ‘Look I’ve just had this’. . . I want to make sure that it’s worth my time and the GP’s time and the NHS time to do it.” </w:t>
            </w:r>
            <w:r w:rsidRPr="00853E4E">
              <w:rPr>
                <w:rFonts w:ascii="Arial" w:hAnsi="Arial" w:cs="Arial"/>
                <w:i/>
                <w:iCs/>
                <w:color w:val="FF0000"/>
                <w:sz w:val="16"/>
                <w:szCs w:val="16"/>
              </w:rPr>
              <w:fldChar w:fldCharType="begin"/>
            </w:r>
            <w:r>
              <w:rPr>
                <w:rFonts w:ascii="Arial" w:hAnsi="Arial" w:cs="Arial"/>
                <w:i/>
                <w:iCs/>
                <w:color w:val="FF0000"/>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iCs/>
                <w:color w:val="FF0000"/>
                <w:sz w:val="16"/>
                <w:szCs w:val="16"/>
              </w:rPr>
              <w:fldChar w:fldCharType="separate"/>
            </w:r>
            <w:r>
              <w:rPr>
                <w:rFonts w:ascii="Arial" w:hAnsi="Arial" w:cs="Arial"/>
                <w:i/>
                <w:iCs/>
                <w:noProof/>
                <w:color w:val="FF0000"/>
                <w:sz w:val="16"/>
                <w:szCs w:val="16"/>
              </w:rPr>
              <w:t>(41)</w:t>
            </w:r>
            <w:r w:rsidRPr="00853E4E">
              <w:rPr>
                <w:rFonts w:ascii="Arial" w:hAnsi="Arial" w:cs="Arial"/>
                <w:i/>
                <w:iCs/>
                <w:color w:val="FF0000"/>
                <w:sz w:val="16"/>
                <w:szCs w:val="16"/>
              </w:rPr>
              <w:fldChar w:fldCharType="end"/>
            </w:r>
          </w:p>
        </w:tc>
      </w:tr>
      <w:tr w:rsidR="00C63ACE" w:rsidRPr="005A6797" w14:paraId="1960C050" w14:textId="77777777" w:rsidTr="0052052E">
        <w:trPr>
          <w:cnfStyle w:val="000000100000" w:firstRow="0" w:lastRow="0" w:firstColumn="0" w:lastColumn="0" w:oddVBand="0" w:evenVBand="0" w:oddHBand="1" w:evenHBand="0" w:firstRowFirstColumn="0" w:firstRowLastColumn="0" w:lastRowFirstColumn="0" w:lastRowLastColumn="0"/>
          <w:trHeight w:val="1591"/>
        </w:trPr>
        <w:tc>
          <w:tcPr>
            <w:tcW w:w="3255" w:type="dxa"/>
            <w:vMerge w:val="restart"/>
            <w:tcBorders>
              <w:right w:val="nil"/>
            </w:tcBorders>
            <w:shd w:val="clear" w:color="auto" w:fill="auto"/>
          </w:tcPr>
          <w:p w14:paraId="5FF55FA5"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themeColor="text1"/>
                <w:kern w:val="24"/>
                <w:sz w:val="16"/>
                <w:szCs w:val="16"/>
                <w:lang w:val="en-US"/>
              </w:rPr>
              <w:t>Environmental context and resources (physical opportunity)</w:t>
            </w:r>
          </w:p>
        </w:tc>
        <w:tc>
          <w:tcPr>
            <w:tcW w:w="2616" w:type="dxa"/>
            <w:tcBorders>
              <w:left w:val="nil"/>
              <w:right w:val="nil"/>
            </w:tcBorders>
            <w:shd w:val="clear" w:color="auto" w:fill="auto"/>
          </w:tcPr>
          <w:p w14:paraId="63633559" w14:textId="77777777" w:rsidR="00C63ACE" w:rsidRPr="009771E9" w:rsidRDefault="00C63ACE" w:rsidP="0052052E">
            <w:pPr>
              <w:spacing w:before="120" w:after="120" w:line="276" w:lineRule="auto"/>
              <w:ind w:left="140" w:right="197"/>
              <w:jc w:val="left"/>
              <w:rPr>
                <w:rFonts w:ascii="Arial" w:hAnsi="Arial" w:cs="Arial"/>
                <w:color w:val="0070C0"/>
                <w:kern w:val="24"/>
                <w:sz w:val="16"/>
                <w:szCs w:val="16"/>
              </w:rPr>
            </w:pPr>
            <w:r w:rsidRPr="009771E9">
              <w:rPr>
                <w:rFonts w:ascii="Arial" w:hAnsi="Arial" w:cs="Arial"/>
                <w:color w:val="0070C0"/>
                <w:kern w:val="24"/>
                <w:sz w:val="16"/>
                <w:szCs w:val="16"/>
              </w:rPr>
              <w:t>Timing and location of NHS HCs increased attendance</w:t>
            </w:r>
          </w:p>
        </w:tc>
        <w:tc>
          <w:tcPr>
            <w:tcW w:w="8163" w:type="dxa"/>
            <w:tcBorders>
              <w:left w:val="nil"/>
            </w:tcBorders>
            <w:shd w:val="clear" w:color="auto" w:fill="auto"/>
          </w:tcPr>
          <w:p w14:paraId="7002938F" w14:textId="77777777" w:rsidR="00C63ACE" w:rsidRPr="009771E9" w:rsidRDefault="00C63ACE" w:rsidP="0052052E">
            <w:pPr>
              <w:pStyle w:val="NormalWeb"/>
              <w:snapToGrid w:val="0"/>
              <w:spacing w:before="120" w:beforeAutospacing="0" w:after="120" w:afterAutospacing="0" w:line="252" w:lineRule="auto"/>
              <w:rPr>
                <w:rFonts w:ascii="Arial" w:hAnsi="Arial" w:cs="Arial"/>
                <w:i/>
                <w:sz w:val="16"/>
                <w:szCs w:val="16"/>
              </w:rPr>
            </w:pPr>
            <w:r w:rsidRPr="009771E9">
              <w:rPr>
                <w:rFonts w:ascii="Arial" w:hAnsi="Arial" w:cs="Arial"/>
                <w:i/>
                <w:color w:val="00B050"/>
                <w:kern w:val="24"/>
                <w:sz w:val="16"/>
                <w:szCs w:val="16"/>
              </w:rPr>
              <w:t xml:space="preserve">“I mean we have the healthcare assistants are here at 8:30, so they can have early bloods done before they go to work, and the nurse can see them before they go to work, so we’re trying to offer those facilities to people to catch them.” </w:t>
            </w:r>
            <w:r w:rsidRPr="00853E4E">
              <w:rPr>
                <w:rFonts w:ascii="Arial" w:hAnsi="Arial" w:cs="Arial"/>
                <w:i/>
                <w:iCs/>
                <w:color w:val="00B050"/>
                <w:sz w:val="16"/>
                <w:szCs w:val="16"/>
              </w:rPr>
              <w:fldChar w:fldCharType="begin"/>
            </w:r>
            <w:r>
              <w:rPr>
                <w:rFonts w:ascii="Arial" w:hAnsi="Arial" w:cs="Arial"/>
                <w:i/>
                <w:iCs/>
                <w:color w:val="00B050"/>
                <w:sz w:val="16"/>
                <w:szCs w:val="16"/>
              </w:rPr>
              <w:instrText xml:space="preserve"> ADDIN EN.CITE &lt;EndNote&gt;&lt;Cite&gt;&lt;Author&gt;Ismail&lt;/Author&gt;&lt;Year&gt;2015&lt;/Year&gt;&lt;RecNum&gt;33&lt;/RecNum&gt;&lt;DisplayText&gt;(30)&lt;/DisplayText&gt;&lt;record&gt;&lt;rec-number&gt;33&lt;/rec-number&gt;&lt;foreign-keys&gt;&lt;key app="EN" db-id="f9edtwwtof5ftneevt1pr0voafdvfedx92e2" timestamp="1550219648"&gt;33&lt;/key&gt;&lt;/foreign-keys&gt;&lt;ref-type name="Journal Article"&gt;17&lt;/ref-type&gt;&lt;contributors&gt;&lt;authors&gt;&lt;author&gt;Ismail, H.&lt;/author&gt;&lt;author&gt;Kelly, S.&lt;/author&gt;&lt;/authors&gt;&lt;/contributors&gt;&lt;auth-address&gt;Ismail, Hanif. Centre for Health &amp;amp; Social Care Research, Sheffield Hallam University, Sheffield, UK. h.ismail@shu.ac.uk.&amp;#xD;Ismail, Hanif. Department of Health &amp;amp; Life Sciences, York St John University, York, UK. h.ismail@shu.ac.uk.&amp;#xD;Kelly, Shona. Centre for Health &amp;amp; Social Care Research, Sheffield Hallam University, Sheffield, UK. s.kelly@shu.ac.uk.&lt;/auth-address&gt;&lt;titles&gt;&lt;title&gt;Lessons learned from England&amp;apos;s Health Checks Programme: using qualitative research to identify and share best practice&lt;/title&gt;&lt;secondary-title&gt;BMC Family Practice&lt;/secondary-title&gt;&lt;/titles&gt;&lt;periodical&gt;&lt;full-title&gt;BMC Family Practice&lt;/full-title&gt;&lt;/periodical&gt;&lt;pages&gt;144&lt;/pages&gt;&lt;volume&gt;16&lt;/volume&gt;&lt;dates&gt;&lt;year&gt;2015&lt;/year&gt;&lt;/dates&gt;&lt;accession-num&gt;26486126&lt;/accession-num&gt;&lt;work-type&gt;Research Support, Non-U.S. Gov&amp;apos;t&lt;/work-type&gt;&lt;urls&gt;&lt;related-urls&gt;&lt;url&gt;http://ovidsp.ovid.com/ovidweb.cgi?T=JS&amp;amp;CSC=Y&amp;amp;NEWS=N&amp;amp;PAGE=fulltext&amp;amp;D=med8&amp;amp;AN=26486126&lt;/url&gt;&lt;url&gt;https://www.ncbi.nlm.nih.gov/pmc/articles/PMC4618054/pdf/12875_2015_Article_365.pdf&lt;/url&gt;&lt;/related-urls&gt;&lt;/urls&gt;&lt;remote-database-name&gt;MEDLINE&lt;/remote-database-name&gt;&lt;remote-database-provider&gt;Ovid Technologies&lt;/remote-database-provider&gt;&lt;/record&gt;&lt;/Cite&gt;&lt;/EndNote&gt;</w:instrText>
            </w:r>
            <w:r w:rsidRPr="00853E4E">
              <w:rPr>
                <w:rFonts w:ascii="Arial" w:hAnsi="Arial" w:cs="Arial"/>
                <w:i/>
                <w:iCs/>
                <w:color w:val="00B050"/>
                <w:sz w:val="16"/>
                <w:szCs w:val="16"/>
              </w:rPr>
              <w:fldChar w:fldCharType="separate"/>
            </w:r>
            <w:r>
              <w:rPr>
                <w:rFonts w:ascii="Arial" w:hAnsi="Arial" w:cs="Arial"/>
                <w:i/>
                <w:iCs/>
                <w:noProof/>
                <w:color w:val="00B050"/>
                <w:sz w:val="16"/>
                <w:szCs w:val="16"/>
              </w:rPr>
              <w:t>(30)</w:t>
            </w:r>
            <w:r w:rsidRPr="00853E4E">
              <w:rPr>
                <w:rFonts w:ascii="Arial" w:hAnsi="Arial" w:cs="Arial"/>
                <w:i/>
                <w:iCs/>
                <w:color w:val="00B050"/>
                <w:sz w:val="16"/>
                <w:szCs w:val="16"/>
              </w:rPr>
              <w:fldChar w:fldCharType="end"/>
            </w:r>
          </w:p>
          <w:p w14:paraId="2DE3DB4C"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 xml:space="preserve">“It’s very difficult for me to (go to the appointment) and hold on to a nine-to-five job. It means I have to take personal time off from my employer to do this. They don’t give you an option where you can go in the evening. I would have to take it off as annual leave, and do it in my own personal time.”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(41)</w:t>
            </w:r>
            <w:r w:rsidRPr="00853E4E">
              <w:rPr>
                <w:rFonts w:ascii="Arial" w:hAnsi="Arial" w:cs="Arial"/>
                <w:i/>
                <w:color w:val="FF0000"/>
                <w:kern w:val="24"/>
                <w:sz w:val="16"/>
                <w:szCs w:val="16"/>
              </w:rPr>
              <w:fldChar w:fldCharType="end"/>
            </w:r>
          </w:p>
        </w:tc>
      </w:tr>
      <w:tr w:rsidR="00C63ACE" w:rsidRPr="005A6797" w14:paraId="4A9158A0" w14:textId="77777777" w:rsidTr="0052052E">
        <w:trPr>
          <w:trHeight w:val="769"/>
        </w:trPr>
        <w:tc>
          <w:tcPr>
            <w:tcW w:w="3255" w:type="dxa"/>
            <w:vMerge/>
            <w:tcBorders>
              <w:right w:val="nil"/>
            </w:tcBorders>
            <w:shd w:val="clear" w:color="auto" w:fill="auto"/>
          </w:tcPr>
          <w:p w14:paraId="2FBE7E67"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3A03F7E1" w14:textId="77777777" w:rsidR="00C63ACE" w:rsidRPr="009771E9" w:rsidRDefault="00C63ACE" w:rsidP="0052052E">
            <w:pPr>
              <w:spacing w:before="120" w:after="120" w:line="276" w:lineRule="auto"/>
              <w:ind w:left="140" w:right="197"/>
              <w:jc w:val="left"/>
              <w:rPr>
                <w:rFonts w:ascii="Arial" w:hAnsi="Arial" w:cs="Arial"/>
                <w:color w:val="0070C0"/>
                <w:kern w:val="24"/>
                <w:sz w:val="16"/>
                <w:szCs w:val="16"/>
              </w:rPr>
            </w:pPr>
            <w:r w:rsidRPr="009771E9">
              <w:rPr>
                <w:rFonts w:ascii="Arial" w:hAnsi="Arial" w:cs="Arial"/>
                <w:color w:val="0070C0"/>
                <w:kern w:val="24"/>
                <w:sz w:val="16"/>
                <w:szCs w:val="16"/>
              </w:rPr>
              <w:t xml:space="preserve">Conducting NHS HCs in pharmacies </w:t>
            </w:r>
          </w:p>
        </w:tc>
        <w:tc>
          <w:tcPr>
            <w:tcW w:w="8163" w:type="dxa"/>
            <w:tcBorders>
              <w:left w:val="nil"/>
            </w:tcBorders>
            <w:shd w:val="clear" w:color="auto" w:fill="auto"/>
          </w:tcPr>
          <w:p w14:paraId="45495100" w14:textId="77777777" w:rsidR="00C63ACE" w:rsidRPr="009771E9" w:rsidRDefault="00C63ACE" w:rsidP="0052052E">
            <w:pPr>
              <w:pStyle w:val="NormalWeb"/>
              <w:snapToGrid w:val="0"/>
              <w:spacing w:before="120" w:beforeAutospacing="0" w:after="120" w:afterAutospacing="0" w:line="252" w:lineRule="auto"/>
              <w:rPr>
                <w:rFonts w:ascii="Arial" w:hAnsi="Arial" w:cs="Arial"/>
                <w:i/>
                <w:sz w:val="16"/>
                <w:szCs w:val="16"/>
              </w:rPr>
            </w:pPr>
            <w:r w:rsidRPr="009771E9">
              <w:rPr>
                <w:rFonts w:ascii="Arial" w:hAnsi="Arial" w:cs="Arial"/>
                <w:i/>
                <w:color w:val="00B050"/>
                <w:kern w:val="24"/>
                <w:sz w:val="16"/>
                <w:szCs w:val="16"/>
              </w:rPr>
              <w:t xml:space="preserve">“Oh, very easy, I mean I just walked in there and booked myself in. . . I think I’d gone in the morning and I’d booked in for early afternoon and then went to do some shopping and went back.”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(41)</w:t>
            </w:r>
            <w:r w:rsidRPr="00853E4E">
              <w:rPr>
                <w:rFonts w:ascii="Arial" w:hAnsi="Arial" w:cs="Arial"/>
                <w:i/>
                <w:color w:val="00B050"/>
                <w:kern w:val="24"/>
                <w:sz w:val="16"/>
                <w:szCs w:val="16"/>
              </w:rPr>
              <w:fldChar w:fldCharType="end"/>
            </w:r>
          </w:p>
          <w:p w14:paraId="28B533CF"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 xml:space="preserve">“Some [pharmacies] are really struggling because they are out of town and in locations close to GP practices - which is where the pharmacies get a lot of their business from.”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&lt;EndNote&gt;&lt;Cite&gt;&lt;Author&gt;McNaughton&lt;/Author&gt;&lt;Year&gt;2011&lt;/Year&gt;&lt;RecNum&gt;47&lt;/RecNum&gt;&lt;DisplayText&gt;(50)&lt;/DisplayText&gt;&lt;record&gt;&lt;rec-number&gt;47&lt;/rec-number&gt;&lt;foreign-keys&gt;&lt;key app="EN" db-id="f9edtwwtof5ftneevt1pr0voafdvfedx92e2" timestamp="1550219649"&gt;47&lt;/key&gt;&lt;/foreign-keys&gt;&lt;ref-type name="Journal Article"&gt;17&lt;/ref-type&gt;&lt;contributors&gt;&lt;authors&gt;&lt;author&gt;McNaughton, R. J.&lt;/author&gt;&lt;author&gt;Oswald, N. T.&lt;/author&gt;&lt;author&gt;Shucksmith, J. S.&lt;/author&gt;&lt;author&gt;Heywood, P. J.&lt;/author&gt;&lt;author&gt;Watson, P. S.&lt;/author&gt;&lt;/authors&gt;&lt;/contributors&gt;&lt;auth-address&gt;McNaughton, Rebekah J. Health and Social Care Institute, School of Health and Social Care, Teesside University, Middlesbrough, Tees Valley, UK. R.McNaughton@tees.ac.uk&lt;/auth-address&gt;&lt;titles&gt;&lt;title&gt;Making a success of providing NHS Health Checks in community pharmacies across the Tees Valley: a qualitative study&lt;/title&gt;&lt;secondary-title&gt;BMC Health Services Research&lt;/secondary-title&gt;&lt;/titles&gt;&lt;periodical&gt;&lt;full-title&gt;BMC Health Services Research&lt;/full-title&gt;&lt;/periodical&gt;&lt;pages&gt;222&lt;/pages&gt;&lt;volume&gt;11&lt;/volume&gt;&lt;dates&gt;&lt;year&gt;2011&lt;/year&gt;&lt;/dates&gt;&lt;accession-num&gt;21929809&lt;/accession-num&gt;&lt;work-type&gt;Evaluation Studies&lt;/work-type&gt;&lt;urls&gt;&lt;related-urls&gt;&lt;url&gt;http://ovidsp.ovid.com/ovidweb.cgi?T=JS&amp;amp;CSC=Y&amp;amp;NEWS=N&amp;amp;PAGE=fulltext&amp;amp;D=med7&amp;amp;AN=21929809&lt;/url&gt;&lt;url&gt;https://www.ncbi.nlm.nih.gov/pmc/articles/PMC3182894/pdf/1472-6963-11-222.pdf&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(50)</w:t>
            </w:r>
            <w:r w:rsidRPr="00853E4E">
              <w:rPr>
                <w:rFonts w:ascii="Arial" w:hAnsi="Arial" w:cs="Arial"/>
                <w:i/>
                <w:color w:val="FF0000"/>
                <w:kern w:val="24"/>
                <w:sz w:val="16"/>
                <w:szCs w:val="16"/>
              </w:rPr>
              <w:fldChar w:fldCharType="end"/>
            </w:r>
          </w:p>
        </w:tc>
      </w:tr>
      <w:tr w:rsidR="00C63ACE" w:rsidRPr="005A6797" w14:paraId="7234DBE1" w14:textId="77777777" w:rsidTr="0052052E">
        <w:trPr>
          <w:cnfStyle w:val="000000100000" w:firstRow="0" w:lastRow="0" w:firstColumn="0" w:lastColumn="0" w:oddVBand="0" w:evenVBand="0" w:oddHBand="1" w:evenHBand="0" w:firstRowFirstColumn="0" w:firstRowLastColumn="0" w:lastRowFirstColumn="0" w:lastRowLastColumn="0"/>
          <w:trHeight w:val="778"/>
        </w:trPr>
        <w:tc>
          <w:tcPr>
            <w:tcW w:w="3255" w:type="dxa"/>
            <w:vMerge w:val="restart"/>
            <w:tcBorders>
              <w:right w:val="nil"/>
            </w:tcBorders>
            <w:shd w:val="clear" w:color="auto" w:fill="auto"/>
          </w:tcPr>
          <w:p w14:paraId="4501D674"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themeColor="text1"/>
                <w:kern w:val="24"/>
                <w:sz w:val="16"/>
                <w:szCs w:val="16"/>
                <w:lang w:val="en-US"/>
              </w:rPr>
              <w:t xml:space="preserve">Social </w:t>
            </w:r>
            <w:r w:rsidRPr="009771E9">
              <w:rPr>
                <w:rFonts w:ascii="Arial" w:eastAsiaTheme="minorEastAsia" w:hAnsi="Arial" w:cs="Arial"/>
                <w:color w:val="000000" w:themeColor="text1"/>
                <w:kern w:val="24"/>
                <w:sz w:val="16"/>
                <w:szCs w:val="16"/>
                <w:lang w:val="en-US"/>
              </w:rPr>
              <w:t>influences (social opportunity)</w:t>
            </w:r>
          </w:p>
        </w:tc>
        <w:tc>
          <w:tcPr>
            <w:tcW w:w="2616" w:type="dxa"/>
            <w:tcBorders>
              <w:left w:val="nil"/>
              <w:right w:val="nil"/>
            </w:tcBorders>
            <w:shd w:val="clear" w:color="auto" w:fill="auto"/>
          </w:tcPr>
          <w:p w14:paraId="728D024B" w14:textId="77777777" w:rsidR="00C63ACE" w:rsidRPr="009771E9" w:rsidRDefault="00C63ACE" w:rsidP="0052052E">
            <w:pPr>
              <w:spacing w:before="120" w:after="120" w:line="276" w:lineRule="auto"/>
              <w:ind w:left="140" w:right="197"/>
              <w:jc w:val="left"/>
              <w:rPr>
                <w:rFonts w:ascii="Arial" w:hAnsi="Arial" w:cs="Arial"/>
                <w:color w:val="0070C0"/>
                <w:kern w:val="24"/>
                <w:sz w:val="16"/>
                <w:szCs w:val="16"/>
              </w:rPr>
            </w:pPr>
            <w:r w:rsidRPr="009771E9">
              <w:rPr>
                <w:rFonts w:ascii="Arial" w:hAnsi="Arial" w:cs="Arial"/>
                <w:color w:val="0070C0"/>
                <w:kern w:val="24"/>
                <w:sz w:val="16"/>
                <w:szCs w:val="16"/>
              </w:rPr>
              <w:t>Family history of illness</w:t>
            </w:r>
          </w:p>
        </w:tc>
        <w:tc>
          <w:tcPr>
            <w:tcW w:w="8163" w:type="dxa"/>
            <w:tcBorders>
              <w:left w:val="nil"/>
            </w:tcBorders>
            <w:shd w:val="clear" w:color="auto" w:fill="auto"/>
          </w:tcPr>
          <w:p w14:paraId="269DF581" w14:textId="77777777" w:rsidR="00C63ACE" w:rsidRPr="009771E9" w:rsidRDefault="00C63ACE" w:rsidP="0052052E">
            <w:pPr>
              <w:pStyle w:val="NormalWeb"/>
              <w:snapToGrid w:val="0"/>
              <w:spacing w:before="120" w:beforeAutospacing="0" w:after="120" w:afterAutospacing="0" w:line="252" w:lineRule="auto"/>
              <w:rPr>
                <w:rFonts w:ascii="Arial" w:hAnsi="Arial" w:cs="Arial"/>
                <w:i/>
                <w:sz w:val="16"/>
                <w:szCs w:val="16"/>
              </w:rPr>
            </w:pPr>
            <w:r w:rsidRPr="009771E9">
              <w:rPr>
                <w:rFonts w:ascii="Arial" w:hAnsi="Arial" w:cs="Arial"/>
                <w:i/>
                <w:color w:val="FF0000"/>
                <w:kern w:val="24"/>
                <w:sz w:val="16"/>
                <w:szCs w:val="16"/>
              </w:rPr>
              <w:t xml:space="preserve">“ . . family history is obviously, you know, a huge determinant of various things. OK not completely conclusive, but you know, law of averages, I thought I’m probably OK. So, it just slipped and then I never took up on it.” </w:t>
            </w:r>
            <w:r w:rsidRPr="00853E4E">
              <w:rPr>
                <w:rFonts w:ascii="Arial" w:hAnsi="Arial" w:cs="Arial"/>
                <w:i/>
                <w:iCs/>
                <w:color w:val="FF0000"/>
                <w:sz w:val="16"/>
                <w:szCs w:val="16"/>
              </w:rPr>
              <w:fldChar w:fldCharType="begin"/>
            </w:r>
            <w:r>
              <w:rPr>
                <w:rFonts w:ascii="Arial" w:hAnsi="Arial" w:cs="Arial"/>
                <w:i/>
                <w:iCs/>
                <w:color w:val="FF0000"/>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iCs/>
                <w:color w:val="FF0000"/>
                <w:sz w:val="16"/>
                <w:szCs w:val="16"/>
              </w:rPr>
              <w:fldChar w:fldCharType="separate"/>
            </w:r>
            <w:r>
              <w:rPr>
                <w:rFonts w:ascii="Arial" w:hAnsi="Arial" w:cs="Arial"/>
                <w:i/>
                <w:iCs/>
                <w:noProof/>
                <w:color w:val="FF0000"/>
                <w:sz w:val="16"/>
                <w:szCs w:val="16"/>
              </w:rPr>
              <w:t>(41)</w:t>
            </w:r>
            <w:r w:rsidRPr="00853E4E">
              <w:rPr>
                <w:rFonts w:ascii="Arial" w:hAnsi="Arial" w:cs="Arial"/>
                <w:i/>
                <w:iCs/>
                <w:color w:val="FF0000"/>
                <w:sz w:val="16"/>
                <w:szCs w:val="16"/>
              </w:rPr>
              <w:fldChar w:fldCharType="end"/>
            </w:r>
          </w:p>
          <w:p w14:paraId="14E00BE4"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00B050"/>
                <w:kern w:val="24"/>
                <w:sz w:val="16"/>
                <w:szCs w:val="16"/>
              </w:rPr>
              <w:t>“I suppose the fact that my father died relatively young of a heart attack, probably made me fairly aware of the need to try and be healthy. . . I suppose I was thinking everybody needs to be careful when they get to their mid-fifties.”</w:t>
            </w:r>
            <w:r>
              <w:rPr>
                <w:rFonts w:ascii="Arial" w:hAnsi="Arial" w:cs="Arial"/>
                <w:i/>
                <w:color w:val="00B050"/>
                <w:kern w:val="24"/>
                <w:sz w:val="16"/>
                <w:szCs w:val="16"/>
              </w:rPr>
              <w:t xml:space="preserv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(41)</w:t>
            </w:r>
            <w:r w:rsidRPr="00853E4E">
              <w:rPr>
                <w:rFonts w:ascii="Arial" w:hAnsi="Arial" w:cs="Arial"/>
                <w:i/>
                <w:color w:val="00B050"/>
                <w:kern w:val="24"/>
                <w:sz w:val="16"/>
                <w:szCs w:val="16"/>
              </w:rPr>
              <w:fldChar w:fldCharType="end"/>
            </w:r>
          </w:p>
        </w:tc>
      </w:tr>
      <w:tr w:rsidR="00C63ACE" w:rsidRPr="005A6797" w14:paraId="33A0AB34" w14:textId="77777777" w:rsidTr="0052052E">
        <w:trPr>
          <w:trHeight w:val="224"/>
        </w:trPr>
        <w:tc>
          <w:tcPr>
            <w:tcW w:w="3255" w:type="dxa"/>
            <w:vMerge/>
            <w:tcBorders>
              <w:right w:val="nil"/>
            </w:tcBorders>
            <w:shd w:val="clear" w:color="auto" w:fill="auto"/>
          </w:tcPr>
          <w:p w14:paraId="70E42D76"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7CB10944" w14:textId="77777777" w:rsidR="00C63ACE" w:rsidRPr="009771E9" w:rsidRDefault="00C63ACE" w:rsidP="0052052E">
            <w:pPr>
              <w:spacing w:before="120" w:after="120" w:line="276" w:lineRule="auto"/>
              <w:ind w:left="140" w:right="197"/>
              <w:jc w:val="left"/>
              <w:rPr>
                <w:rFonts w:ascii="Arial" w:hAnsi="Arial" w:cs="Arial"/>
                <w:color w:val="FF0000"/>
                <w:kern w:val="24"/>
                <w:sz w:val="16"/>
                <w:szCs w:val="16"/>
              </w:rPr>
            </w:pPr>
            <w:r w:rsidRPr="009771E9">
              <w:rPr>
                <w:rFonts w:ascii="Arial" w:hAnsi="Arial" w:cs="Arial"/>
                <w:color w:val="FF0000"/>
                <w:kern w:val="24"/>
                <w:sz w:val="16"/>
                <w:szCs w:val="16"/>
              </w:rPr>
              <w:t>Interactions with GP/ being told to change</w:t>
            </w:r>
          </w:p>
        </w:tc>
        <w:tc>
          <w:tcPr>
            <w:tcW w:w="8163" w:type="dxa"/>
            <w:tcBorders>
              <w:left w:val="nil"/>
            </w:tcBorders>
            <w:shd w:val="clear" w:color="auto" w:fill="auto"/>
          </w:tcPr>
          <w:p w14:paraId="2EBD6A38"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 xml:space="preserve">“I didn’t want to find out I had more medical problems, I have epilepsy. And I don’t need a doctor to tell me I need to stop smoking and lose </w:t>
            </w:r>
            <w:r w:rsidRPr="00853E4E">
              <w:rPr>
                <w:rFonts w:ascii="Arial" w:hAnsi="Arial" w:cs="Arial"/>
                <w:i/>
                <w:color w:val="FF0000"/>
                <w:sz w:val="16"/>
                <w:szCs w:val="16"/>
                <w:lang w:val="en-NZ"/>
              </w:rPr>
              <w:t xml:space="preserve">weight.”  </w:t>
            </w:r>
            <w:r w:rsidRPr="00853E4E">
              <w:rPr>
                <w:rFonts w:ascii="Arial" w:hAnsi="Arial" w:cs="Arial"/>
                <w:i/>
                <w:color w:val="FF0000"/>
                <w:sz w:val="16"/>
                <w:szCs w:val="16"/>
                <w:lang w:val="en-NZ"/>
              </w:rPr>
              <w:fldChar w:fldCharType="begin"/>
            </w:r>
            <w:r>
              <w:rPr>
                <w:rFonts w:ascii="Arial" w:hAnsi="Arial" w:cs="Arial"/>
                <w:i/>
                <w:color w:val="FF0000"/>
                <w:sz w:val="16"/>
                <w:szCs w:val="16"/>
                <w:lang w:val="en-NZ"/>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color w:val="FF0000"/>
                <w:sz w:val="16"/>
                <w:szCs w:val="16"/>
                <w:lang w:val="en-NZ"/>
              </w:rPr>
              <w:fldChar w:fldCharType="separate"/>
            </w:r>
            <w:r>
              <w:rPr>
                <w:rFonts w:ascii="Arial" w:hAnsi="Arial" w:cs="Arial"/>
                <w:i/>
                <w:noProof/>
                <w:color w:val="FF0000"/>
                <w:sz w:val="16"/>
                <w:szCs w:val="16"/>
                <w:lang w:val="en-NZ"/>
              </w:rPr>
              <w:t>(41)</w:t>
            </w:r>
            <w:r w:rsidRPr="00853E4E">
              <w:rPr>
                <w:rFonts w:ascii="Arial" w:hAnsi="Arial" w:cs="Arial"/>
                <w:i/>
                <w:color w:val="FF0000"/>
                <w:sz w:val="16"/>
                <w:szCs w:val="16"/>
                <w:lang w:val="en-NZ"/>
              </w:rPr>
              <w:fldChar w:fldCharType="end"/>
            </w:r>
          </w:p>
        </w:tc>
      </w:tr>
      <w:tr w:rsidR="00C63ACE" w:rsidRPr="005A6797" w14:paraId="156936CA" w14:textId="77777777" w:rsidTr="0052052E">
        <w:trPr>
          <w:cnfStyle w:val="000000100000" w:firstRow="0" w:lastRow="0" w:firstColumn="0" w:lastColumn="0" w:oddVBand="0" w:evenVBand="0" w:oddHBand="1" w:evenHBand="0" w:firstRowFirstColumn="0" w:firstRowLastColumn="0" w:lastRowFirstColumn="0" w:lastRowLastColumn="0"/>
          <w:trHeight w:val="1377"/>
        </w:trPr>
        <w:tc>
          <w:tcPr>
            <w:tcW w:w="3255" w:type="dxa"/>
            <w:vMerge w:val="restart"/>
            <w:tcBorders>
              <w:right w:val="nil"/>
            </w:tcBorders>
            <w:shd w:val="clear" w:color="auto" w:fill="auto"/>
          </w:tcPr>
          <w:p w14:paraId="35D4C0F5" w14:textId="77777777" w:rsidR="00C63ACE" w:rsidRPr="009771E9" w:rsidRDefault="00C63ACE" w:rsidP="0052052E">
            <w:pPr>
              <w:spacing w:before="120" w:after="120" w:line="240" w:lineRule="auto"/>
              <w:jc w:val="left"/>
              <w:rPr>
                <w:rFonts w:ascii="Arial" w:hAnsi="Arial" w:cs="Arial"/>
                <w:sz w:val="16"/>
                <w:szCs w:val="16"/>
                <w:lang w:val="en-NZ"/>
              </w:rPr>
            </w:pPr>
            <w:r w:rsidRPr="009771E9">
              <w:rPr>
                <w:rFonts w:ascii="Arial" w:hAnsi="Arial" w:cs="Arial"/>
                <w:color w:val="000000" w:themeColor="dark1"/>
                <w:kern w:val="24"/>
                <w:sz w:val="16"/>
                <w:szCs w:val="16"/>
                <w:lang w:val="en-US"/>
              </w:rPr>
              <w:t>Beliefs about consequences (reflective motivation)</w:t>
            </w:r>
          </w:p>
        </w:tc>
        <w:tc>
          <w:tcPr>
            <w:tcW w:w="2616" w:type="dxa"/>
            <w:tcBorders>
              <w:left w:val="nil"/>
              <w:right w:val="nil"/>
            </w:tcBorders>
            <w:shd w:val="clear" w:color="auto" w:fill="auto"/>
          </w:tcPr>
          <w:p w14:paraId="3DFB5364" w14:textId="77777777" w:rsidR="00C63ACE" w:rsidRPr="009771E9" w:rsidRDefault="00C63ACE" w:rsidP="0052052E">
            <w:pPr>
              <w:spacing w:before="120" w:after="120" w:line="240" w:lineRule="auto"/>
              <w:ind w:left="140" w:right="197"/>
              <w:jc w:val="left"/>
              <w:rPr>
                <w:rFonts w:ascii="Arial" w:hAnsi="Arial" w:cs="Arial"/>
                <w:color w:val="0070C0"/>
                <w:kern w:val="24"/>
                <w:sz w:val="16"/>
                <w:szCs w:val="16"/>
              </w:rPr>
            </w:pPr>
            <w:r w:rsidRPr="009771E9">
              <w:rPr>
                <w:rFonts w:ascii="Arial" w:hAnsi="Arial" w:cs="Arial"/>
                <w:color w:val="0070C0"/>
                <w:kern w:val="24"/>
                <w:sz w:val="16"/>
                <w:szCs w:val="16"/>
              </w:rPr>
              <w:t>NHS HCs not always perceived beneficial for early detection</w:t>
            </w:r>
          </w:p>
        </w:tc>
        <w:tc>
          <w:tcPr>
            <w:tcW w:w="8163" w:type="dxa"/>
            <w:tcBorders>
              <w:left w:val="nil"/>
            </w:tcBorders>
            <w:shd w:val="clear" w:color="auto" w:fill="auto"/>
          </w:tcPr>
          <w:p w14:paraId="6DBAFBBE" w14:textId="77777777" w:rsidR="00C63ACE" w:rsidRPr="009771E9" w:rsidRDefault="00C63ACE" w:rsidP="0052052E">
            <w:pPr>
              <w:pStyle w:val="NormalWeb"/>
              <w:snapToGrid w:val="0"/>
              <w:spacing w:before="120" w:beforeAutospacing="0" w:after="120" w:afterAutospacing="0"/>
              <w:rPr>
                <w:rFonts w:ascii="Arial" w:hAnsi="Arial" w:cs="Arial"/>
                <w:i/>
                <w:sz w:val="16"/>
                <w:szCs w:val="16"/>
              </w:rPr>
            </w:pPr>
            <w:r w:rsidRPr="009771E9">
              <w:rPr>
                <w:rFonts w:ascii="Arial" w:hAnsi="Arial" w:cs="Arial"/>
                <w:i/>
                <w:color w:val="00B050"/>
                <w:kern w:val="24"/>
                <w:sz w:val="16"/>
                <w:szCs w:val="16"/>
              </w:rPr>
              <w:t xml:space="preserve">Virtually all of the service users (96; 99%) felt that the screening had been of benefit to them, with 29 (30.5%) stating that the screening had identified problems of which they were previously unaware.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&lt;EndNote&gt;&lt;Cite&gt;&lt;Author&gt;Taylor&lt;/Author&gt;&lt;Year&gt;2012&lt;/Year&gt;&lt;RecNum&gt;66&lt;/RecNum&gt;&lt;DisplayText&gt;(54)&lt;/DisplayText&gt;&lt;record&gt;&lt;rec-number&gt;66&lt;/rec-number&gt;&lt;foreign-keys&gt;&lt;key app="EN" db-id="f9edtwwtof5ftneevt1pr0voafdvfedx92e2" timestamp="1550219649"&gt;66&lt;/key&gt;&lt;/foreign-keys&gt;&lt;ref-type name="Journal Article"&gt;17&lt;/ref-type&gt;&lt;contributors&gt;&lt;authors&gt;&lt;author&gt;Taylor, J.&lt;/author&gt;&lt;author&gt;Krska, J.&lt;/author&gt;&lt;author&gt;Mackridge, A.&lt;/author&gt;&lt;/authors&gt;&lt;/contributors&gt;&lt;auth-address&gt;Taylor, Julia. School of Pharmacy and Biomolecular Sciences, Liverpool John Moores University, Liverpool, UK.&lt;/auth-address&gt;&lt;titles&gt;&lt;title&gt;A community pharmacy-based cardiovascular screening service: views of service users and the public&lt;/title&gt;&lt;secondary-title&gt;International Journal of Pharmacy Practice&lt;/secondary-title&gt;&lt;/titles&gt;&lt;periodical&gt;&lt;full-title&gt;International Journal of Pharmacy Practice&lt;/full-title&gt;&lt;/periodical&gt;&lt;pages&gt;277-84&lt;/pages&gt;&lt;volume&gt;20&lt;/volume&gt;&lt;number&gt;5&lt;/number&gt;&lt;dates&gt;&lt;year&gt;2012&lt;/year&gt;&lt;/dates&gt;&lt;accession-num&gt;22953766&lt;/accession-num&gt;&lt;work-type&gt;Research Support, Non-U.S. Gov&amp;apos;t&lt;/work-type&gt;&lt;urls&gt;&lt;related-urls&gt;&lt;url&gt;http://ovidsp.ovid.com/ovidweb.cgi?T=JS&amp;amp;CSC=Y&amp;amp;NEWS=N&amp;amp;PAGE=fulltext&amp;amp;D=med7&amp;amp;AN=22953766&lt;/url&gt;&lt;url&gt;https://onlinelibrary.wiley.com/doi/abs/10.1111/j.2042-7174.2012.00190.x&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(54)</w:t>
            </w:r>
            <w:r w:rsidRPr="00853E4E">
              <w:rPr>
                <w:rFonts w:ascii="Arial" w:hAnsi="Arial" w:cs="Arial"/>
                <w:i/>
                <w:color w:val="00B050"/>
                <w:kern w:val="24"/>
                <w:sz w:val="16"/>
                <w:szCs w:val="16"/>
              </w:rPr>
              <w:fldChar w:fldCharType="end"/>
            </w:r>
          </w:p>
          <w:p w14:paraId="39588EC0" w14:textId="77777777" w:rsidR="00C63ACE" w:rsidRPr="009771E9" w:rsidRDefault="00C63ACE" w:rsidP="0052052E">
            <w:pPr>
              <w:snapToGrid w:val="0"/>
              <w:spacing w:before="120" w:after="120" w:line="240" w:lineRule="auto"/>
              <w:jc w:val="left"/>
              <w:rPr>
                <w:rFonts w:ascii="Arial" w:hAnsi="Arial" w:cs="Arial"/>
                <w:i/>
                <w:sz w:val="16"/>
                <w:szCs w:val="16"/>
                <w:lang w:val="en-NZ"/>
              </w:rPr>
            </w:pPr>
            <w:r w:rsidRPr="009771E9">
              <w:rPr>
                <w:rFonts w:ascii="Arial" w:hAnsi="Arial" w:cs="Arial"/>
                <w:i/>
                <w:color w:val="FF0000"/>
                <w:kern w:val="24"/>
                <w:sz w:val="16"/>
                <w:szCs w:val="16"/>
              </w:rPr>
              <w:t xml:space="preserve">“I don’t think there is an awful lot of value. I think you’ll pick up a few people a little bit earlier. Now whether that’s worth the cost, obviously it’s great for those individual patients, whether that’s worth the cost of running a programme like this. I’d be amazed if it </w:t>
            </w:r>
            <w:r w:rsidRPr="00853E4E">
              <w:rPr>
                <w:rFonts w:ascii="Arial" w:hAnsi="Arial" w:cs="Arial"/>
                <w:i/>
                <w:color w:val="FF0000"/>
                <w:sz w:val="16"/>
                <w:szCs w:val="16"/>
                <w:lang w:val="en-NZ"/>
              </w:rPr>
              <w:t xml:space="preserve">was.“ </w:t>
            </w:r>
            <w:r w:rsidRPr="00853E4E">
              <w:rPr>
                <w:rFonts w:ascii="Arial" w:hAnsi="Arial" w:cs="Arial"/>
                <w:i/>
                <w:color w:val="FF0000"/>
                <w:sz w:val="16"/>
                <w:szCs w:val="16"/>
                <w:lang w:val="en-NZ"/>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FF0000"/>
                <w:sz w:val="16"/>
                <w:szCs w:val="16"/>
                <w:lang w:val="en-NZ"/>
              </w:rPr>
              <w:instrText xml:space="preserve"> ADDIN EN.CITE </w:instrText>
            </w:r>
            <w:r>
              <w:rPr>
                <w:rFonts w:ascii="Arial" w:hAnsi="Arial" w:cs="Arial"/>
                <w:i/>
                <w:color w:val="FF0000"/>
                <w:sz w:val="16"/>
                <w:szCs w:val="16"/>
                <w:lang w:val="en-NZ"/>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FF0000"/>
                <w:sz w:val="16"/>
                <w:szCs w:val="16"/>
                <w:lang w:val="en-NZ"/>
              </w:rPr>
              <w:instrText xml:space="preserve"> ADDIN EN.CITE.DATA </w:instrText>
            </w:r>
            <w:r>
              <w:rPr>
                <w:rFonts w:ascii="Arial" w:hAnsi="Arial" w:cs="Arial"/>
                <w:i/>
                <w:color w:val="FF0000"/>
                <w:sz w:val="16"/>
                <w:szCs w:val="16"/>
                <w:lang w:val="en-NZ"/>
              </w:rPr>
            </w:r>
            <w:r>
              <w:rPr>
                <w:rFonts w:ascii="Arial" w:hAnsi="Arial" w:cs="Arial"/>
                <w:i/>
                <w:color w:val="FF0000"/>
                <w:sz w:val="16"/>
                <w:szCs w:val="16"/>
                <w:lang w:val="en-NZ"/>
              </w:rPr>
              <w:fldChar w:fldCharType="end"/>
            </w:r>
            <w:r w:rsidRPr="00853E4E">
              <w:rPr>
                <w:rFonts w:ascii="Arial" w:hAnsi="Arial" w:cs="Arial"/>
                <w:i/>
                <w:color w:val="FF0000"/>
                <w:sz w:val="16"/>
                <w:szCs w:val="16"/>
                <w:lang w:val="en-NZ"/>
              </w:rPr>
            </w:r>
            <w:r w:rsidRPr="00853E4E">
              <w:rPr>
                <w:rFonts w:ascii="Arial" w:hAnsi="Arial" w:cs="Arial"/>
                <w:i/>
                <w:color w:val="FF0000"/>
                <w:sz w:val="16"/>
                <w:szCs w:val="16"/>
                <w:lang w:val="en-NZ"/>
              </w:rPr>
              <w:fldChar w:fldCharType="separate"/>
            </w:r>
            <w:r>
              <w:rPr>
                <w:rFonts w:ascii="Arial" w:hAnsi="Arial" w:cs="Arial"/>
                <w:i/>
                <w:noProof/>
                <w:color w:val="FF0000"/>
                <w:sz w:val="16"/>
                <w:szCs w:val="16"/>
                <w:lang w:val="en-NZ"/>
              </w:rPr>
              <w:t>(48)</w:t>
            </w:r>
            <w:r w:rsidRPr="00853E4E">
              <w:rPr>
                <w:rFonts w:ascii="Arial" w:hAnsi="Arial" w:cs="Arial"/>
                <w:i/>
                <w:color w:val="FF0000"/>
                <w:sz w:val="16"/>
                <w:szCs w:val="16"/>
                <w:lang w:val="en-NZ"/>
              </w:rPr>
              <w:fldChar w:fldCharType="end"/>
            </w:r>
          </w:p>
        </w:tc>
      </w:tr>
      <w:tr w:rsidR="00C63ACE" w:rsidRPr="005A6797" w14:paraId="00365445" w14:textId="77777777" w:rsidTr="0052052E">
        <w:trPr>
          <w:trHeight w:val="345"/>
        </w:trPr>
        <w:tc>
          <w:tcPr>
            <w:tcW w:w="3255" w:type="dxa"/>
            <w:vMerge/>
            <w:tcBorders>
              <w:right w:val="nil"/>
            </w:tcBorders>
            <w:shd w:val="clear" w:color="auto" w:fill="auto"/>
          </w:tcPr>
          <w:p w14:paraId="0067B176"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250FB9AF" w14:textId="77777777" w:rsidR="00C63ACE" w:rsidRPr="009771E9" w:rsidRDefault="00C63ACE" w:rsidP="0052052E">
            <w:pPr>
              <w:spacing w:before="120" w:after="120" w:line="276" w:lineRule="auto"/>
              <w:ind w:left="140" w:right="197"/>
              <w:jc w:val="left"/>
              <w:rPr>
                <w:rFonts w:ascii="Arial" w:hAnsi="Arial" w:cs="Arial"/>
                <w:color w:val="00B050"/>
                <w:kern w:val="24"/>
                <w:sz w:val="16"/>
                <w:szCs w:val="16"/>
              </w:rPr>
            </w:pPr>
            <w:r w:rsidRPr="009771E9">
              <w:rPr>
                <w:rFonts w:ascii="Arial" w:hAnsi="Arial" w:cs="Arial"/>
                <w:color w:val="00B050"/>
                <w:kern w:val="24"/>
                <w:sz w:val="16"/>
                <w:szCs w:val="16"/>
              </w:rPr>
              <w:t xml:space="preserve">NHS HCs provided opportunity to be proactive about health </w:t>
            </w:r>
          </w:p>
        </w:tc>
        <w:tc>
          <w:tcPr>
            <w:tcW w:w="8163" w:type="dxa"/>
            <w:tcBorders>
              <w:left w:val="nil"/>
            </w:tcBorders>
            <w:shd w:val="clear" w:color="auto" w:fill="auto"/>
          </w:tcPr>
          <w:p w14:paraId="675342CB"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“I just think it makes you more aware and if you do have any problems you have the chance to actually, you know, be proactive to it rather than reactive when maybe things are a bit too late.” </w:t>
            </w:r>
            <w:r w:rsidRPr="00853E4E">
              <w:rPr>
                <w:rFonts w:ascii="Arial" w:hAnsi="Arial" w:cs="Arial"/>
                <w:i/>
                <w:color w:val="00B050"/>
                <w:kern w:val="24"/>
                <w:sz w:val="16"/>
                <w:szCs w:val="16"/>
              </w:rPr>
              <w:fldChar w:fldCharType="begin">
                <w:fldData xml:space="preserve">PEVuZE5vdGU+PENpdGU+PEF1dGhvcj5KZW5raW5zb248L0F1dGhvcj48WWVhcj4yMDE1PC9ZZWFy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PEVuZE5vdGU+PENpdGU+PEF1dGhvcj5KZW5raW5zb248L0F1dGhvcj48WWVhcj4yMDE1PC9ZZWFy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853E4E">
              <w:rPr>
                <w:rFonts w:ascii="Arial" w:hAnsi="Arial" w:cs="Arial"/>
                <w:i/>
                <w:color w:val="00B050"/>
                <w:kern w:val="24"/>
                <w:sz w:val="16"/>
                <w:szCs w:val="16"/>
              </w:rPr>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(31)</w:t>
            </w:r>
            <w:r w:rsidRPr="00853E4E">
              <w:rPr>
                <w:rFonts w:ascii="Arial" w:hAnsi="Arial" w:cs="Arial"/>
                <w:i/>
                <w:color w:val="00B050"/>
                <w:kern w:val="24"/>
                <w:sz w:val="16"/>
                <w:szCs w:val="16"/>
              </w:rPr>
              <w:fldChar w:fldCharType="end"/>
            </w:r>
          </w:p>
        </w:tc>
      </w:tr>
      <w:tr w:rsidR="00C63ACE" w:rsidRPr="005A6797" w14:paraId="1583AB2D" w14:textId="77777777" w:rsidTr="0052052E">
        <w:trPr>
          <w:cnfStyle w:val="000000100000" w:firstRow="0" w:lastRow="0" w:firstColumn="0" w:lastColumn="0" w:oddVBand="0" w:evenVBand="0" w:oddHBand="1" w:evenHBand="0" w:firstRowFirstColumn="0" w:firstRowLastColumn="0" w:lastRowFirstColumn="0" w:lastRowLastColumn="0"/>
          <w:trHeight w:val="60"/>
        </w:trPr>
        <w:tc>
          <w:tcPr>
            <w:tcW w:w="3255" w:type="dxa"/>
            <w:vMerge w:val="restart"/>
            <w:tcBorders>
              <w:right w:val="nil"/>
            </w:tcBorders>
            <w:shd w:val="clear" w:color="auto" w:fill="auto"/>
          </w:tcPr>
          <w:p w14:paraId="3F4B8B78"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themeColor="dark1"/>
                <w:kern w:val="24"/>
                <w:sz w:val="16"/>
                <w:szCs w:val="16"/>
                <w:lang w:val="en-US"/>
              </w:rPr>
              <w:t>Emotion (automatic motivation)</w:t>
            </w:r>
          </w:p>
        </w:tc>
        <w:tc>
          <w:tcPr>
            <w:tcW w:w="2616" w:type="dxa"/>
            <w:tcBorders>
              <w:left w:val="nil"/>
              <w:right w:val="nil"/>
            </w:tcBorders>
            <w:shd w:val="clear" w:color="auto" w:fill="auto"/>
          </w:tcPr>
          <w:p w14:paraId="50326179" w14:textId="77777777" w:rsidR="00C63ACE" w:rsidRPr="009771E9" w:rsidRDefault="00C63ACE" w:rsidP="0052052E">
            <w:pPr>
              <w:spacing w:before="120" w:after="120" w:line="276" w:lineRule="auto"/>
              <w:ind w:left="140" w:right="197"/>
              <w:jc w:val="left"/>
              <w:rPr>
                <w:rFonts w:ascii="Arial" w:hAnsi="Arial" w:cs="Arial"/>
                <w:color w:val="00B050"/>
                <w:kern w:val="24"/>
                <w:sz w:val="16"/>
                <w:szCs w:val="16"/>
              </w:rPr>
            </w:pPr>
            <w:r w:rsidRPr="009771E9">
              <w:rPr>
                <w:rFonts w:ascii="Arial" w:hAnsi="Arial" w:cs="Arial"/>
                <w:color w:val="00B050"/>
                <w:kern w:val="24"/>
                <w:sz w:val="16"/>
                <w:szCs w:val="16"/>
              </w:rPr>
              <w:t>Anxiety at receiving high risk result</w:t>
            </w:r>
          </w:p>
        </w:tc>
        <w:tc>
          <w:tcPr>
            <w:tcW w:w="8163" w:type="dxa"/>
            <w:tcBorders>
              <w:left w:val="nil"/>
            </w:tcBorders>
            <w:shd w:val="clear" w:color="auto" w:fill="auto"/>
          </w:tcPr>
          <w:p w14:paraId="37D22FE1"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“I got a letter from the doctor’s saying ‘as you are at a high risk of a stroke or heart attack’...well I nearly died, and I thought ‘well what have my results come up as?’ And so of course I made an appointment and I went on.“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(28)</w:t>
            </w:r>
            <w:r w:rsidRPr="00853E4E">
              <w:rPr>
                <w:rFonts w:ascii="Arial" w:hAnsi="Arial" w:cs="Arial"/>
                <w:i/>
                <w:color w:val="00B050"/>
                <w:kern w:val="24"/>
                <w:sz w:val="16"/>
                <w:szCs w:val="16"/>
              </w:rPr>
              <w:fldChar w:fldCharType="end"/>
            </w:r>
          </w:p>
        </w:tc>
      </w:tr>
      <w:tr w:rsidR="00C63ACE" w:rsidRPr="005A6797" w14:paraId="2BD21FDF" w14:textId="77777777" w:rsidTr="0052052E">
        <w:trPr>
          <w:trHeight w:val="15"/>
        </w:trPr>
        <w:tc>
          <w:tcPr>
            <w:tcW w:w="3255" w:type="dxa"/>
            <w:vMerge/>
            <w:tcBorders>
              <w:right w:val="nil"/>
            </w:tcBorders>
            <w:shd w:val="clear" w:color="auto" w:fill="auto"/>
          </w:tcPr>
          <w:p w14:paraId="774A880E"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01526F76" w14:textId="77777777" w:rsidR="00C63ACE" w:rsidRPr="009771E9" w:rsidRDefault="00C63ACE" w:rsidP="0052052E">
            <w:pPr>
              <w:spacing w:before="120" w:after="120" w:line="276" w:lineRule="auto"/>
              <w:ind w:left="140" w:right="197"/>
              <w:jc w:val="left"/>
              <w:rPr>
                <w:rFonts w:ascii="Arial" w:hAnsi="Arial" w:cs="Arial"/>
                <w:color w:val="00B050"/>
                <w:kern w:val="24"/>
                <w:sz w:val="16"/>
                <w:szCs w:val="16"/>
              </w:rPr>
            </w:pPr>
            <w:r w:rsidRPr="009771E9">
              <w:rPr>
                <w:rFonts w:ascii="Arial" w:hAnsi="Arial" w:cs="Arial"/>
                <w:color w:val="00B050"/>
                <w:kern w:val="24"/>
                <w:sz w:val="16"/>
                <w:szCs w:val="16"/>
              </w:rPr>
              <w:t>Reassurance as a motivation to attend</w:t>
            </w:r>
          </w:p>
        </w:tc>
        <w:tc>
          <w:tcPr>
            <w:tcW w:w="8163" w:type="dxa"/>
            <w:tcBorders>
              <w:left w:val="nil"/>
            </w:tcBorders>
            <w:shd w:val="clear" w:color="auto" w:fill="auto"/>
          </w:tcPr>
          <w:p w14:paraId="528AA469"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“Well in one way it’s a reassurance if there’s nothing wrong. It’s an opportunity to be reminded that you should take care of your health</w:t>
            </w:r>
            <w:r>
              <w:rPr>
                <w:rFonts w:ascii="Arial" w:hAnsi="Arial" w:cs="Arial"/>
                <w:i/>
                <w:color w:val="00B050"/>
                <w:kern w:val="24"/>
                <w:sz w:val="16"/>
                <w:szCs w:val="16"/>
              </w:rPr>
              <w:t xml:space="preserv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&lt;EndNote&gt;&lt;Cite&gt;&lt;Author&gt;Burgess&lt;/Author&gt;&lt;Year&gt;2015&lt;/Year&gt;&lt;RecNum&gt;9&lt;/RecNum&gt;&lt;DisplayText&gt;(41)&lt;/DisplayText&gt;&lt;record&gt;&lt;rec-number&gt;9&lt;/rec-number&gt;&lt;foreign-keys&gt;&lt;key app="EN" db-id="f9edtwwtof5ftneevt1pr0voafdvfedx92e2" timestamp="1550219648"&gt;9&lt;/key&gt;&lt;/foreign-keys&gt;&lt;ref-type name="Journal Article"&gt;17&lt;/ref-type&gt;&lt;contributors&gt;&lt;authors&gt;&lt;author&gt;Burgess, Caroline&lt;/author&gt;&lt;author&gt;Wright, Alison J.&lt;/author&gt;&lt;author&gt;Forster, Alice S.&lt;/author&gt;&lt;author&gt;Dodhia, Hiten&lt;/author&gt;&lt;author&gt;Miller, Jane&lt;/author&gt;&lt;author&gt;Fuller, Frances&lt;/author&gt;&lt;author&gt;Cajeat, Eric&lt;/author&gt;&lt;author&gt;Gulliford, Martin C.&lt;/author&gt;&lt;/authors&gt;&lt;/contributors&gt;&lt;titles&gt;&lt;title&gt;Influences on individuals’ decisions to take up the offer of a health check: a qualitative study&lt;/title&gt;&lt;secondary-title&gt;Health Expectations&lt;/secondary-title&gt;&lt;/titles&gt;&lt;periodical&gt;&lt;full-title&gt;Health Expectations&lt;/full-title&gt;&lt;/periodical&gt;&lt;pages&gt;2437-2448&lt;/pages&gt;&lt;volume&gt;18&lt;/volume&gt;&lt;number&gt;6&lt;/number&gt;&lt;dates&gt;&lt;year&gt;2015&lt;/year&gt;&lt;/dates&gt;&lt;urls&gt;&lt;related-urls&gt;&lt;url&gt;https://onlinelibrary.wiley.com/doi/abs/10.1111/hex.12212&lt;/url&gt;&lt;/related-urls&gt;&lt;/urls&gt;&lt;electronic-resource-num&gt;doi:10.1111/hex.12212&lt;/electronic-resource-num&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(41)</w:t>
            </w:r>
            <w:r w:rsidRPr="00853E4E">
              <w:rPr>
                <w:rFonts w:ascii="Arial" w:hAnsi="Arial" w:cs="Arial"/>
                <w:i/>
                <w:color w:val="00B050"/>
                <w:kern w:val="24"/>
                <w:sz w:val="16"/>
                <w:szCs w:val="16"/>
              </w:rPr>
              <w:fldChar w:fldCharType="end"/>
            </w:r>
          </w:p>
        </w:tc>
      </w:tr>
      <w:tr w:rsidR="00C63ACE" w:rsidRPr="005A6797" w14:paraId="779FEB6B" w14:textId="77777777" w:rsidTr="0052052E">
        <w:trPr>
          <w:cnfStyle w:val="000000100000" w:firstRow="0" w:lastRow="0" w:firstColumn="0" w:lastColumn="0" w:oddVBand="0" w:evenVBand="0" w:oddHBand="1" w:evenHBand="0" w:firstRowFirstColumn="0" w:firstRowLastColumn="0" w:lastRowFirstColumn="0" w:lastRowLastColumn="0"/>
          <w:trHeight w:val="15"/>
        </w:trPr>
        <w:tc>
          <w:tcPr>
            <w:tcW w:w="14034" w:type="dxa"/>
            <w:gridSpan w:val="3"/>
          </w:tcPr>
          <w:p w14:paraId="371D7725" w14:textId="77777777" w:rsidR="00C63ACE" w:rsidRPr="009771E9" w:rsidRDefault="00C63ACE" w:rsidP="0052052E">
            <w:pPr>
              <w:spacing w:before="120" w:after="120" w:line="276" w:lineRule="auto"/>
              <w:jc w:val="left"/>
              <w:rPr>
                <w:rFonts w:ascii="Arial" w:hAnsi="Arial" w:cs="Arial"/>
                <w:b/>
                <w:sz w:val="16"/>
                <w:szCs w:val="16"/>
                <w:lang w:val="en-NZ"/>
              </w:rPr>
            </w:pPr>
          </w:p>
          <w:p w14:paraId="007084B6"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b/>
                <w:sz w:val="16"/>
                <w:szCs w:val="16"/>
                <w:lang w:val="en-NZ"/>
              </w:rPr>
              <w:t>Delivering NHS HC (HCP)</w:t>
            </w:r>
          </w:p>
        </w:tc>
      </w:tr>
      <w:tr w:rsidR="00C63ACE" w:rsidRPr="005A6797" w14:paraId="65E72724" w14:textId="77777777" w:rsidTr="0052052E">
        <w:trPr>
          <w:trHeight w:val="1374"/>
        </w:trPr>
        <w:tc>
          <w:tcPr>
            <w:tcW w:w="3255" w:type="dxa"/>
            <w:vMerge w:val="restart"/>
            <w:tcBorders>
              <w:right w:val="nil"/>
            </w:tcBorders>
            <w:shd w:val="clear" w:color="auto" w:fill="auto"/>
          </w:tcPr>
          <w:p w14:paraId="4D1755A4"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Knowledge </w:t>
            </w:r>
            <w:r w:rsidRPr="009771E9">
              <w:rPr>
                <w:rFonts w:ascii="Arial" w:hAnsi="Arial" w:cs="Arial"/>
                <w:color w:val="000000" w:themeColor="text1"/>
                <w:kern w:val="24"/>
                <w:sz w:val="16"/>
                <w:szCs w:val="16"/>
              </w:rPr>
              <w:t>(psychological capability)</w:t>
            </w:r>
          </w:p>
        </w:tc>
        <w:tc>
          <w:tcPr>
            <w:tcW w:w="2616" w:type="dxa"/>
            <w:tcBorders>
              <w:left w:val="nil"/>
              <w:right w:val="nil"/>
            </w:tcBorders>
            <w:shd w:val="clear" w:color="auto" w:fill="auto"/>
          </w:tcPr>
          <w:p w14:paraId="133D5E01"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4472C4"/>
                <w:kern w:val="24"/>
                <w:sz w:val="16"/>
                <w:szCs w:val="16"/>
              </w:rPr>
              <w:t>HCPs perceptions of patients understanding of CVD risk</w:t>
            </w:r>
          </w:p>
        </w:tc>
        <w:tc>
          <w:tcPr>
            <w:tcW w:w="8163" w:type="dxa"/>
            <w:tcBorders>
              <w:left w:val="nil"/>
            </w:tcBorders>
            <w:shd w:val="clear" w:color="auto" w:fill="auto"/>
          </w:tcPr>
          <w:p w14:paraId="344C15A5" w14:textId="77777777" w:rsidR="00C63ACE" w:rsidRPr="009771E9" w:rsidRDefault="00C63ACE" w:rsidP="0052052E">
            <w:pPr>
              <w:pStyle w:val="NormalWeb"/>
              <w:snapToGrid w:val="0"/>
              <w:spacing w:before="120" w:beforeAutospacing="0" w:after="120" w:afterAutospacing="0" w:line="252" w:lineRule="auto"/>
              <w:rPr>
                <w:rFonts w:ascii="Arial" w:hAnsi="Arial" w:cs="Arial"/>
                <w:i/>
                <w:color w:val="00B050"/>
                <w:kern w:val="24"/>
                <w:sz w:val="16"/>
                <w:szCs w:val="16"/>
              </w:rPr>
            </w:pPr>
            <w:r w:rsidRPr="009771E9">
              <w:rPr>
                <w:rFonts w:ascii="Arial" w:hAnsi="Arial" w:cs="Arial"/>
                <w:i/>
                <w:color w:val="00B050"/>
                <w:kern w:val="24"/>
                <w:sz w:val="16"/>
                <w:szCs w:val="16"/>
              </w:rPr>
              <w:t xml:space="preserve">Several GPs made the point that the important message to convey to patients was to reduce their risk factors and the accuracy of the figures was less important than this central </w:t>
            </w:r>
            <w:r w:rsidRPr="009771E9">
              <w:rPr>
                <w:rFonts w:ascii="Arial" w:hAnsi="Arial" w:cs="Arial"/>
                <w:i/>
                <w:color w:val="00B050"/>
                <w:kern w:val="24"/>
                <w:sz w:val="16"/>
                <w:szCs w:val="16"/>
                <w:lang w:eastAsia="en-US"/>
              </w:rPr>
              <w:t>message.</w:t>
            </w:r>
            <w:r>
              <w:rPr>
                <w:rFonts w:ascii="Arial" w:hAnsi="Arial" w:cs="Arial"/>
                <w:i/>
                <w:color w:val="00B050"/>
                <w:kern w:val="24"/>
                <w:sz w:val="16"/>
                <w:szCs w:val="16"/>
                <w:lang w:eastAsia="en-US"/>
              </w:rPr>
              <w:t xml:space="preserve"> </w:t>
            </w:r>
            <w:r w:rsidRPr="00853E4E">
              <w:rPr>
                <w:rFonts w:ascii="Arial" w:hAnsi="Arial" w:cs="Arial"/>
                <w:i/>
                <w:color w:val="00B050"/>
                <w:kern w:val="24"/>
                <w:sz w:val="16"/>
                <w:szCs w:val="16"/>
                <w:lang w:eastAsia="en-US"/>
              </w:rPr>
              <w:fldChar w:fldCharType="begin"/>
            </w:r>
            <w:r>
              <w:rPr>
                <w:rFonts w:ascii="Arial" w:hAnsi="Arial" w:cs="Arial"/>
                <w:i/>
                <w:color w:val="00B050"/>
                <w:kern w:val="24"/>
                <w:sz w:val="16"/>
                <w:szCs w:val="16"/>
                <w:lang w:eastAsia="en-US"/>
              </w:rPr>
              <w:instrText xml:space="preserve"> ADDIN EN.CITE &lt;EndNote&gt;&lt;Cite&gt;&lt;Author&gt;Kirby&lt;/Author&gt;&lt;Year&gt;2009&lt;/Year&gt;&lt;RecNum&gt;35&lt;/RecNum&gt;&lt;DisplayText&gt;(32)&lt;/DisplayText&gt;&lt;record&gt;&lt;rec-number&gt;35&lt;/rec-number&gt;&lt;foreign-keys&gt;&lt;key app="EN" db-id="f9edtwwtof5ftneevt1pr0voafdvfedx92e2" timestamp="1550219648"&gt;35&lt;/key&gt;&lt;/foreign-keys&gt;&lt;ref-type name="Journal Article"&gt;17&lt;/ref-type&gt;&lt;contributors&gt;&lt;authors&gt;&lt;author&gt;Kirby, M.&lt;/author&gt;&lt;author&gt;Machen, I.&lt;/author&gt;&lt;/authors&gt;&lt;/contributors&gt;&lt;auth-address&gt;Kirby, M. Clinical Trials Co-ordinating Centre, Faculty of Health and Human Sciences, University of Hertfordshire, College Lane, Hatfield, Herts, UK. kirbym@globalnet.co.uk&lt;/auth-address&gt;&lt;titles&gt;&lt;title&gt;Impact on clinical practice of the Joint British Societies&amp;apos; cardiovascular risk assessment tools&lt;/title&gt;&lt;secondary-title&gt;International Journal of Clinical Practice&lt;/secondary-title&gt;&lt;/titles&gt;&lt;periodical&gt;&lt;full-title&gt;International Journal of Clinical Practice&lt;/full-title&gt;&lt;/periodical&gt;&lt;pages&gt;1683-92&lt;/pages&gt;&lt;volume&gt;63&lt;/volume&gt;&lt;number&gt;12&lt;/number&gt;&lt;dates&gt;&lt;year&gt;2009&lt;/year&gt;&lt;/dates&gt;&lt;accession-num&gt;19930330&lt;/accession-num&gt;&lt;work-type&gt;Research Support, Non-U.S. Gov&amp;apos;t&lt;/work-type&gt;&lt;urls&gt;&lt;related-urls&gt;&lt;url&gt;http://ovidsp.ovid.com/ovidweb.cgi?T=JS&amp;amp;CSC=Y&amp;amp;NEWS=N&amp;amp;PAGE=fulltext&amp;amp;D=med6&amp;amp;AN=19930330&lt;/url&gt;&lt;url&gt;https://onlinelibrary.wiley.com/doi/abs/10.1111/j.1742-1241.2009.02201.x&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lang w:eastAsia="en-US"/>
              </w:rPr>
              <w:fldChar w:fldCharType="separate"/>
            </w:r>
            <w:r>
              <w:rPr>
                <w:rFonts w:ascii="Arial" w:hAnsi="Arial" w:cs="Arial"/>
                <w:i/>
                <w:noProof/>
                <w:color w:val="00B050"/>
                <w:kern w:val="24"/>
                <w:sz w:val="16"/>
                <w:szCs w:val="16"/>
                <w:lang w:eastAsia="en-US"/>
              </w:rPr>
              <w:t>(32)</w:t>
            </w:r>
            <w:r w:rsidRPr="00853E4E">
              <w:rPr>
                <w:rFonts w:ascii="Arial" w:hAnsi="Arial" w:cs="Arial"/>
                <w:i/>
                <w:color w:val="00B050"/>
                <w:kern w:val="24"/>
                <w:sz w:val="16"/>
                <w:szCs w:val="16"/>
                <w:lang w:eastAsia="en-US"/>
              </w:rPr>
              <w:fldChar w:fldCharType="end"/>
            </w:r>
            <w:r w:rsidRPr="009771E9">
              <w:rPr>
                <w:rFonts w:ascii="Arial" w:hAnsi="Arial" w:cs="Arial"/>
                <w:i/>
                <w:color w:val="00B050"/>
                <w:kern w:val="24"/>
                <w:sz w:val="16"/>
                <w:szCs w:val="16"/>
              </w:rPr>
              <w:br/>
            </w:r>
            <w:r w:rsidRPr="009771E9">
              <w:rPr>
                <w:rFonts w:ascii="Arial" w:hAnsi="Arial" w:cs="Arial"/>
                <w:i/>
                <w:color w:val="00B050"/>
                <w:kern w:val="24"/>
                <w:sz w:val="16"/>
                <w:szCs w:val="16"/>
              </w:rPr>
              <w:br/>
            </w:r>
            <w:r w:rsidRPr="009771E9">
              <w:rPr>
                <w:rFonts w:ascii="Arial" w:hAnsi="Arial" w:cs="Arial"/>
                <w:i/>
                <w:color w:val="FF0000"/>
                <w:kern w:val="24"/>
                <w:sz w:val="16"/>
                <w:szCs w:val="16"/>
              </w:rPr>
              <w:t xml:space="preserve">Participants believed that most patients knew what constituted health-enhancing behaviours and the impact of risk behaviours on their health. Therefore, HCPs perceived little need to explain the importance of changing behaviour to </w:t>
            </w:r>
            <w:r w:rsidRPr="00853E4E">
              <w:rPr>
                <w:rFonts w:ascii="Arial" w:hAnsi="Arial" w:cs="Arial"/>
                <w:i/>
                <w:color w:val="FF0000"/>
                <w:sz w:val="16"/>
                <w:szCs w:val="16"/>
                <w:lang w:val="en-NZ" w:eastAsia="en-US"/>
              </w:rPr>
              <w:t xml:space="preserve">patients. </w:t>
            </w:r>
            <w:r w:rsidRPr="00853E4E">
              <w:rPr>
                <w:rFonts w:ascii="Arial" w:hAnsi="Arial" w:cs="Arial"/>
                <w:i/>
                <w:color w:val="FF0000"/>
                <w:sz w:val="16"/>
                <w:szCs w:val="16"/>
                <w:lang w:val="en-NZ" w:eastAsia="en-US"/>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FF0000"/>
                <w:sz w:val="16"/>
                <w:szCs w:val="16"/>
                <w:lang w:val="en-NZ" w:eastAsia="en-US"/>
              </w:rPr>
              <w:instrText xml:space="preserve"> ADDIN EN.CITE </w:instrText>
            </w:r>
            <w:r>
              <w:rPr>
                <w:rFonts w:ascii="Arial" w:hAnsi="Arial" w:cs="Arial"/>
                <w:i/>
                <w:color w:val="FF0000"/>
                <w:sz w:val="16"/>
                <w:szCs w:val="16"/>
                <w:lang w:val="en-NZ" w:eastAsia="en-US"/>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FF0000"/>
                <w:sz w:val="16"/>
                <w:szCs w:val="16"/>
                <w:lang w:val="en-NZ" w:eastAsia="en-US"/>
              </w:rPr>
              <w:instrText xml:space="preserve"> ADDIN EN.CITE.DATA </w:instrText>
            </w:r>
            <w:r>
              <w:rPr>
                <w:rFonts w:ascii="Arial" w:hAnsi="Arial" w:cs="Arial"/>
                <w:i/>
                <w:color w:val="FF0000"/>
                <w:sz w:val="16"/>
                <w:szCs w:val="16"/>
                <w:lang w:val="en-NZ" w:eastAsia="en-US"/>
              </w:rPr>
            </w:r>
            <w:r>
              <w:rPr>
                <w:rFonts w:ascii="Arial" w:hAnsi="Arial" w:cs="Arial"/>
                <w:i/>
                <w:color w:val="FF0000"/>
                <w:sz w:val="16"/>
                <w:szCs w:val="16"/>
                <w:lang w:val="en-NZ" w:eastAsia="en-US"/>
              </w:rPr>
              <w:fldChar w:fldCharType="end"/>
            </w:r>
            <w:r w:rsidRPr="00853E4E">
              <w:rPr>
                <w:rFonts w:ascii="Arial" w:hAnsi="Arial" w:cs="Arial"/>
                <w:i/>
                <w:color w:val="FF0000"/>
                <w:sz w:val="16"/>
                <w:szCs w:val="16"/>
                <w:lang w:val="en-NZ" w:eastAsia="en-US"/>
              </w:rPr>
            </w:r>
            <w:r w:rsidRPr="00853E4E">
              <w:rPr>
                <w:rFonts w:ascii="Arial" w:hAnsi="Arial" w:cs="Arial"/>
                <w:i/>
                <w:color w:val="FF0000"/>
                <w:sz w:val="16"/>
                <w:szCs w:val="16"/>
                <w:lang w:val="en-NZ" w:eastAsia="en-US"/>
              </w:rPr>
              <w:fldChar w:fldCharType="separate"/>
            </w:r>
            <w:r>
              <w:rPr>
                <w:rFonts w:ascii="Arial" w:hAnsi="Arial" w:cs="Arial"/>
                <w:i/>
                <w:noProof/>
                <w:color w:val="FF0000"/>
                <w:sz w:val="16"/>
                <w:szCs w:val="16"/>
                <w:lang w:val="en-NZ" w:eastAsia="en-US"/>
              </w:rPr>
              <w:t>(19)</w:t>
            </w:r>
            <w:r w:rsidRPr="00853E4E">
              <w:rPr>
                <w:rFonts w:ascii="Arial" w:hAnsi="Arial" w:cs="Arial"/>
                <w:i/>
                <w:color w:val="FF0000"/>
                <w:sz w:val="16"/>
                <w:szCs w:val="16"/>
                <w:lang w:val="en-NZ" w:eastAsia="en-US"/>
              </w:rPr>
              <w:fldChar w:fldCharType="end"/>
            </w:r>
          </w:p>
        </w:tc>
      </w:tr>
      <w:tr w:rsidR="00C63ACE" w:rsidRPr="005A6797" w14:paraId="5EFCA0C4" w14:textId="77777777" w:rsidTr="0052052E">
        <w:trPr>
          <w:cnfStyle w:val="000000100000" w:firstRow="0" w:lastRow="0" w:firstColumn="0" w:lastColumn="0" w:oddVBand="0" w:evenVBand="0" w:oddHBand="1" w:evenHBand="0" w:firstRowFirstColumn="0" w:firstRowLastColumn="0" w:lastRowFirstColumn="0" w:lastRowLastColumn="0"/>
          <w:trHeight w:val="567"/>
        </w:trPr>
        <w:tc>
          <w:tcPr>
            <w:tcW w:w="3255" w:type="dxa"/>
            <w:vMerge/>
            <w:tcBorders>
              <w:right w:val="nil"/>
            </w:tcBorders>
            <w:shd w:val="clear" w:color="auto" w:fill="auto"/>
          </w:tcPr>
          <w:p w14:paraId="6FD585DD"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6D7D5DCD"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HCPs familiarity with guidelines and associated tools</w:t>
            </w:r>
          </w:p>
        </w:tc>
        <w:tc>
          <w:tcPr>
            <w:tcW w:w="8163" w:type="dxa"/>
            <w:tcBorders>
              <w:left w:val="nil"/>
            </w:tcBorders>
            <w:shd w:val="clear" w:color="auto" w:fill="auto"/>
          </w:tcPr>
          <w:p w14:paraId="7D847EAD"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59% had either not heard of (30%) or were very unfamiliar with CMO's PA guidelines</w:t>
            </w:r>
            <w:r w:rsidRPr="00853E4E">
              <w:rPr>
                <w:rFonts w:ascii="Arial" w:hAnsi="Arial" w:cs="Arial"/>
                <w:i/>
                <w:color w:val="FF0000"/>
                <w:sz w:val="16"/>
                <w:szCs w:val="16"/>
                <w:lang w:val="en-NZ"/>
              </w:rPr>
              <w:t xml:space="preserve">. </w:t>
            </w:r>
            <w:r w:rsidRPr="00853E4E">
              <w:rPr>
                <w:rFonts w:ascii="Arial" w:hAnsi="Arial" w:cs="Arial"/>
                <w:i/>
                <w:color w:val="FF0000"/>
                <w:sz w:val="16"/>
                <w:szCs w:val="16"/>
                <w:lang w:val="en-NZ"/>
              </w:rPr>
              <w:fldChar w:fldCharType="begin"/>
            </w:r>
            <w:r>
              <w:rPr>
                <w:rFonts w:ascii="Arial" w:hAnsi="Arial" w:cs="Arial"/>
                <w:i/>
                <w:color w:val="FF0000"/>
                <w:sz w:val="16"/>
                <w:szCs w:val="16"/>
                <w:lang w:val="en-NZ"/>
              </w:rPr>
              <w:instrText xml:space="preserve"> ADDIN EN.CITE &lt;EndNote&gt;&lt;Cite&gt;&lt;Author&gt;Chatterjee&lt;/Author&gt;&lt;Year&gt;2017&lt;/Year&gt;&lt;RecNum&gt;13&lt;/RecNum&gt;&lt;DisplayText&gt;(22)&lt;/DisplayText&gt;&lt;record&gt;&lt;rec-number&gt;13&lt;/rec-number&gt;&lt;foreign-keys&gt;&lt;key app="EN" db-id="f9edtwwtof5ftneevt1pr0voafdvfedx92e2" timestamp="1550219648"&gt;13&lt;/key&gt;&lt;/foreign-keys&gt;&lt;ref-type name="Journal Article"&gt;17&lt;/ref-type&gt;&lt;contributors&gt;&lt;authors&gt;&lt;author&gt;Chatterjee, R.&lt;/author&gt;&lt;author&gt;Chapman, T.&lt;/author&gt;&lt;author&gt;Brannan, M. G.&lt;/author&gt;&lt;author&gt;Varney, J.&lt;/author&gt;&lt;/authors&gt;&lt;/contributors&gt;&lt;auth-address&gt;Chatterjee, Robin. Public Health England, London, and GP with special interest in sports and exercise medicine, MICAS (Musculoskeletal Interface Clinical Assessment Service), Battersea Healthcare, Battersea, London.&amp;#xD;Chapman, Tim. Health Improvement Directorate, Public Health England, London.&amp;#xD;Brannan, Mike Gt. Health Improvement Directorate, Public Health England, London.&amp;#xD;Varney, Justin. Health Improvement Directorate, Public Health England, London.&lt;/auth-address&gt;&lt;titles&gt;&lt;title&gt;GPs&amp;apos; knowledge, use, and confidence in national physical activity and health guidelines and tools: a questionnaire-based survey of general practice in England&lt;/title&gt;&lt;secondary-title&gt;British Journal of General Practice&lt;/secondary-title&gt;&lt;/titles&gt;&lt;periodical&gt;&lt;full-title&gt;British Journal of General Practice&lt;/full-title&gt;&lt;/periodical&gt;&lt;pages&gt;e668-e675&lt;/pages&gt;&lt;volume&gt;67&lt;/volume&gt;&lt;number&gt;663&lt;/number&gt;&lt;dates&gt;&lt;year&gt;2017&lt;/year&gt;&lt;/dates&gt;&lt;accession-num&gt;28808077&lt;/accession-num&gt;&lt;urls&gt;&lt;related-urls&gt;&lt;url&gt;http://ovidsp.ovid.com/ovidweb.cgi?T=JS&amp;amp;CSC=Y&amp;amp;NEWS=N&amp;amp;PAGE=fulltext&amp;amp;D=medl&amp;amp;AN=28808077&lt;/url&gt;&lt;url&gt;https://www.ncbi.nlm.nih.gov/pmc/articles/PMC5604830/pdf/bjgpoct-2017-67-663-e668.pdf&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sz w:val="16"/>
                <w:szCs w:val="16"/>
                <w:lang w:val="en-NZ"/>
              </w:rPr>
              <w:fldChar w:fldCharType="separate"/>
            </w:r>
            <w:r>
              <w:rPr>
                <w:rFonts w:ascii="Arial" w:hAnsi="Arial" w:cs="Arial"/>
                <w:i/>
                <w:noProof/>
                <w:color w:val="FF0000"/>
                <w:sz w:val="16"/>
                <w:szCs w:val="16"/>
                <w:lang w:val="en-NZ"/>
              </w:rPr>
              <w:t>(22)</w:t>
            </w:r>
            <w:r w:rsidRPr="00853E4E">
              <w:rPr>
                <w:rFonts w:ascii="Arial" w:hAnsi="Arial" w:cs="Arial"/>
                <w:i/>
                <w:color w:val="FF0000"/>
                <w:sz w:val="16"/>
                <w:szCs w:val="16"/>
                <w:lang w:val="en-NZ"/>
              </w:rPr>
              <w:fldChar w:fldCharType="end"/>
            </w:r>
          </w:p>
        </w:tc>
      </w:tr>
      <w:tr w:rsidR="00C63ACE" w:rsidRPr="005A6797" w14:paraId="2ACBC17B" w14:textId="77777777" w:rsidTr="0052052E">
        <w:trPr>
          <w:trHeight w:val="740"/>
        </w:trPr>
        <w:tc>
          <w:tcPr>
            <w:tcW w:w="3255" w:type="dxa"/>
            <w:vMerge w:val="restart"/>
            <w:tcBorders>
              <w:right w:val="nil"/>
            </w:tcBorders>
            <w:shd w:val="clear" w:color="auto" w:fill="auto"/>
          </w:tcPr>
          <w:p w14:paraId="1CB06B07"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Cognitive and interpersonal skills </w:t>
            </w:r>
            <w:r w:rsidRPr="009771E9">
              <w:rPr>
                <w:rFonts w:ascii="Arial" w:hAnsi="Arial" w:cs="Arial"/>
                <w:color w:val="000000" w:themeColor="text1"/>
                <w:kern w:val="24"/>
                <w:sz w:val="16"/>
                <w:szCs w:val="16"/>
              </w:rPr>
              <w:t>(psychological capability)</w:t>
            </w:r>
          </w:p>
        </w:tc>
        <w:tc>
          <w:tcPr>
            <w:tcW w:w="2616" w:type="dxa"/>
            <w:tcBorders>
              <w:left w:val="nil"/>
              <w:right w:val="nil"/>
            </w:tcBorders>
            <w:shd w:val="clear" w:color="auto" w:fill="auto"/>
          </w:tcPr>
          <w:p w14:paraId="3706ADA1" w14:textId="77777777" w:rsidR="00C63ACE" w:rsidRPr="009771E9" w:rsidRDefault="00C63ACE" w:rsidP="0052052E">
            <w:pPr>
              <w:spacing w:before="120" w:after="120" w:line="276" w:lineRule="auto"/>
              <w:ind w:left="140" w:right="197"/>
              <w:jc w:val="left"/>
              <w:rPr>
                <w:rFonts w:ascii="Arial" w:hAnsi="Arial" w:cs="Arial"/>
                <w:color w:val="0070C0"/>
                <w:kern w:val="24"/>
                <w:sz w:val="16"/>
                <w:szCs w:val="16"/>
              </w:rPr>
            </w:pPr>
            <w:r w:rsidRPr="009771E9">
              <w:rPr>
                <w:rFonts w:ascii="Arial" w:hAnsi="Arial" w:cs="Arial"/>
                <w:color w:val="0070C0"/>
                <w:kern w:val="24"/>
                <w:sz w:val="16"/>
                <w:szCs w:val="16"/>
              </w:rPr>
              <w:t>HCPs perceived need for training to deliver behavioural support</w:t>
            </w:r>
          </w:p>
        </w:tc>
        <w:tc>
          <w:tcPr>
            <w:tcW w:w="8163" w:type="dxa"/>
            <w:tcBorders>
              <w:left w:val="nil"/>
            </w:tcBorders>
            <w:shd w:val="clear" w:color="auto" w:fill="auto"/>
          </w:tcPr>
          <w:p w14:paraId="163FDB46"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00B050"/>
                <w:kern w:val="24"/>
                <w:sz w:val="16"/>
                <w:szCs w:val="16"/>
              </w:rPr>
              <w:t xml:space="preserve">“[Training] would be good. As I say, we just learnt from our healthcare assistant what to do; basically, it was like kind of on the job training… It would be nice to understand it in depth more, wouldn’t it?”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&lt;EndNote&gt;&lt;Cite&gt;&lt;Author&gt;Ismail&lt;/Author&gt;&lt;Year&gt;2015&lt;/Year&gt;&lt;RecNum&gt;33&lt;/RecNum&gt;&lt;DisplayText&gt;(30)&lt;/DisplayText&gt;&lt;record&gt;&lt;rec-number&gt;33&lt;/rec-number&gt;&lt;foreign-keys&gt;&lt;key app="EN" db-id="f9edtwwtof5ftneevt1pr0voafdvfedx92e2" timestamp="1550219648"&gt;33&lt;/key&gt;&lt;/foreign-keys&gt;&lt;ref-type name="Journal Article"&gt;17&lt;/ref-type&gt;&lt;contributors&gt;&lt;authors&gt;&lt;author&gt;Ismail, H.&lt;/author&gt;&lt;author&gt;Kelly, S.&lt;/author&gt;&lt;/authors&gt;&lt;/contributors&gt;&lt;auth-address&gt;Ismail, Hanif. Centre for Health &amp;amp; Social Care Research, Sheffield Hallam University, Sheffield, UK. h.ismail@shu.ac.uk.&amp;#xD;Ismail, Hanif. Department of Health &amp;amp; Life Sciences, York St John University, York, UK. h.ismail@shu.ac.uk.&amp;#xD;Kelly, Shona. Centre for Health &amp;amp; Social Care Research, Sheffield Hallam University, Sheffield, UK. s.kelly@shu.ac.uk.&lt;/auth-address&gt;&lt;titles&gt;&lt;title&gt;Lessons learned from England&amp;apos;s Health Checks Programme: using qualitative research to identify and share best practice&lt;/title&gt;&lt;secondary-title&gt;BMC Family Practice&lt;/secondary-title&gt;&lt;/titles&gt;&lt;periodical&gt;&lt;full-title&gt;BMC Family Practice&lt;/full-title&gt;&lt;/periodical&gt;&lt;pages&gt;144&lt;/pages&gt;&lt;volume&gt;16&lt;/volume&gt;&lt;dates&gt;&lt;year&gt;2015&lt;/year&gt;&lt;/dates&gt;&lt;accession-num&gt;26486126&lt;/accession-num&gt;&lt;work-type&gt;Research Support, Non-U.S. Gov&amp;apos;t&lt;/work-type&gt;&lt;urls&gt;&lt;related-urls&gt;&lt;url&gt;http://ovidsp.ovid.com/ovidweb.cgi?T=JS&amp;amp;CSC=Y&amp;amp;NEWS=N&amp;amp;PAGE=fulltext&amp;amp;D=med8&amp;amp;AN=26486126&lt;/url&gt;&lt;url&gt;https://www.ncbi.nlm.nih.gov/pmc/articles/PMC4618054/pdf/12875_2015_Article_365.pdf&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(30)</w:t>
            </w:r>
            <w:r w:rsidRPr="00853E4E">
              <w:rPr>
                <w:rFonts w:ascii="Arial" w:hAnsi="Arial" w:cs="Arial"/>
                <w:i/>
                <w:color w:val="00B050"/>
                <w:kern w:val="24"/>
                <w:sz w:val="16"/>
                <w:szCs w:val="16"/>
              </w:rPr>
              <w:fldChar w:fldCharType="end"/>
            </w:r>
            <w:r w:rsidRPr="009771E9">
              <w:rPr>
                <w:rFonts w:ascii="Arial" w:hAnsi="Arial" w:cs="Arial"/>
                <w:i/>
                <w:color w:val="000000"/>
                <w:kern w:val="24"/>
                <w:sz w:val="16"/>
                <w:szCs w:val="16"/>
              </w:rPr>
              <w:br/>
            </w:r>
            <w:r w:rsidRPr="009771E9">
              <w:rPr>
                <w:rFonts w:ascii="Arial" w:hAnsi="Arial" w:cs="Arial"/>
                <w:i/>
                <w:color w:val="000000"/>
                <w:kern w:val="24"/>
                <w:sz w:val="16"/>
                <w:szCs w:val="16"/>
              </w:rPr>
              <w:br/>
            </w:r>
            <w:r w:rsidRPr="009771E9">
              <w:rPr>
                <w:rFonts w:ascii="Arial" w:hAnsi="Arial" w:cs="Arial"/>
                <w:i/>
                <w:color w:val="FF0000"/>
                <w:kern w:val="24"/>
                <w:sz w:val="16"/>
                <w:szCs w:val="16"/>
              </w:rPr>
              <w:t xml:space="preserve">GPs reported a lack of specific training to implement behaviour change interventions, but some GPs believed </w:t>
            </w:r>
            <w:r w:rsidRPr="009771E9">
              <w:rPr>
                <w:rFonts w:ascii="Arial" w:hAnsi="Arial" w:cs="Arial"/>
                <w:i/>
                <w:color w:val="FF0000"/>
                <w:kern w:val="24"/>
                <w:sz w:val="16"/>
                <w:szCs w:val="16"/>
              </w:rPr>
              <w:lastRenderedPageBreak/>
              <w:t xml:space="preserve">that they did not need special training to implement behaviour change interventions. It was viewed as being intrinsic to their medical </w:t>
            </w:r>
            <w:r w:rsidRPr="00853E4E">
              <w:rPr>
                <w:rFonts w:ascii="Arial" w:hAnsi="Arial" w:cs="Arial"/>
                <w:i/>
                <w:color w:val="FF0000"/>
                <w:sz w:val="16"/>
                <w:szCs w:val="16"/>
                <w:lang w:val="en-NZ"/>
              </w:rPr>
              <w:t xml:space="preserve">training. </w:t>
            </w:r>
            <w:r w:rsidRPr="00853E4E">
              <w:rPr>
                <w:rFonts w:ascii="Arial" w:hAnsi="Arial" w:cs="Arial"/>
                <w:i/>
                <w:color w:val="FF0000"/>
                <w:sz w:val="16"/>
                <w:szCs w:val="16"/>
                <w:lang w:val="en-NZ"/>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FF0000"/>
                <w:sz w:val="16"/>
                <w:szCs w:val="16"/>
                <w:lang w:val="en-NZ"/>
              </w:rPr>
              <w:instrText xml:space="preserve"> ADDIN EN.CITE </w:instrText>
            </w:r>
            <w:r>
              <w:rPr>
                <w:rFonts w:ascii="Arial" w:hAnsi="Arial" w:cs="Arial"/>
                <w:i/>
                <w:color w:val="FF0000"/>
                <w:sz w:val="16"/>
                <w:szCs w:val="16"/>
                <w:lang w:val="en-NZ"/>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FF0000"/>
                <w:sz w:val="16"/>
                <w:szCs w:val="16"/>
                <w:lang w:val="en-NZ"/>
              </w:rPr>
              <w:instrText xml:space="preserve"> ADDIN EN.CITE.DATA </w:instrText>
            </w:r>
            <w:r>
              <w:rPr>
                <w:rFonts w:ascii="Arial" w:hAnsi="Arial" w:cs="Arial"/>
                <w:i/>
                <w:color w:val="FF0000"/>
                <w:sz w:val="16"/>
                <w:szCs w:val="16"/>
                <w:lang w:val="en-NZ"/>
              </w:rPr>
            </w:r>
            <w:r>
              <w:rPr>
                <w:rFonts w:ascii="Arial" w:hAnsi="Arial" w:cs="Arial"/>
                <w:i/>
                <w:color w:val="FF0000"/>
                <w:sz w:val="16"/>
                <w:szCs w:val="16"/>
                <w:lang w:val="en-NZ"/>
              </w:rPr>
              <w:fldChar w:fldCharType="end"/>
            </w:r>
            <w:r w:rsidRPr="00853E4E">
              <w:rPr>
                <w:rFonts w:ascii="Arial" w:hAnsi="Arial" w:cs="Arial"/>
                <w:i/>
                <w:color w:val="FF0000"/>
                <w:sz w:val="16"/>
                <w:szCs w:val="16"/>
                <w:lang w:val="en-NZ"/>
              </w:rPr>
            </w:r>
            <w:r w:rsidRPr="00853E4E">
              <w:rPr>
                <w:rFonts w:ascii="Arial" w:hAnsi="Arial" w:cs="Arial"/>
                <w:i/>
                <w:color w:val="FF0000"/>
                <w:sz w:val="16"/>
                <w:szCs w:val="16"/>
                <w:lang w:val="en-NZ"/>
              </w:rPr>
              <w:fldChar w:fldCharType="separate"/>
            </w:r>
            <w:r>
              <w:rPr>
                <w:rFonts w:ascii="Arial" w:hAnsi="Arial" w:cs="Arial"/>
                <w:i/>
                <w:noProof/>
                <w:color w:val="FF0000"/>
                <w:sz w:val="16"/>
                <w:szCs w:val="16"/>
                <w:lang w:val="en-NZ"/>
              </w:rPr>
              <w:t>(19)</w:t>
            </w:r>
            <w:r w:rsidRPr="00853E4E">
              <w:rPr>
                <w:rFonts w:ascii="Arial" w:hAnsi="Arial" w:cs="Arial"/>
                <w:i/>
                <w:color w:val="FF0000"/>
                <w:sz w:val="16"/>
                <w:szCs w:val="16"/>
                <w:lang w:val="en-NZ"/>
              </w:rPr>
              <w:fldChar w:fldCharType="end"/>
            </w:r>
          </w:p>
        </w:tc>
      </w:tr>
      <w:tr w:rsidR="00C63ACE" w:rsidRPr="005A6797" w14:paraId="4713FDDA" w14:textId="77777777" w:rsidTr="0052052E">
        <w:trPr>
          <w:cnfStyle w:val="000000100000" w:firstRow="0" w:lastRow="0" w:firstColumn="0" w:lastColumn="0" w:oddVBand="0" w:evenVBand="0" w:oddHBand="1" w:evenHBand="0" w:firstRowFirstColumn="0" w:firstRowLastColumn="0" w:lastRowFirstColumn="0" w:lastRowLastColumn="0"/>
          <w:trHeight w:val="585"/>
        </w:trPr>
        <w:tc>
          <w:tcPr>
            <w:tcW w:w="3255" w:type="dxa"/>
            <w:vMerge/>
            <w:tcBorders>
              <w:right w:val="nil"/>
            </w:tcBorders>
            <w:shd w:val="clear" w:color="auto" w:fill="auto"/>
          </w:tcPr>
          <w:p w14:paraId="65CA563C"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1E5B31BD"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HCP training to communicate risk</w:t>
            </w:r>
          </w:p>
        </w:tc>
        <w:tc>
          <w:tcPr>
            <w:tcW w:w="8163" w:type="dxa"/>
            <w:tcBorders>
              <w:left w:val="nil"/>
            </w:tcBorders>
            <w:shd w:val="clear" w:color="auto" w:fill="auto"/>
          </w:tcPr>
          <w:p w14:paraId="2B8FCF64"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 xml:space="preserve">"You’ll have all the staff who may not be aware of what harm they could be doing…So I think the person would have to have the skill to know this patient doesn’t wish to </w:t>
            </w:r>
            <w:r w:rsidRPr="00853E4E">
              <w:rPr>
                <w:rFonts w:ascii="Arial" w:hAnsi="Arial" w:cs="Arial"/>
                <w:i/>
                <w:color w:val="FF0000"/>
                <w:sz w:val="16"/>
                <w:szCs w:val="16"/>
                <w:lang w:val="en-NZ"/>
              </w:rPr>
              <w:t xml:space="preserve">know." </w:t>
            </w:r>
            <w:r w:rsidRPr="00853E4E">
              <w:rPr>
                <w:rFonts w:ascii="Arial" w:hAnsi="Arial" w:cs="Arial"/>
                <w:i/>
                <w:color w:val="FF0000"/>
                <w:sz w:val="16"/>
                <w:szCs w:val="16"/>
                <w:lang w:val="en-NZ"/>
              </w:rPr>
              <w:fldChar w:fldCharType="begin"/>
            </w:r>
            <w:r>
              <w:rPr>
                <w:rFonts w:ascii="Arial" w:hAnsi="Arial" w:cs="Arial"/>
                <w:i/>
                <w:color w:val="FF0000"/>
                <w:sz w:val="16"/>
                <w:szCs w:val="16"/>
                <w:lang w:val="en-NZ"/>
              </w:rPr>
              <w:instrText xml:space="preserve"> ADDIN EN.CITE &lt;EndNote&gt;&lt;Cite&gt;&lt;Author&gt;Boase&lt;/Author&gt;&lt;Year&gt;2012&lt;/Year&gt;&lt;RecNum&gt;8&lt;/RecNum&gt;&lt;DisplayText&gt;(21)&lt;/DisplayText&gt;&lt;record&gt;&lt;rec-number&gt;8&lt;/rec-number&gt;&lt;foreign-keys&gt;&lt;key app="EN" db-id="f9edtwwtof5ftneevt1pr0voafdvfedx92e2" timestamp="1550219648"&gt;8&lt;/key&gt;&lt;/foreign-keys&gt;&lt;ref-type name="Journal Article"&gt;17&lt;/ref-type&gt;&lt;contributors&gt;&lt;authors&gt;&lt;author&gt;Boase, S.&lt;/author&gt;&lt;author&gt;Mason, D.&lt;/author&gt;&lt;author&gt;Sutton, S.&lt;/author&gt;&lt;author&gt;Cohn, S.&lt;/author&gt;&lt;/authors&gt;&lt;/contributors&gt;&lt;auth-address&gt;Boase, Sue. General Practice and Primary Care Research Unit, University of Cambridge, Cambridge, UK. sab72@medschl.cam.ac.uk&lt;/auth-address&gt;&lt;titles&gt;&lt;title&gt;Tinkering and tailoring individual consultations: how practice nurses try to make cardiovascular risk communication meaningful&lt;/title&gt;&lt;secondary-title&gt;Journal of Clinical Nursing&lt;/secondary-title&gt;&lt;/titles&gt;&lt;periodical&gt;&lt;full-title&gt;Journal of Clinical Nursing&lt;/full-title&gt;&lt;/periodical&gt;&lt;pages&gt;2590-8&lt;/pages&gt;&lt;volume&gt;21&lt;/volume&gt;&lt;number&gt;17-18&lt;/number&gt;&lt;dates&gt;&lt;year&gt;2012&lt;/year&gt;&lt;/dates&gt;&lt;accession-num&gt;22788734&lt;/accession-num&gt;&lt;work-type&gt;Research Support, Non-U.S. Gov&amp;apos;t&lt;/work-type&gt;&lt;urls&gt;&lt;related-urls&gt;&lt;url&gt;http://ovidsp.ovid.com/ovidweb.cgi?T=JS&amp;amp;CSC=Y&amp;amp;NEWS=N&amp;amp;PAGE=fulltext&amp;amp;D=med7&amp;amp;AN=22788734&lt;/url&gt;&lt;url&gt;https://onlinelibrary.wiley.com/doi/abs/10.1111/j.1365-2702.2012.04167.x&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sz w:val="16"/>
                <w:szCs w:val="16"/>
                <w:lang w:val="en-NZ"/>
              </w:rPr>
              <w:fldChar w:fldCharType="separate"/>
            </w:r>
            <w:r>
              <w:rPr>
                <w:rFonts w:ascii="Arial" w:hAnsi="Arial" w:cs="Arial"/>
                <w:i/>
                <w:noProof/>
                <w:color w:val="FF0000"/>
                <w:sz w:val="16"/>
                <w:szCs w:val="16"/>
                <w:lang w:val="en-NZ"/>
              </w:rPr>
              <w:t>(21)</w:t>
            </w:r>
            <w:r w:rsidRPr="00853E4E">
              <w:rPr>
                <w:rFonts w:ascii="Arial" w:hAnsi="Arial" w:cs="Arial"/>
                <w:i/>
                <w:color w:val="FF0000"/>
                <w:sz w:val="16"/>
                <w:szCs w:val="16"/>
                <w:lang w:val="en-NZ"/>
              </w:rPr>
              <w:fldChar w:fldCharType="end"/>
            </w:r>
          </w:p>
        </w:tc>
      </w:tr>
      <w:tr w:rsidR="00C63ACE" w:rsidRPr="005A6797" w14:paraId="538C8EF1" w14:textId="77777777" w:rsidTr="0052052E">
        <w:trPr>
          <w:trHeight w:val="754"/>
        </w:trPr>
        <w:tc>
          <w:tcPr>
            <w:tcW w:w="3255" w:type="dxa"/>
            <w:tcBorders>
              <w:right w:val="nil"/>
            </w:tcBorders>
            <w:shd w:val="clear" w:color="auto" w:fill="auto"/>
          </w:tcPr>
          <w:p w14:paraId="64FE7BD2" w14:textId="77777777" w:rsidR="00C63ACE" w:rsidRPr="009771E9" w:rsidRDefault="00C63ACE" w:rsidP="0052052E">
            <w:pPr>
              <w:spacing w:before="120" w:after="120" w:line="276" w:lineRule="auto"/>
              <w:jc w:val="left"/>
              <w:rPr>
                <w:rFonts w:ascii="Arial" w:hAnsi="Arial" w:cs="Arial"/>
                <w:color w:val="0070C0"/>
                <w:sz w:val="16"/>
                <w:szCs w:val="16"/>
                <w:lang w:val="en-NZ"/>
              </w:rPr>
            </w:pPr>
            <w:r w:rsidRPr="009771E9">
              <w:rPr>
                <w:rFonts w:ascii="Arial" w:hAnsi="Arial" w:cs="Arial"/>
                <w:color w:val="000000" w:themeColor="text1"/>
                <w:kern w:val="24"/>
                <w:sz w:val="16"/>
                <w:szCs w:val="16"/>
              </w:rPr>
              <w:t>Memory attention decision processes (psychological capability</w:t>
            </w:r>
          </w:p>
        </w:tc>
        <w:tc>
          <w:tcPr>
            <w:tcW w:w="2616" w:type="dxa"/>
            <w:tcBorders>
              <w:left w:val="nil"/>
              <w:right w:val="nil"/>
            </w:tcBorders>
            <w:shd w:val="clear" w:color="auto" w:fill="auto"/>
          </w:tcPr>
          <w:p w14:paraId="11E10926" w14:textId="77777777" w:rsidR="00C63ACE" w:rsidRPr="009771E9" w:rsidRDefault="00C63ACE" w:rsidP="0052052E">
            <w:pPr>
              <w:spacing w:before="120" w:after="120" w:line="276" w:lineRule="auto"/>
              <w:ind w:left="140" w:right="197"/>
              <w:jc w:val="left"/>
              <w:rPr>
                <w:rFonts w:ascii="Arial" w:hAnsi="Arial" w:cs="Arial"/>
                <w:color w:val="0070C0"/>
                <w:sz w:val="16"/>
                <w:szCs w:val="16"/>
                <w:lang w:val="en-NZ"/>
              </w:rPr>
            </w:pPr>
            <w:r w:rsidRPr="009771E9">
              <w:rPr>
                <w:rFonts w:ascii="Arial" w:hAnsi="Arial" w:cs="Arial"/>
                <w:color w:val="0070C0"/>
                <w:kern w:val="24"/>
                <w:sz w:val="16"/>
                <w:szCs w:val="16"/>
              </w:rPr>
              <w:t>Behavioural intervention before pharmacological intervention</w:t>
            </w:r>
          </w:p>
        </w:tc>
        <w:tc>
          <w:tcPr>
            <w:tcW w:w="8163" w:type="dxa"/>
            <w:tcBorders>
              <w:left w:val="nil"/>
            </w:tcBorders>
            <w:shd w:val="clear" w:color="auto" w:fill="auto"/>
          </w:tcPr>
          <w:p w14:paraId="0128B2D4" w14:textId="77777777" w:rsidR="00C63ACE" w:rsidRPr="009771E9" w:rsidRDefault="00C63ACE" w:rsidP="0052052E">
            <w:pPr>
              <w:snapToGrid w:val="0"/>
              <w:spacing w:before="120" w:after="120" w:line="252" w:lineRule="auto"/>
              <w:jc w:val="left"/>
              <w:rPr>
                <w:rFonts w:ascii="Arial" w:hAnsi="Arial" w:cs="Arial"/>
                <w:i/>
                <w:color w:val="FF0000"/>
                <w:sz w:val="16"/>
                <w:szCs w:val="16"/>
                <w:lang w:val="en-NZ"/>
              </w:rPr>
            </w:pPr>
            <w:r w:rsidRPr="009771E9">
              <w:rPr>
                <w:rFonts w:ascii="Arial" w:hAnsi="Arial" w:cs="Arial"/>
                <w:i/>
                <w:color w:val="FF0000"/>
                <w:sz w:val="16"/>
                <w:szCs w:val="16"/>
                <w:lang w:val="en-NZ"/>
              </w:rPr>
              <w:t xml:space="preserve">Health professionals thought that patients were more likely to take medication rather than make lifestyle changes to reduce risk, as this was easier. </w:t>
            </w:r>
            <w:r w:rsidRPr="00853E4E">
              <w:rPr>
                <w:rFonts w:ascii="Arial" w:hAnsi="Arial" w:cs="Arial"/>
                <w:i/>
                <w:color w:val="FF0000"/>
                <w:sz w:val="16"/>
                <w:szCs w:val="16"/>
                <w:lang w:val="en-NZ"/>
              </w:rPr>
              <w:fldChar w:fldCharType="begin"/>
            </w:r>
            <w:r>
              <w:rPr>
                <w:rFonts w:ascii="Arial" w:hAnsi="Arial" w:cs="Arial"/>
                <w:i/>
                <w:color w:val="FF0000"/>
                <w:sz w:val="16"/>
                <w:szCs w:val="16"/>
                <w:lang w:val="en-NZ"/>
              </w:rPr>
              <w:instrText xml:space="preserve"> ADDIN EN.CITE &lt;EndNote&gt;&lt;Cite&gt;&lt;Author&gt;Kirby&lt;/Author&gt;&lt;Year&gt;2009&lt;/Year&gt;&lt;RecNum&gt;35&lt;/RecNum&gt;&lt;DisplayText&gt;(32)&lt;/DisplayText&gt;&lt;record&gt;&lt;rec-number&gt;35&lt;/rec-number&gt;&lt;foreign-keys&gt;&lt;key app="EN" db-id="f9edtwwtof5ftneevt1pr0voafdvfedx92e2" timestamp="1550219648"&gt;35&lt;/key&gt;&lt;/foreign-keys&gt;&lt;ref-type name="Journal Article"&gt;17&lt;/ref-type&gt;&lt;contributors&gt;&lt;authors&gt;&lt;author&gt;Kirby, M.&lt;/author&gt;&lt;author&gt;Machen, I.&lt;/author&gt;&lt;/authors&gt;&lt;/contributors&gt;&lt;auth-address&gt;Kirby, M. Clinical Trials Co-ordinating Centre, Faculty of Health and Human Sciences, University of Hertfordshire, College Lane, Hatfield, Herts, UK. kirbym@globalnet.co.uk&lt;/auth-address&gt;&lt;titles&gt;&lt;title&gt;Impact on clinical practice of the Joint British Societies&amp;apos; cardiovascular risk assessment tools&lt;/title&gt;&lt;secondary-title&gt;International Journal of Clinical Practice&lt;/secondary-title&gt;&lt;/titles&gt;&lt;periodical&gt;&lt;full-title&gt;International Journal of Clinical Practice&lt;/full-title&gt;&lt;/periodical&gt;&lt;pages&gt;1683-92&lt;/pages&gt;&lt;volume&gt;63&lt;/volume&gt;&lt;number&gt;12&lt;/number&gt;&lt;dates&gt;&lt;year&gt;2009&lt;/year&gt;&lt;/dates&gt;&lt;accession-num&gt;19930330&lt;/accession-num&gt;&lt;work-type&gt;Research Support, Non-U.S. Gov&amp;apos;t&lt;/work-type&gt;&lt;urls&gt;&lt;related-urls&gt;&lt;url&gt;http://ovidsp.ovid.com/ovidweb.cgi?T=JS&amp;amp;CSC=Y&amp;amp;NEWS=N&amp;amp;PAGE=fulltext&amp;amp;D=med6&amp;amp;AN=19930330&lt;/url&gt;&lt;url&gt;https://onlinelibrary.wiley.com/doi/abs/10.1111/j.1742-1241.2009.02201.x&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sz w:val="16"/>
                <w:szCs w:val="16"/>
                <w:lang w:val="en-NZ"/>
              </w:rPr>
              <w:fldChar w:fldCharType="separate"/>
            </w:r>
            <w:r>
              <w:rPr>
                <w:rFonts w:ascii="Arial" w:hAnsi="Arial" w:cs="Arial"/>
                <w:i/>
                <w:noProof/>
                <w:color w:val="FF0000"/>
                <w:sz w:val="16"/>
                <w:szCs w:val="16"/>
                <w:lang w:val="en-NZ"/>
              </w:rPr>
              <w:t>(32)</w:t>
            </w:r>
            <w:r w:rsidRPr="00853E4E">
              <w:rPr>
                <w:rFonts w:ascii="Arial" w:hAnsi="Arial" w:cs="Arial"/>
                <w:i/>
                <w:color w:val="FF0000"/>
                <w:sz w:val="16"/>
                <w:szCs w:val="16"/>
                <w:lang w:val="en-NZ"/>
              </w:rPr>
              <w:fldChar w:fldCharType="end"/>
            </w:r>
          </w:p>
          <w:p w14:paraId="11610F17" w14:textId="77777777" w:rsidR="00C63ACE" w:rsidRPr="009771E9" w:rsidRDefault="00C63ACE" w:rsidP="0052052E">
            <w:pPr>
              <w:snapToGrid w:val="0"/>
              <w:spacing w:before="120" w:after="120" w:line="252" w:lineRule="auto"/>
              <w:jc w:val="left"/>
              <w:rPr>
                <w:rFonts w:ascii="Arial" w:hAnsi="Arial" w:cs="Arial"/>
                <w:i/>
                <w:color w:val="FF0000"/>
                <w:sz w:val="16"/>
                <w:szCs w:val="16"/>
                <w:lang w:val="en-NZ"/>
              </w:rPr>
            </w:pPr>
            <w:r w:rsidRPr="009771E9">
              <w:rPr>
                <w:rFonts w:ascii="Arial" w:hAnsi="Arial" w:cs="Arial"/>
                <w:i/>
                <w:color w:val="00B050"/>
                <w:sz w:val="16"/>
                <w:szCs w:val="16"/>
                <w:lang w:val="en-NZ"/>
              </w:rPr>
              <w:t>There was a view that as lifestyle change is possible, opting for medication as a first line treatment is not the best strategy</w:t>
            </w:r>
            <w:r w:rsidRPr="00853E4E">
              <w:rPr>
                <w:rFonts w:ascii="Arial" w:hAnsi="Arial" w:cs="Arial"/>
                <w:i/>
                <w:color w:val="00B050"/>
                <w:kern w:val="24"/>
                <w:sz w:val="16"/>
                <w:szCs w:val="16"/>
              </w:rPr>
              <w:t xml:space="preserv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&lt;EndNote&gt;&lt;Cite&gt;&lt;Author&gt;Honey&lt;/Author&gt;&lt;Year&gt;2013&lt;/Year&gt;&lt;RecNum&gt;30&lt;/RecNum&gt;&lt;DisplayText&gt;(27)&lt;/DisplayText&gt;&lt;record&gt;&lt;rec-number&gt;30&lt;/rec-number&gt;&lt;foreign-keys&gt;&lt;key app="EN" db-id="f9edtwwtof5ftneevt1pr0voafdvfedx92e2" timestamp="1550219648"&gt;30&lt;/key&gt;&lt;/foreign-keys&gt;&lt;ref-type name="Journal Article"&gt;17&lt;/ref-type&gt;&lt;contributors&gt;&lt;authors&gt;&lt;author&gt;Honey, S.&lt;/author&gt;&lt;author&gt;Bryant, L. D.&lt;/author&gt;&lt;author&gt;Murray, J.&lt;/author&gt;&lt;author&gt;Hill, K.&lt;/author&gt;&lt;author&gt;House, A.&lt;/author&gt;&lt;/authors&gt;&lt;/contributors&gt;&lt;auth-address&gt;Honey, Stephanie. Leeds Institute of Health Sciences, Charles Thackrah Building, University of Leeds, 101 Clarendon Road, Leeds LS2 9LJ, UK. S.A.Honey@leeds.ac.uk.&lt;/auth-address&gt;&lt;titles&gt;&lt;title&gt;Differences in the perceived role of the healthcare provider in delivering vascular health checks: a Q methodology study&lt;/title&gt;&lt;secondary-title&gt;BMC Family Practice&lt;/secondary-title&gt;&lt;/titles&gt;&lt;periodical&gt;&lt;full-title&gt;BMC Family Practice&lt;/full-title&gt;&lt;/periodical&gt;&lt;pages&gt;172&lt;/pages&gt;&lt;volume&gt;14&lt;/volume&gt;&lt;dates&gt;&lt;year&gt;2013&lt;/year&gt;&lt;/dates&gt;&lt;accession-num&gt;24229342&lt;/accession-num&gt;&lt;work-type&gt;Research Support, Non-U.S. Gov&amp;apos;t&lt;/work-type&gt;&lt;urls&gt;&lt;related-urls&gt;&lt;url&gt;http://ovidsp.ovid.com/ovidweb.cgi?T=JS&amp;amp;CSC=Y&amp;amp;NEWS=N&amp;amp;PAGE=fulltext&amp;amp;D=med7&amp;amp;AN=24229342&lt;/url&gt;&lt;url&gt;https://www.ncbi.nlm.nih.gov/pmc/articles/PMC3870972/pdf/1471-2296-14-172.pdf&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(27)</w:t>
            </w:r>
            <w:r w:rsidRPr="00853E4E">
              <w:rPr>
                <w:rFonts w:ascii="Arial" w:hAnsi="Arial" w:cs="Arial"/>
                <w:i/>
                <w:color w:val="00B050"/>
                <w:kern w:val="24"/>
                <w:sz w:val="16"/>
                <w:szCs w:val="16"/>
              </w:rPr>
              <w:fldChar w:fldCharType="end"/>
            </w:r>
          </w:p>
        </w:tc>
      </w:tr>
      <w:tr w:rsidR="00C63ACE" w:rsidRPr="005A6797" w14:paraId="7CEA9D10" w14:textId="77777777" w:rsidTr="0052052E">
        <w:trPr>
          <w:cnfStyle w:val="000000100000" w:firstRow="0" w:lastRow="0" w:firstColumn="0" w:lastColumn="0" w:oddVBand="0" w:evenVBand="0" w:oddHBand="1" w:evenHBand="0" w:firstRowFirstColumn="0" w:firstRowLastColumn="0" w:lastRowFirstColumn="0" w:lastRowLastColumn="0"/>
          <w:trHeight w:val="253"/>
        </w:trPr>
        <w:tc>
          <w:tcPr>
            <w:tcW w:w="3255" w:type="dxa"/>
            <w:vMerge w:val="restart"/>
            <w:tcBorders>
              <w:right w:val="nil"/>
            </w:tcBorders>
            <w:shd w:val="clear" w:color="auto" w:fill="auto"/>
          </w:tcPr>
          <w:p w14:paraId="5254919F"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Environmental context and resources </w:t>
            </w:r>
            <w:r w:rsidRPr="009771E9">
              <w:rPr>
                <w:rFonts w:ascii="Arial" w:hAnsi="Arial" w:cs="Arial"/>
                <w:color w:val="000000" w:themeColor="text1"/>
                <w:kern w:val="24"/>
                <w:sz w:val="16"/>
                <w:szCs w:val="16"/>
                <w:lang w:val="en-US"/>
              </w:rPr>
              <w:t>(physical opportunity)</w:t>
            </w:r>
          </w:p>
        </w:tc>
        <w:tc>
          <w:tcPr>
            <w:tcW w:w="2616" w:type="dxa"/>
            <w:tcBorders>
              <w:left w:val="nil"/>
              <w:right w:val="nil"/>
            </w:tcBorders>
            <w:shd w:val="clear" w:color="auto" w:fill="auto"/>
          </w:tcPr>
          <w:p w14:paraId="11636FA9"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Pr>
                <w:rFonts w:ascii="Arial" w:hAnsi="Arial" w:cs="Arial"/>
                <w:color w:val="FF0000"/>
                <w:kern w:val="24"/>
                <w:sz w:val="16"/>
                <w:szCs w:val="16"/>
              </w:rPr>
              <w:t>Limited</w:t>
            </w:r>
            <w:r w:rsidRPr="00B62FFB">
              <w:rPr>
                <w:rFonts w:ascii="Arial" w:hAnsi="Arial" w:cs="Arial"/>
                <w:color w:val="FF0000"/>
                <w:kern w:val="24"/>
                <w:sz w:val="16"/>
                <w:szCs w:val="16"/>
              </w:rPr>
              <w:t xml:space="preserve"> time/ resources to deliver NHS HC</w:t>
            </w:r>
          </w:p>
        </w:tc>
        <w:tc>
          <w:tcPr>
            <w:tcW w:w="8163" w:type="dxa"/>
            <w:tcBorders>
              <w:left w:val="nil"/>
            </w:tcBorders>
            <w:shd w:val="clear" w:color="auto" w:fill="auto"/>
          </w:tcPr>
          <w:p w14:paraId="2EBF5347" w14:textId="77777777" w:rsidR="00C63ACE" w:rsidRPr="00853E4E" w:rsidRDefault="00C63ACE" w:rsidP="0052052E">
            <w:pPr>
              <w:snapToGrid w:val="0"/>
              <w:spacing w:before="120" w:after="120" w:line="252" w:lineRule="auto"/>
              <w:jc w:val="left"/>
              <w:rPr>
                <w:rFonts w:ascii="Arial" w:hAnsi="Arial" w:cs="Arial"/>
                <w:i/>
                <w:color w:val="FF0000"/>
                <w:kern w:val="24"/>
                <w:sz w:val="16"/>
                <w:szCs w:val="16"/>
              </w:rPr>
            </w:pPr>
            <w:r w:rsidRPr="009771E9">
              <w:rPr>
                <w:rFonts w:ascii="Arial" w:hAnsi="Arial" w:cs="Arial"/>
                <w:i/>
                <w:color w:val="FF0000"/>
                <w:kern w:val="24"/>
                <w:sz w:val="16"/>
                <w:szCs w:val="16"/>
              </w:rPr>
              <w:t xml:space="preserve">The 10-min consultation was considered too short to perform the risk assessment, give patient-centred lifestyle advice, and fully explain any prescribed medication.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&lt;EndNote&gt;&lt;Cite&gt;&lt;Author&gt;Boase&lt;/Author&gt;&lt;Year&gt;2012&lt;/Year&gt;&lt;RecNum&gt;8&lt;/RecNum&gt;&lt;DisplayText&gt;(21)&lt;/DisplayText&gt;&lt;record&gt;&lt;rec-number&gt;8&lt;/rec-number&gt;&lt;foreign-keys&gt;&lt;key app="EN" db-id="f9edtwwtof5ftneevt1pr0voafdvfedx92e2" timestamp="1550219648"&gt;8&lt;/key&gt;&lt;/foreign-keys&gt;&lt;ref-type name="Journal Article"&gt;17&lt;/ref-type&gt;&lt;contributors&gt;&lt;authors&gt;&lt;author&gt;Boase, S.&lt;/author&gt;&lt;author&gt;Mason, D.&lt;/author&gt;&lt;author&gt;Sutton, S.&lt;/author&gt;&lt;author&gt;Cohn, S.&lt;/author&gt;&lt;/authors&gt;&lt;/contributors&gt;&lt;auth-address&gt;Boase, Sue. General Practice and Primary Care Research Unit, University of Cambridge, Cambridge, UK. sab72@medschl.cam.ac.uk&lt;/auth-address&gt;&lt;titles&gt;&lt;title&gt;Tinkering and tailoring individual consultations: how practice nurses try to make cardiovascular risk communication meaningful&lt;/title&gt;&lt;secondary-title&gt;Journal of Clinical Nursing&lt;/secondary-title&gt;&lt;/titles&gt;&lt;periodical&gt;&lt;full-title&gt;Journal of Clinical Nursing&lt;/full-title&gt;&lt;/periodical&gt;&lt;pages&gt;2590-8&lt;/pages&gt;&lt;volume&gt;21&lt;/volume&gt;&lt;number&gt;17-18&lt;/number&gt;&lt;dates&gt;&lt;year&gt;2012&lt;/year&gt;&lt;/dates&gt;&lt;accession-num&gt;22788734&lt;/accession-num&gt;&lt;work-type&gt;Research Support, Non-U.S. Gov&amp;apos;t&lt;/work-type&gt;&lt;urls&gt;&lt;related-urls&gt;&lt;url&gt;http://ovidsp.ovid.com/ovidweb.cgi?T=JS&amp;amp;CSC=Y&amp;amp;NEWS=N&amp;amp;PAGE=fulltext&amp;amp;D=med7&amp;amp;AN=22788734&lt;/url&gt;&lt;url&gt;https://onlinelibrary.wiley.com/doi/abs/10.1111/j.1365-2702.2012.04167.x&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(21)</w:t>
            </w:r>
            <w:r w:rsidRPr="00853E4E">
              <w:rPr>
                <w:rFonts w:ascii="Arial" w:hAnsi="Arial" w:cs="Arial"/>
                <w:i/>
                <w:color w:val="FF0000"/>
                <w:kern w:val="24"/>
                <w:sz w:val="16"/>
                <w:szCs w:val="16"/>
              </w:rPr>
              <w:fldChar w:fldCharType="end"/>
            </w:r>
          </w:p>
        </w:tc>
      </w:tr>
      <w:tr w:rsidR="00C63ACE" w:rsidRPr="005A6797" w14:paraId="6A335693" w14:textId="77777777" w:rsidTr="0052052E">
        <w:trPr>
          <w:trHeight w:val="139"/>
        </w:trPr>
        <w:tc>
          <w:tcPr>
            <w:tcW w:w="3255" w:type="dxa"/>
            <w:vMerge/>
            <w:tcBorders>
              <w:right w:val="nil"/>
            </w:tcBorders>
            <w:shd w:val="clear" w:color="auto" w:fill="auto"/>
          </w:tcPr>
          <w:p w14:paraId="4F985996"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22B1A330"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Appropriate space to deliver NHS HC</w:t>
            </w:r>
          </w:p>
        </w:tc>
        <w:tc>
          <w:tcPr>
            <w:tcW w:w="8163" w:type="dxa"/>
            <w:tcBorders>
              <w:left w:val="nil"/>
            </w:tcBorders>
            <w:shd w:val="clear" w:color="auto" w:fill="auto"/>
          </w:tcPr>
          <w:p w14:paraId="13CE3E29" w14:textId="77777777" w:rsidR="00C63ACE" w:rsidRPr="00853E4E" w:rsidRDefault="00C63ACE" w:rsidP="0052052E">
            <w:pPr>
              <w:snapToGrid w:val="0"/>
              <w:spacing w:before="120" w:after="120" w:line="252" w:lineRule="auto"/>
              <w:jc w:val="left"/>
              <w:rPr>
                <w:rFonts w:ascii="Arial" w:hAnsi="Arial" w:cs="Arial"/>
                <w:i/>
                <w:color w:val="FF0000"/>
                <w:kern w:val="24"/>
                <w:sz w:val="16"/>
                <w:szCs w:val="16"/>
              </w:rPr>
            </w:pPr>
            <w:r w:rsidRPr="009771E9">
              <w:rPr>
                <w:rFonts w:ascii="Arial" w:hAnsi="Arial" w:cs="Arial"/>
                <w:i/>
                <w:color w:val="FF0000"/>
                <w:kern w:val="24"/>
                <w:sz w:val="16"/>
                <w:szCs w:val="16"/>
              </w:rPr>
              <w:t xml:space="preserve">“I don’t think you come across very professional when you’re sitting in a kitchen and all huddled round and all on top of each other. And it’s not very nice for the patients, because…quite personal information.” </w:t>
            </w:r>
            <w:r w:rsidRPr="00853E4E">
              <w:rPr>
                <w:rFonts w:ascii="Arial" w:hAnsi="Arial" w:cs="Arial"/>
                <w:i/>
                <w:color w:val="FF0000"/>
                <w:kern w:val="24"/>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FF0000"/>
                <w:kern w:val="24"/>
                <w:sz w:val="16"/>
                <w:szCs w:val="16"/>
              </w:rPr>
              <w:instrText xml:space="preserve"> ADDIN EN.CITE </w:instrText>
            </w:r>
            <w:r>
              <w:rPr>
                <w:rFonts w:ascii="Arial" w:hAnsi="Arial" w:cs="Arial"/>
                <w:i/>
                <w:color w:val="FF0000"/>
                <w:kern w:val="24"/>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FF0000"/>
                <w:kern w:val="24"/>
                <w:sz w:val="16"/>
                <w:szCs w:val="16"/>
              </w:rPr>
              <w:instrText xml:space="preserve"> ADDIN EN.CITE.DATA </w:instrText>
            </w:r>
            <w:r>
              <w:rPr>
                <w:rFonts w:ascii="Arial" w:hAnsi="Arial" w:cs="Arial"/>
                <w:i/>
                <w:color w:val="FF0000"/>
                <w:kern w:val="24"/>
                <w:sz w:val="16"/>
                <w:szCs w:val="16"/>
              </w:rPr>
            </w:r>
            <w:r>
              <w:rPr>
                <w:rFonts w:ascii="Arial" w:hAnsi="Arial" w:cs="Arial"/>
                <w:i/>
                <w:color w:val="FF0000"/>
                <w:kern w:val="24"/>
                <w:sz w:val="16"/>
                <w:szCs w:val="16"/>
              </w:rPr>
              <w:fldChar w:fldCharType="end"/>
            </w:r>
            <w:r w:rsidRPr="00853E4E">
              <w:rPr>
                <w:rFonts w:ascii="Arial" w:hAnsi="Arial" w:cs="Arial"/>
                <w:i/>
                <w:color w:val="FF0000"/>
                <w:kern w:val="24"/>
                <w:sz w:val="16"/>
                <w:szCs w:val="16"/>
              </w:rPr>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(48)</w:t>
            </w:r>
            <w:r w:rsidRPr="00853E4E">
              <w:rPr>
                <w:rFonts w:ascii="Arial" w:hAnsi="Arial" w:cs="Arial"/>
                <w:i/>
                <w:color w:val="FF0000"/>
                <w:kern w:val="24"/>
                <w:sz w:val="16"/>
                <w:szCs w:val="16"/>
              </w:rPr>
              <w:fldChar w:fldCharType="end"/>
            </w:r>
          </w:p>
        </w:tc>
      </w:tr>
      <w:tr w:rsidR="00C63ACE" w:rsidRPr="005A6797" w14:paraId="314514E2" w14:textId="77777777" w:rsidTr="0052052E">
        <w:trPr>
          <w:cnfStyle w:val="000000100000" w:firstRow="0" w:lastRow="0" w:firstColumn="0" w:lastColumn="0" w:oddVBand="0" w:evenVBand="0" w:oddHBand="1" w:evenHBand="0" w:firstRowFirstColumn="0" w:firstRowLastColumn="0" w:lastRowFirstColumn="0" w:lastRowLastColumn="0"/>
          <w:trHeight w:val="309"/>
        </w:trPr>
        <w:tc>
          <w:tcPr>
            <w:tcW w:w="3255" w:type="dxa"/>
            <w:vMerge/>
            <w:tcBorders>
              <w:right w:val="nil"/>
            </w:tcBorders>
            <w:shd w:val="clear" w:color="auto" w:fill="auto"/>
          </w:tcPr>
          <w:p w14:paraId="4E8D41A2"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1C1BC3D6"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Computer systems supporting NHS HC delivery</w:t>
            </w:r>
          </w:p>
        </w:tc>
        <w:tc>
          <w:tcPr>
            <w:tcW w:w="8163" w:type="dxa"/>
            <w:tcBorders>
              <w:left w:val="nil"/>
            </w:tcBorders>
            <w:shd w:val="clear" w:color="auto" w:fill="auto"/>
          </w:tcPr>
          <w:p w14:paraId="7034B65E" w14:textId="77777777" w:rsidR="00C63ACE" w:rsidRPr="00853E4E" w:rsidRDefault="00C63ACE" w:rsidP="0052052E">
            <w:pPr>
              <w:snapToGrid w:val="0"/>
              <w:spacing w:before="120" w:after="120" w:line="252" w:lineRule="auto"/>
              <w:jc w:val="left"/>
              <w:rPr>
                <w:rFonts w:ascii="Arial" w:hAnsi="Arial" w:cs="Arial"/>
                <w:i/>
                <w:color w:val="FF0000"/>
                <w:kern w:val="24"/>
                <w:sz w:val="16"/>
                <w:szCs w:val="16"/>
              </w:rPr>
            </w:pPr>
            <w:r w:rsidRPr="009771E9">
              <w:rPr>
                <w:rFonts w:ascii="Arial" w:hAnsi="Arial" w:cs="Arial"/>
                <w:i/>
                <w:color w:val="FF0000"/>
                <w:kern w:val="24"/>
                <w:sz w:val="16"/>
                <w:szCs w:val="16"/>
              </w:rPr>
              <w:t xml:space="preserve">Difficulties with information technology and computer software were mentioned in over half of the studies; 39% of practice managers in one study reported difficulties with the clinical system, software or errors in the existing data.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&lt;EndNote&gt;&lt;Cite&gt;&lt;Author&gt;Krska&lt;/Author&gt;&lt;Year&gt;2016&lt;/Year&gt;&lt;RecNum&gt;37&lt;/RecNum&gt;&lt;DisplayText&gt;(34)&lt;/DisplayText&gt;&lt;record&gt;&lt;rec-number&gt;37&lt;/rec-number&gt;&lt;foreign-keys&gt;&lt;key app="EN" db-id="f9edtwwtof5ftneevt1pr0voafdvfedx92e2" timestamp="1550219648"&gt;37&lt;/key&gt;&lt;/foreign-keys&gt;&lt;ref-type name="Journal Article"&gt;17&lt;/ref-type&gt;&lt;contributors&gt;&lt;authors&gt;&lt;author&gt;Krska, J.&lt;/author&gt;&lt;author&gt;du Plessis, R.&lt;/author&gt;&lt;author&gt;Chellaswamy, H.&lt;/author&gt;&lt;/authors&gt;&lt;/contributors&gt;&lt;auth-address&gt;Krska, Janet. 1Professor of Pharmacy Practice,School of Pharmacy and Biomolecular Sciences,Liverpool John Moores University,Liverpool,UK.&amp;#xD;du Plessis, Ruth. 2Public Health Development Manager,Sefton Council Public Health Department,Bootle,UK.&amp;#xD;Chellaswamy, Hannah. 3Deputy Director of Public Health,Sefton Council Public Health Department,Bootle,UK.&lt;/auth-address&gt;&lt;titles&gt;&lt;title&gt;Views of practice managers and general practitioners on implementing NHS Health Checks&lt;/title&gt;&lt;secondary-title&gt;Primary Health Care Research &amp;amp; Development&lt;/secondary-title&gt;&lt;/titles&gt;&lt;periodical&gt;&lt;full-title&gt;Primary Health Care Research &amp;amp; Development&lt;/full-title&gt;&lt;/periodical&gt;&lt;pages&gt;198-205&lt;/pages&gt;&lt;volume&gt;17&lt;/volume&gt;&lt;number&gt;2&lt;/number&gt;&lt;dates&gt;&lt;year&gt;2016&lt;/year&gt;&lt;/dates&gt;&lt;accession-num&gt;25991495&lt;/accession-num&gt;&lt;urls&gt;&lt;related-urls&gt;&lt;url&gt;http://ovidsp.ovid.com/ovidweb.cgi?T=JS&amp;amp;CSC=Y&amp;amp;NEWS=N&amp;amp;PAGE=fulltext&amp;amp;D=med8&amp;amp;AN=25991495&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(34)</w:t>
            </w:r>
            <w:r w:rsidRPr="00853E4E">
              <w:rPr>
                <w:rFonts w:ascii="Arial" w:hAnsi="Arial" w:cs="Arial"/>
                <w:i/>
                <w:color w:val="FF0000"/>
                <w:kern w:val="24"/>
                <w:sz w:val="16"/>
                <w:szCs w:val="16"/>
              </w:rPr>
              <w:fldChar w:fldCharType="end"/>
            </w:r>
          </w:p>
        </w:tc>
      </w:tr>
      <w:tr w:rsidR="00C63ACE" w:rsidRPr="005A6797" w14:paraId="7AE6ADFD" w14:textId="77777777" w:rsidTr="0052052E">
        <w:trPr>
          <w:trHeight w:val="1162"/>
        </w:trPr>
        <w:tc>
          <w:tcPr>
            <w:tcW w:w="3255" w:type="dxa"/>
            <w:tcBorders>
              <w:right w:val="nil"/>
            </w:tcBorders>
            <w:shd w:val="clear" w:color="auto" w:fill="auto"/>
          </w:tcPr>
          <w:p w14:paraId="423EE8C2"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Social influences </w:t>
            </w:r>
            <w:r w:rsidRPr="009771E9">
              <w:rPr>
                <w:rFonts w:ascii="Arial" w:eastAsiaTheme="minorEastAsia" w:hAnsi="Arial" w:cs="Arial"/>
                <w:color w:val="000000" w:themeColor="text1"/>
                <w:kern w:val="24"/>
                <w:sz w:val="16"/>
                <w:szCs w:val="16"/>
                <w:lang w:val="en-US"/>
              </w:rPr>
              <w:t>(social opportunity)</w:t>
            </w:r>
          </w:p>
        </w:tc>
        <w:tc>
          <w:tcPr>
            <w:tcW w:w="2616" w:type="dxa"/>
            <w:tcBorders>
              <w:left w:val="nil"/>
              <w:right w:val="nil"/>
            </w:tcBorders>
            <w:shd w:val="clear" w:color="auto" w:fill="auto"/>
          </w:tcPr>
          <w:p w14:paraId="02743F56"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 xml:space="preserve">Taking account of patients' social context </w:t>
            </w:r>
          </w:p>
        </w:tc>
        <w:tc>
          <w:tcPr>
            <w:tcW w:w="8163" w:type="dxa"/>
            <w:tcBorders>
              <w:left w:val="nil"/>
            </w:tcBorders>
            <w:shd w:val="clear" w:color="auto" w:fill="auto"/>
          </w:tcPr>
          <w:p w14:paraId="40AE6616" w14:textId="77777777" w:rsidR="00C63ACE" w:rsidRPr="009771E9"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Nurses considered it important to understand people’s social context, so that conversations about risk could always be individually appropriate.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&lt;EndNote&gt;&lt;Cite&gt;&lt;Author&gt;Boase&lt;/Author&gt;&lt;Year&gt;2012&lt;/Year&gt;&lt;RecNum&gt;8&lt;/RecNum&gt;&lt;DisplayText&gt;(21)&lt;/DisplayText&gt;&lt;record&gt;&lt;rec-number&gt;8&lt;/rec-number&gt;&lt;foreign-keys&gt;&lt;key app="EN" db-id="f9edtwwtof5ftneevt1pr0voafdvfedx92e2" timestamp="1550219648"&gt;8&lt;/key&gt;&lt;/foreign-keys&gt;&lt;ref-type name="Journal Article"&gt;17&lt;/ref-type&gt;&lt;contributors&gt;&lt;authors&gt;&lt;author&gt;Boase, S.&lt;/author&gt;&lt;author&gt;Mason, D.&lt;/author&gt;&lt;author&gt;Sutton, S.&lt;/author&gt;&lt;author&gt;Cohn, S.&lt;/author&gt;&lt;/authors&gt;&lt;/contributors&gt;&lt;auth-address&gt;Boase, Sue. General Practice and Primary Care Research Unit, University of Cambridge, Cambridge, UK. sab72@medschl.cam.ac.uk&lt;/auth-address&gt;&lt;titles&gt;&lt;title&gt;Tinkering and tailoring individual consultations: how practice nurses try to make cardiovascular risk communication meaningful&lt;/title&gt;&lt;secondary-title&gt;Journal of Clinical Nursing&lt;/secondary-title&gt;&lt;/titles&gt;&lt;periodical&gt;&lt;full-title&gt;Journal of Clinical Nursing&lt;/full-title&gt;&lt;/periodical&gt;&lt;pages&gt;2590-8&lt;/pages&gt;&lt;volume&gt;21&lt;/volume&gt;&lt;number&gt;17-18&lt;/number&gt;&lt;dates&gt;&lt;year&gt;2012&lt;/year&gt;&lt;/dates&gt;&lt;accession-num&gt;22788734&lt;/accession-num&gt;&lt;work-type&gt;Research Support, Non-U.S. Gov&amp;apos;t&lt;/work-type&gt;&lt;urls&gt;&lt;related-urls&gt;&lt;url&gt;http://ovidsp.ovid.com/ovidweb.cgi?T=JS&amp;amp;CSC=Y&amp;amp;NEWS=N&amp;amp;PAGE=fulltext&amp;amp;D=med7&amp;amp;AN=22788734&lt;/url&gt;&lt;url&gt;https://onlinelibrary.wiley.com/doi/abs/10.1111/j.1365-2702.2012.04167.x&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(21)</w:t>
            </w:r>
            <w:r w:rsidRPr="00853E4E">
              <w:rPr>
                <w:rFonts w:ascii="Arial" w:hAnsi="Arial" w:cs="Arial"/>
                <w:i/>
                <w:color w:val="00B050"/>
                <w:kern w:val="24"/>
                <w:sz w:val="16"/>
                <w:szCs w:val="16"/>
              </w:rPr>
              <w:fldChar w:fldCharType="end"/>
            </w:r>
          </w:p>
          <w:p w14:paraId="7D8F3B66" w14:textId="77777777" w:rsidR="00C63ACE" w:rsidRPr="009771E9" w:rsidRDefault="00C63ACE" w:rsidP="0052052E">
            <w:pPr>
              <w:snapToGrid w:val="0"/>
              <w:spacing w:before="120" w:after="120" w:line="252" w:lineRule="auto"/>
              <w:jc w:val="left"/>
              <w:rPr>
                <w:rFonts w:ascii="Arial" w:hAnsi="Arial" w:cs="Arial"/>
                <w:i/>
                <w:color w:val="FF0000"/>
                <w:kern w:val="24"/>
                <w:sz w:val="16"/>
                <w:szCs w:val="16"/>
              </w:rPr>
            </w:pPr>
            <w:r w:rsidRPr="009771E9">
              <w:rPr>
                <w:rFonts w:ascii="Arial" w:hAnsi="Arial" w:cs="Arial"/>
                <w:i/>
                <w:color w:val="00B050"/>
                <w:kern w:val="24"/>
                <w:sz w:val="16"/>
                <w:szCs w:val="16"/>
              </w:rPr>
              <w:br/>
            </w:r>
            <w:r w:rsidRPr="009771E9">
              <w:rPr>
                <w:rFonts w:ascii="Arial" w:hAnsi="Arial" w:cs="Arial"/>
                <w:i/>
                <w:color w:val="FF0000"/>
                <w:kern w:val="24"/>
                <w:sz w:val="16"/>
                <w:szCs w:val="16"/>
              </w:rPr>
              <w:t>Ten felt that the nurse/HCA failed to provide tailored advice that took into account their individual capabilities… or their particular circumstances such as availability of recreational spaces and childcare issues.</w:t>
            </w:r>
            <w:r>
              <w:rPr>
                <w:rFonts w:ascii="Arial" w:hAnsi="Arial" w:cs="Arial"/>
                <w:i/>
                <w:color w:val="FF0000"/>
                <w:kern w:val="24"/>
                <w:sz w:val="16"/>
                <w:szCs w:val="16"/>
              </w:rPr>
              <w:t xml:space="preserve">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&lt;EndNote&gt;&lt;Cite&gt;&lt;Author&gt;Ismail&lt;/Author&gt;&lt;Year&gt;2016&lt;/Year&gt;&lt;RecNum&gt;32&lt;/RecNum&gt;&lt;DisplayText&gt;(29)&lt;/DisplayText&gt;&lt;record&gt;&lt;rec-number&gt;32&lt;/rec-number&gt;&lt;foreign-keys&gt;&lt;key app="EN" db-id="f9edtwwtof5ftneevt1pr0voafdvfedx92e2" timestamp="1550219648"&gt;32&lt;/key&gt;&lt;/foreign-keys&gt;&lt;ref-type name="Journal Article"&gt;17&lt;/ref-type&gt;&lt;contributors&gt;&lt;authors&gt;&lt;author&gt;Ismail, H.&lt;/author&gt;&lt;author&gt;Atkin, K.&lt;/author&gt;&lt;/authors&gt;&lt;/contributors&gt;&lt;auth-address&gt;Ismail, Hanif. Faculty of Health and Life Sciences, York St John University, York, UK.&amp;#xD;Atkin, Karl. Department of Health Sciences, University of York, York, UK.&lt;/auth-address&gt;&lt;titles&gt;&lt;title&gt;The NHS Health Check programme: insights from a qualitative study of patients&lt;/title&gt;&lt;secondary-title&gt;Health Expectations&lt;/secondary-title&gt;&lt;/titles&gt;&lt;periodical&gt;&lt;full-title&gt;Health Expectations&lt;/full-title&gt;&lt;/periodical&gt;&lt;pages&gt;345-55&lt;/pages&gt;&lt;volume&gt;19&lt;/volume&gt;&lt;number&gt;2&lt;/number&gt;&lt;dates&gt;&lt;year&gt;2016&lt;/year&gt;&lt;/dates&gt;&lt;accession-num&gt;25732686&lt;/accession-num&gt;&lt;work-type&gt;Research Support, Non-U.S. Gov&amp;apos;t&lt;/work-type&gt;&lt;urls&gt;&lt;related-urls&gt;&lt;url&gt;http://ovidsp.ovid.com/ovidweb.cgi?T=JS&amp;amp;CSC=Y&amp;amp;NEWS=N&amp;amp;PAGE=fulltext&amp;amp;D=med8&amp;amp;AN=25732686&lt;/url&gt;&lt;url&gt;https://www.ncbi.nlm.nih.gov/pmc/articles/PMC5055268/pdf/HEX-19-345.pdf&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(29)</w:t>
            </w:r>
            <w:r w:rsidRPr="00853E4E">
              <w:rPr>
                <w:rFonts w:ascii="Arial" w:hAnsi="Arial" w:cs="Arial"/>
                <w:i/>
                <w:color w:val="FF0000"/>
                <w:kern w:val="24"/>
                <w:sz w:val="16"/>
                <w:szCs w:val="16"/>
              </w:rPr>
              <w:fldChar w:fldCharType="end"/>
            </w:r>
          </w:p>
        </w:tc>
      </w:tr>
      <w:tr w:rsidR="00C63ACE" w:rsidRPr="005A6797" w14:paraId="0CE1F333" w14:textId="77777777" w:rsidTr="0052052E">
        <w:trPr>
          <w:cnfStyle w:val="000000100000" w:firstRow="0" w:lastRow="0" w:firstColumn="0" w:lastColumn="0" w:oddVBand="0" w:evenVBand="0" w:oddHBand="1" w:evenHBand="0" w:firstRowFirstColumn="0" w:firstRowLastColumn="0" w:lastRowFirstColumn="0" w:lastRowLastColumn="0"/>
          <w:trHeight w:val="240"/>
        </w:trPr>
        <w:tc>
          <w:tcPr>
            <w:tcW w:w="3255" w:type="dxa"/>
            <w:vMerge w:val="restart"/>
            <w:tcBorders>
              <w:right w:val="nil"/>
            </w:tcBorders>
            <w:shd w:val="clear" w:color="auto" w:fill="auto"/>
          </w:tcPr>
          <w:p w14:paraId="7EADBF83"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Social/professional role and identity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6A99077D"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B050"/>
                <w:kern w:val="24"/>
                <w:sz w:val="16"/>
                <w:szCs w:val="16"/>
              </w:rPr>
              <w:t>Role clarity in delivering NHS HCs</w:t>
            </w:r>
          </w:p>
        </w:tc>
        <w:tc>
          <w:tcPr>
            <w:tcW w:w="8163" w:type="dxa"/>
            <w:tcBorders>
              <w:left w:val="nil"/>
            </w:tcBorders>
            <w:shd w:val="clear" w:color="auto" w:fill="auto"/>
          </w:tcPr>
          <w:p w14:paraId="0BC12CD7"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Some participants felt advocating for behaviour change was an essential part of their job, which by itself was an enough of an incentive. </w:t>
            </w:r>
            <w:r w:rsidRPr="00853E4E">
              <w:rPr>
                <w:rFonts w:ascii="Arial" w:hAnsi="Arial" w:cs="Arial"/>
                <w:i/>
                <w:color w:val="00B050"/>
                <w:kern w:val="24"/>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853E4E">
              <w:rPr>
                <w:rFonts w:ascii="Arial" w:hAnsi="Arial" w:cs="Arial"/>
                <w:i/>
                <w:color w:val="00B050"/>
                <w:kern w:val="24"/>
                <w:sz w:val="16"/>
                <w:szCs w:val="16"/>
              </w:rPr>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(19)</w:t>
            </w:r>
            <w:r w:rsidRPr="00853E4E">
              <w:rPr>
                <w:rFonts w:ascii="Arial" w:hAnsi="Arial" w:cs="Arial"/>
                <w:i/>
                <w:color w:val="00B050"/>
                <w:kern w:val="24"/>
                <w:sz w:val="16"/>
                <w:szCs w:val="16"/>
              </w:rPr>
              <w:fldChar w:fldCharType="end"/>
            </w:r>
          </w:p>
        </w:tc>
      </w:tr>
      <w:tr w:rsidR="00C63ACE" w:rsidRPr="005A6797" w14:paraId="4171B889" w14:textId="77777777" w:rsidTr="0052052E">
        <w:trPr>
          <w:trHeight w:val="139"/>
        </w:trPr>
        <w:tc>
          <w:tcPr>
            <w:tcW w:w="3255" w:type="dxa"/>
            <w:vMerge/>
            <w:tcBorders>
              <w:right w:val="nil"/>
            </w:tcBorders>
            <w:shd w:val="clear" w:color="auto" w:fill="auto"/>
          </w:tcPr>
          <w:p w14:paraId="533B9CC1"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30F97EEB"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B050"/>
                <w:kern w:val="24"/>
                <w:sz w:val="16"/>
                <w:szCs w:val="16"/>
              </w:rPr>
              <w:t xml:space="preserve">Diversification of pharmacy staff role </w:t>
            </w:r>
          </w:p>
        </w:tc>
        <w:tc>
          <w:tcPr>
            <w:tcW w:w="8163" w:type="dxa"/>
            <w:tcBorders>
              <w:left w:val="nil"/>
            </w:tcBorders>
            <w:shd w:val="clear" w:color="auto" w:fill="auto"/>
          </w:tcPr>
          <w:p w14:paraId="6E86B8F0"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The focus was on the benefits of delivering NHS Health Checks in pharmacies, with all feeling it offered immense job satisfaction, promoted the image of the pharmacy and provided a good opportunity for staff development. </w:t>
            </w:r>
            <w:r w:rsidRPr="00853E4E">
              <w:rPr>
                <w:rFonts w:ascii="Arial" w:hAnsi="Arial" w:cs="Arial"/>
                <w:i/>
                <w:color w:val="00B050"/>
                <w:kern w:val="24"/>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853E4E">
              <w:rPr>
                <w:rFonts w:ascii="Arial" w:hAnsi="Arial" w:cs="Arial"/>
                <w:i/>
                <w:color w:val="00B050"/>
                <w:kern w:val="24"/>
                <w:sz w:val="16"/>
                <w:szCs w:val="16"/>
              </w:rPr>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(48)</w:t>
            </w:r>
            <w:r w:rsidRPr="00853E4E">
              <w:rPr>
                <w:rFonts w:ascii="Arial" w:hAnsi="Arial" w:cs="Arial"/>
                <w:i/>
                <w:color w:val="00B050"/>
                <w:kern w:val="24"/>
                <w:sz w:val="16"/>
                <w:szCs w:val="16"/>
              </w:rPr>
              <w:fldChar w:fldCharType="end"/>
            </w:r>
          </w:p>
        </w:tc>
      </w:tr>
      <w:tr w:rsidR="00C63ACE" w:rsidRPr="005A6797" w14:paraId="7827E432" w14:textId="77777777" w:rsidTr="0052052E">
        <w:trPr>
          <w:cnfStyle w:val="000000100000" w:firstRow="0" w:lastRow="0" w:firstColumn="0" w:lastColumn="0" w:oddVBand="0" w:evenVBand="0" w:oddHBand="1" w:evenHBand="0" w:firstRowFirstColumn="0" w:firstRowLastColumn="0" w:lastRowFirstColumn="0" w:lastRowLastColumn="0"/>
          <w:trHeight w:val="98"/>
        </w:trPr>
        <w:tc>
          <w:tcPr>
            <w:tcW w:w="3255" w:type="dxa"/>
            <w:vMerge w:val="restart"/>
            <w:tcBorders>
              <w:right w:val="nil"/>
            </w:tcBorders>
            <w:shd w:val="clear" w:color="auto" w:fill="auto"/>
          </w:tcPr>
          <w:p w14:paraId="42C14898"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Beliefs about consequences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0C0ACD7B"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 xml:space="preserve">Belief that NHS HCs were beneficial in terms of preventive healthcare </w:t>
            </w:r>
          </w:p>
        </w:tc>
        <w:tc>
          <w:tcPr>
            <w:tcW w:w="8163" w:type="dxa"/>
            <w:tcBorders>
              <w:left w:val="nil"/>
            </w:tcBorders>
            <w:shd w:val="clear" w:color="auto" w:fill="auto"/>
          </w:tcPr>
          <w:p w14:paraId="1579AE7E"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00B050"/>
                <w:kern w:val="24"/>
                <w:sz w:val="16"/>
                <w:szCs w:val="16"/>
              </w:rPr>
              <w:t xml:space="preserve">"I think it’s a very good idea. We have a very high proportion of our patients who suffer with diabetes, almost 10% of our patients are diabetic so I thought this was an excellent opportunity to screen those earlier and pick them up and then you know be able to do something about it, you know, lifestyle management."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&lt;EndNote&gt;&lt;Cite&gt;&lt;Author&gt;Shaw&lt;/Author&gt;&lt;Year&gt;2016&lt;/Year&gt;&lt;RecNum&gt;63&lt;/RecNum&gt;&lt;DisplayText&gt;(43)&lt;/DisplayText&gt;&lt;record&gt;&lt;rec-number&gt;63&lt;/rec-number&gt;&lt;foreign-keys&gt;&lt;key app="EN" db-id="f9edtwwtof5ftneevt1pr0voafdvfedx92e2" timestamp="1550219649"&gt;63&lt;/key&gt;&lt;/foreign-keys&gt;&lt;ref-type name="Journal Article"&gt;17&lt;/ref-type&gt;&lt;contributors&gt;&lt;authors&gt;&lt;author&gt;Shaw, R. L.&lt;/author&gt;&lt;author&gt;Lowe, H.&lt;/author&gt;&lt;author&gt;Holland, C.&lt;/author&gt;&lt;author&gt;Pattison, H.&lt;/author&gt;&lt;author&gt;Cooke, R.&lt;/author&gt;&lt;/authors&gt;&lt;/contributors&gt;&lt;auth-address&gt;Shaw, Rachel L. School of Life &amp;amp; Health Sciences, Aston University, Birmingham, UK.&amp;#xD;Lowe, Helen. School of Life &amp;amp; Health Sciences, Aston University, Birmingham, UK.&amp;#xD;Holland, Carol. School of Life &amp;amp; Health Sciences, Aston University, Birmingham, UK.&amp;#xD;Pattison, Helen. School of Life &amp;amp; Health Sciences, Aston University, Birmingham, UK.&amp;#xD;Cooke, Richard. School of Life &amp;amp; Health Sciences, Aston University, Birmingham, UK.&lt;/auth-address&gt;&lt;titles&gt;&lt;title&gt;GPs&amp;apos; perspectives on managing the NHS Health Check in primary care: a qualitative evaluation of implementation in one area of England&lt;/title&gt;&lt;secondary-title&gt;BMJ Open&lt;/secondary-title&gt;&lt;/titles&gt;&lt;periodical&gt;&lt;full-title&gt;BMJ Open&lt;/full-title&gt;&lt;/periodical&gt;&lt;pages&gt;e010951&lt;/pages&gt;&lt;volume&gt;6&lt;/volume&gt;&lt;number&gt;7&lt;/number&gt;&lt;dates&gt;&lt;year&gt;2016&lt;/year&gt;&lt;/dates&gt;&lt;accession-num&gt;27388356&lt;/accession-num&gt;&lt;work-type&gt;Research Support, Non-U.S. Gov&amp;apos;t&lt;/work-type&gt;&lt;urls&gt;&lt;related-urls&gt;&lt;url&gt;http://ovidsp.ovid.com/ovidweb.cgi?T=JS&amp;amp;CSC=Y&amp;amp;NEWS=N&amp;amp;PAGE=fulltext&amp;amp;D=medl&amp;amp;AN=27388356&lt;/url&gt;&lt;url&gt;https://www.ncbi.nlm.nih.gov/pmc/articles/PMC4947777/pdf/bmjopen-2015-010951.pdf&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(43)</w:t>
            </w:r>
            <w:r w:rsidRPr="00853E4E">
              <w:rPr>
                <w:rFonts w:ascii="Arial" w:hAnsi="Arial" w:cs="Arial"/>
                <w:i/>
                <w:color w:val="00B050"/>
                <w:kern w:val="24"/>
                <w:sz w:val="16"/>
                <w:szCs w:val="16"/>
              </w:rPr>
              <w:fldChar w:fldCharType="end"/>
            </w:r>
            <w:r w:rsidRPr="009771E9">
              <w:rPr>
                <w:rFonts w:ascii="Arial" w:hAnsi="Arial" w:cs="Arial"/>
                <w:i/>
                <w:color w:val="00B050"/>
                <w:kern w:val="24"/>
                <w:sz w:val="16"/>
                <w:szCs w:val="16"/>
              </w:rPr>
              <w:br/>
            </w:r>
            <w:r w:rsidRPr="009771E9">
              <w:rPr>
                <w:rFonts w:ascii="Arial" w:hAnsi="Arial" w:cs="Arial"/>
                <w:i/>
                <w:color w:val="00B050"/>
                <w:kern w:val="24"/>
                <w:sz w:val="16"/>
                <w:szCs w:val="16"/>
              </w:rPr>
              <w:br/>
            </w:r>
            <w:r w:rsidRPr="009771E9">
              <w:rPr>
                <w:rFonts w:ascii="Arial" w:hAnsi="Arial" w:cs="Arial"/>
                <w:i/>
                <w:color w:val="FF0000"/>
                <w:kern w:val="24"/>
                <w:sz w:val="16"/>
                <w:szCs w:val="16"/>
              </w:rPr>
              <w:lastRenderedPageBreak/>
              <w:t>"I think really this is mass screening and there’s not a great deal of proof behind it…. Not entirely convinced with being told we have to offer a check to everyone."</w:t>
            </w:r>
            <w:r>
              <w:rPr>
                <w:rFonts w:ascii="Arial" w:hAnsi="Arial" w:cs="Arial"/>
                <w:i/>
                <w:color w:val="FF0000"/>
                <w:kern w:val="24"/>
                <w:sz w:val="16"/>
                <w:szCs w:val="16"/>
              </w:rPr>
              <w:t xml:space="preserve"> </w:t>
            </w:r>
            <w:r w:rsidRPr="00853E4E">
              <w:rPr>
                <w:rFonts w:ascii="Arial" w:hAnsi="Arial" w:cs="Arial"/>
                <w:i/>
                <w:color w:val="FF0000"/>
                <w:kern w:val="24"/>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FF0000"/>
                <w:kern w:val="24"/>
                <w:sz w:val="16"/>
                <w:szCs w:val="16"/>
              </w:rPr>
              <w:instrText xml:space="preserve"> ADDIN EN.CITE </w:instrText>
            </w:r>
            <w:r>
              <w:rPr>
                <w:rFonts w:ascii="Arial" w:hAnsi="Arial" w:cs="Arial"/>
                <w:i/>
                <w:color w:val="FF0000"/>
                <w:kern w:val="24"/>
                <w:sz w:val="16"/>
                <w:szCs w:val="16"/>
              </w:rPr>
              <w:fldChar w:fldCharType="begin">
                <w:fldData xml:space="preserve">PEVuZE5vdGU+PENpdGU+PEF1dGhvcj5NaWxsczwvQXV0aG9yPjxZZWFyPjIwMTc8L1llYXI+PFJl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</w:fldData>
              </w:fldChar>
            </w:r>
            <w:r>
              <w:rPr>
                <w:rFonts w:ascii="Arial" w:hAnsi="Arial" w:cs="Arial"/>
                <w:i/>
                <w:color w:val="FF0000"/>
                <w:kern w:val="24"/>
                <w:sz w:val="16"/>
                <w:szCs w:val="16"/>
              </w:rPr>
              <w:instrText xml:space="preserve"> ADDIN EN.CITE.DATA </w:instrText>
            </w:r>
            <w:r>
              <w:rPr>
                <w:rFonts w:ascii="Arial" w:hAnsi="Arial" w:cs="Arial"/>
                <w:i/>
                <w:color w:val="FF0000"/>
                <w:kern w:val="24"/>
                <w:sz w:val="16"/>
                <w:szCs w:val="16"/>
              </w:rPr>
            </w:r>
            <w:r>
              <w:rPr>
                <w:rFonts w:ascii="Arial" w:hAnsi="Arial" w:cs="Arial"/>
                <w:i/>
                <w:color w:val="FF0000"/>
                <w:kern w:val="24"/>
                <w:sz w:val="16"/>
                <w:szCs w:val="16"/>
              </w:rPr>
              <w:fldChar w:fldCharType="end"/>
            </w:r>
            <w:r w:rsidRPr="00853E4E">
              <w:rPr>
                <w:rFonts w:ascii="Arial" w:hAnsi="Arial" w:cs="Arial"/>
                <w:i/>
                <w:color w:val="FF0000"/>
                <w:kern w:val="24"/>
                <w:sz w:val="16"/>
                <w:szCs w:val="16"/>
              </w:rPr>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(48)</w:t>
            </w:r>
            <w:r w:rsidRPr="00853E4E">
              <w:rPr>
                <w:rFonts w:ascii="Arial" w:hAnsi="Arial" w:cs="Arial"/>
                <w:i/>
                <w:color w:val="FF0000"/>
                <w:kern w:val="24"/>
                <w:sz w:val="16"/>
                <w:szCs w:val="16"/>
              </w:rPr>
              <w:fldChar w:fldCharType="end"/>
            </w:r>
          </w:p>
        </w:tc>
      </w:tr>
      <w:tr w:rsidR="00C63ACE" w:rsidRPr="005A6797" w14:paraId="51168DB7" w14:textId="77777777" w:rsidTr="0052052E">
        <w:trPr>
          <w:trHeight w:val="1591"/>
        </w:trPr>
        <w:tc>
          <w:tcPr>
            <w:tcW w:w="3255" w:type="dxa"/>
            <w:vMerge/>
            <w:tcBorders>
              <w:right w:val="nil"/>
            </w:tcBorders>
            <w:shd w:val="clear" w:color="auto" w:fill="auto"/>
          </w:tcPr>
          <w:p w14:paraId="2D6A5CDC"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64791FCA"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Message framing</w:t>
            </w:r>
          </w:p>
        </w:tc>
        <w:tc>
          <w:tcPr>
            <w:tcW w:w="8163" w:type="dxa"/>
            <w:tcBorders>
              <w:left w:val="nil"/>
            </w:tcBorders>
            <w:shd w:val="clear" w:color="auto" w:fill="auto"/>
          </w:tcPr>
          <w:p w14:paraId="15C5673F"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A frequently reported style was downplaying. Here health care professionals appeared to downplay the individual’s high-risk score by using phrases such as, ‘it is only slightly higher’ if the risk score was, for example, between 20% and 25%. As a consequence, some patients concluded that the risk was not particularly significant.</w:t>
            </w:r>
            <w:r>
              <w:rPr>
                <w:rFonts w:ascii="Arial" w:hAnsi="Arial" w:cs="Arial"/>
                <w:i/>
                <w:color w:val="FF0000"/>
                <w:kern w:val="24"/>
                <w:sz w:val="16"/>
                <w:szCs w:val="16"/>
              </w:rPr>
              <w:t xml:space="preserve">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(28)</w:t>
            </w:r>
            <w:r w:rsidRPr="00853E4E">
              <w:rPr>
                <w:rFonts w:ascii="Arial" w:hAnsi="Arial" w:cs="Arial"/>
                <w:i/>
                <w:color w:val="FF0000"/>
                <w:kern w:val="24"/>
                <w:sz w:val="16"/>
                <w:szCs w:val="16"/>
              </w:rPr>
              <w:fldChar w:fldCharType="end"/>
            </w:r>
            <w:r w:rsidRPr="009771E9">
              <w:rPr>
                <w:rFonts w:ascii="Arial" w:hAnsi="Arial" w:cs="Arial"/>
                <w:i/>
                <w:color w:val="FF0000"/>
                <w:kern w:val="24"/>
                <w:sz w:val="16"/>
                <w:szCs w:val="16"/>
              </w:rPr>
              <w:br/>
            </w:r>
            <w:r w:rsidRPr="009771E9">
              <w:rPr>
                <w:rFonts w:ascii="Arial" w:hAnsi="Arial" w:cs="Arial"/>
                <w:i/>
                <w:color w:val="FF0000"/>
                <w:kern w:val="24"/>
                <w:sz w:val="16"/>
                <w:szCs w:val="16"/>
              </w:rPr>
              <w:br/>
            </w:r>
            <w:r w:rsidRPr="009771E9">
              <w:rPr>
                <w:rFonts w:ascii="Arial" w:hAnsi="Arial" w:cs="Arial"/>
                <w:i/>
                <w:color w:val="00B050"/>
                <w:kern w:val="24"/>
                <w:sz w:val="16"/>
                <w:szCs w:val="16"/>
              </w:rPr>
              <w:t xml:space="preserve">One strategy that many described was to concentrate on risk reduction without actually talking to a patient about risk scores explicitly at all. Thus, lifestyle advice and behaviour change were frequently raised not in terms of a patient’s cardiovascular risk per se, but in more general terms around the idea of maintaining or improving health.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&lt;EndNote&gt;&lt;Cite&gt;&lt;Author&gt;Boase&lt;/Author&gt;&lt;Year&gt;2012&lt;/Year&gt;&lt;RecNum&gt;8&lt;/RecNum&gt;&lt;DisplayText&gt;(21)&lt;/DisplayText&gt;&lt;record&gt;&lt;rec-number&gt;8&lt;/rec-number&gt;&lt;foreign-keys&gt;&lt;key app="EN" db-id="f9edtwwtof5ftneevt1pr0voafdvfedx92e2" timestamp="1550219648"&gt;8&lt;/key&gt;&lt;/foreign-keys&gt;&lt;ref-type name="Journal Article"&gt;17&lt;/ref-type&gt;&lt;contributors&gt;&lt;authors&gt;&lt;author&gt;Boase, S.&lt;/author&gt;&lt;author&gt;Mason, D.&lt;/author&gt;&lt;author&gt;Sutton, S.&lt;/author&gt;&lt;author&gt;Cohn, S.&lt;/author&gt;&lt;/authors&gt;&lt;/contributors&gt;&lt;auth-address&gt;Boase, Sue. General Practice and Primary Care Research Unit, University of Cambridge, Cambridge, UK. sab72@medschl.cam.ac.uk&lt;/auth-address&gt;&lt;titles&gt;&lt;title&gt;Tinkering and tailoring individual consultations: how practice nurses try to make cardiovascular risk communication meaningful&lt;/title&gt;&lt;secondary-title&gt;Journal of Clinical Nursing&lt;/secondary-title&gt;&lt;/titles&gt;&lt;periodical&gt;&lt;full-title&gt;Journal of Clinical Nursing&lt;/full-title&gt;&lt;/periodical&gt;&lt;pages&gt;2590-8&lt;/pages&gt;&lt;volume&gt;21&lt;/volume&gt;&lt;number&gt;17-18&lt;/number&gt;&lt;dates&gt;&lt;year&gt;2012&lt;/year&gt;&lt;/dates&gt;&lt;accession-num&gt;22788734&lt;/accession-num&gt;&lt;work-type&gt;Research Support, Non-U.S. Gov&amp;apos;t&lt;/work-type&gt;&lt;urls&gt;&lt;related-urls&gt;&lt;url&gt;http://ovidsp.ovid.com/ovidweb.cgi?T=JS&amp;amp;CSC=Y&amp;amp;NEWS=N&amp;amp;PAGE=fulltext&amp;amp;D=med7&amp;amp;AN=22788734&lt;/url&gt;&lt;url&gt;https://onlinelibrary.wiley.com/doi/abs/10.1111/j.1365-2702.2012.04167.x&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(21)</w:t>
            </w:r>
            <w:r w:rsidRPr="00853E4E">
              <w:rPr>
                <w:rFonts w:ascii="Arial" w:hAnsi="Arial" w:cs="Arial"/>
                <w:i/>
                <w:color w:val="00B050"/>
                <w:kern w:val="24"/>
                <w:sz w:val="16"/>
                <w:szCs w:val="16"/>
              </w:rPr>
              <w:fldChar w:fldCharType="end"/>
            </w:r>
          </w:p>
        </w:tc>
      </w:tr>
      <w:tr w:rsidR="00C63ACE" w:rsidRPr="005A6797" w14:paraId="55F8F9E7" w14:textId="77777777" w:rsidTr="0052052E">
        <w:trPr>
          <w:cnfStyle w:val="000000100000" w:firstRow="0" w:lastRow="0" w:firstColumn="0" w:lastColumn="0" w:oddVBand="0" w:evenVBand="0" w:oddHBand="1" w:evenHBand="0" w:firstRowFirstColumn="0" w:firstRowLastColumn="0" w:lastRowFirstColumn="0" w:lastRowLastColumn="0"/>
          <w:trHeight w:val="382"/>
        </w:trPr>
        <w:tc>
          <w:tcPr>
            <w:tcW w:w="3255" w:type="dxa"/>
            <w:tcBorders>
              <w:right w:val="nil"/>
            </w:tcBorders>
            <w:shd w:val="clear" w:color="auto" w:fill="auto"/>
          </w:tcPr>
          <w:p w14:paraId="6947774D" w14:textId="77777777" w:rsidR="00C63ACE" w:rsidRPr="009771E9" w:rsidRDefault="00C63ACE" w:rsidP="0052052E">
            <w:pPr>
              <w:spacing w:before="120" w:after="120" w:line="276" w:lineRule="auto"/>
              <w:jc w:val="left"/>
              <w:rPr>
                <w:rFonts w:ascii="Arial" w:hAnsi="Arial" w:cs="Arial"/>
                <w:color w:val="000000"/>
                <w:kern w:val="24"/>
                <w:sz w:val="16"/>
                <w:szCs w:val="16"/>
              </w:rPr>
            </w:pPr>
            <w:r w:rsidRPr="009771E9">
              <w:rPr>
                <w:rFonts w:ascii="Arial" w:hAnsi="Arial" w:cs="Arial"/>
                <w:color w:val="000000"/>
                <w:kern w:val="24"/>
                <w:sz w:val="16"/>
                <w:szCs w:val="16"/>
              </w:rPr>
              <w:t>Beliefs about capabilities (reflective motivation)</w:t>
            </w:r>
          </w:p>
        </w:tc>
        <w:tc>
          <w:tcPr>
            <w:tcW w:w="2616" w:type="dxa"/>
            <w:tcBorders>
              <w:left w:val="nil"/>
              <w:right w:val="nil"/>
            </w:tcBorders>
            <w:shd w:val="clear" w:color="auto" w:fill="auto"/>
          </w:tcPr>
          <w:p w14:paraId="75B8AC4C" w14:textId="77777777" w:rsidR="00C63ACE" w:rsidRPr="009771E9" w:rsidRDefault="00C63ACE" w:rsidP="0052052E">
            <w:pPr>
              <w:spacing w:before="120" w:after="120" w:line="276" w:lineRule="auto"/>
              <w:ind w:left="140" w:right="197"/>
              <w:jc w:val="left"/>
              <w:rPr>
                <w:rFonts w:ascii="Arial" w:hAnsi="Arial" w:cs="Arial"/>
                <w:color w:val="0070C0"/>
                <w:kern w:val="24"/>
                <w:sz w:val="16"/>
                <w:szCs w:val="16"/>
              </w:rPr>
            </w:pPr>
            <w:r w:rsidRPr="009771E9">
              <w:rPr>
                <w:rFonts w:ascii="Arial" w:hAnsi="Arial" w:cs="Arial"/>
                <w:color w:val="0070C0"/>
                <w:kern w:val="24"/>
                <w:sz w:val="16"/>
                <w:szCs w:val="16"/>
              </w:rPr>
              <w:t>HCP confidence in discussing and initiating behaviour change</w:t>
            </w:r>
          </w:p>
        </w:tc>
        <w:tc>
          <w:tcPr>
            <w:tcW w:w="8163" w:type="dxa"/>
            <w:tcBorders>
              <w:left w:val="nil"/>
            </w:tcBorders>
            <w:shd w:val="clear" w:color="auto" w:fill="auto"/>
          </w:tcPr>
          <w:p w14:paraId="48B6CBF5" w14:textId="77777777" w:rsidR="00C63ACE" w:rsidRPr="009771E9"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There is a strong belief in the ability of healthcare professionals to motivate patients to change their lifestyle. </w:t>
            </w:r>
            <w:r w:rsidRPr="0057272B">
              <w:rPr>
                <w:rFonts w:ascii="Arial" w:hAnsi="Arial" w:cs="Arial"/>
                <w:color w:val="262626" w:themeColor="text1" w:themeTint="D9"/>
                <w:sz w:val="16"/>
                <w:szCs w:val="16"/>
              </w:rPr>
              <w:t xml:space="preserv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&lt;EndNote&gt;&lt;Cite&gt;&lt;Author&gt;Honey&lt;/Author&gt;&lt;Year&gt;2013&lt;/Year&gt;&lt;RecNum&gt;30&lt;/RecNum&gt;&lt;DisplayText&gt;(27)&lt;/DisplayText&gt;&lt;record&gt;&lt;rec-number&gt;30&lt;/rec-number&gt;&lt;foreign-keys&gt;&lt;key app="EN" db-id="f9edtwwtof5ftneevt1pr0voafdvfedx92e2" timestamp="1550219648"&gt;30&lt;/key&gt;&lt;/foreign-keys&gt;&lt;ref-type name="Journal Article"&gt;17&lt;/ref-type&gt;&lt;contributors&gt;&lt;authors&gt;&lt;author&gt;Honey, S.&lt;/author&gt;&lt;author&gt;Bryant, L. D.&lt;/author&gt;&lt;author&gt;Murray, J.&lt;/author&gt;&lt;author&gt;Hill, K.&lt;/author&gt;&lt;author&gt;House, A.&lt;/author&gt;&lt;/authors&gt;&lt;/contributors&gt;&lt;auth-address&gt;Honey, Stephanie. Leeds Institute of Health Sciences, Charles Thackrah Building, University of Leeds, 101 Clarendon Road, Leeds LS2 9LJ, UK. S.A.Honey@leeds.ac.uk.&lt;/auth-address&gt;&lt;titles&gt;&lt;title&gt;Differences in the perceived role of the healthcare provider in delivering vascular health checks: a Q methodology study&lt;/title&gt;&lt;secondary-title&gt;BMC Family Practice&lt;/secondary-title&gt;&lt;/titles&gt;&lt;periodical&gt;&lt;full-title&gt;BMC Family Practice&lt;/full-title&gt;&lt;/periodical&gt;&lt;pages&gt;172&lt;/pages&gt;&lt;volume&gt;14&lt;/volume&gt;&lt;dates&gt;&lt;year&gt;2013&lt;/year&gt;&lt;/dates&gt;&lt;accession-num&gt;24229342&lt;/accession-num&gt;&lt;work-type&gt;Research Support, Non-U.S. Gov&amp;apos;t&lt;/work-type&gt;&lt;urls&gt;&lt;related-urls&gt;&lt;url&gt;http://ovidsp.ovid.com/ovidweb.cgi?T=JS&amp;amp;CSC=Y&amp;amp;NEWS=N&amp;amp;PAGE=fulltext&amp;amp;D=med7&amp;amp;AN=24229342&lt;/url&gt;&lt;url&gt;https://www.ncbi.nlm.nih.gov/pmc/articles/PMC3870972/pdf/1471-2296-14-172.pdf&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(27)</w:t>
            </w:r>
            <w:r w:rsidRPr="00853E4E">
              <w:rPr>
                <w:rFonts w:ascii="Arial" w:hAnsi="Arial" w:cs="Arial"/>
                <w:i/>
                <w:color w:val="00B050"/>
                <w:kern w:val="24"/>
                <w:sz w:val="16"/>
                <w:szCs w:val="16"/>
              </w:rPr>
              <w:fldChar w:fldCharType="end"/>
            </w:r>
          </w:p>
          <w:p w14:paraId="27BB42A8" w14:textId="77777777" w:rsidR="00C63ACE" w:rsidRPr="009771E9"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FF0000"/>
                <w:kern w:val="24"/>
                <w:sz w:val="16"/>
                <w:szCs w:val="16"/>
              </w:rPr>
              <w:t xml:space="preserve">Pharmacy staff had also required a lot more training than initially anticipated and, even after being given this support, lacked confidence in delivering the new service. </w:t>
            </w:r>
            <w:r w:rsidRPr="00853E4E">
              <w:rPr>
                <w:rFonts w:ascii="Arial" w:hAnsi="Arial" w:cs="Arial"/>
                <w:i/>
                <w:color w:val="FF0000"/>
                <w:kern w:val="24"/>
                <w:sz w:val="16"/>
                <w:szCs w:val="16"/>
              </w:rPr>
              <w:fldChar w:fldCharType="begin"/>
            </w:r>
            <w:r>
              <w:rPr>
                <w:rFonts w:ascii="Arial" w:hAnsi="Arial" w:cs="Arial"/>
                <w:i/>
                <w:color w:val="FF0000"/>
                <w:kern w:val="24"/>
                <w:sz w:val="16"/>
                <w:szCs w:val="16"/>
              </w:rPr>
              <w:instrText xml:space="preserve"> ADDIN EN.CITE &lt;EndNote&gt;&lt;Cite&gt;&lt;Author&gt;McNaughton&lt;/Author&gt;&lt;Year&gt;2011&lt;/Year&gt;&lt;RecNum&gt;47&lt;/RecNum&gt;&lt;DisplayText&gt;(50)&lt;/DisplayText&gt;&lt;record&gt;&lt;rec-number&gt;47&lt;/rec-number&gt;&lt;foreign-keys&gt;&lt;key app="EN" db-id="f9edtwwtof5ftneevt1pr0voafdvfedx92e2" timestamp="1550219649"&gt;47&lt;/key&gt;&lt;/foreign-keys&gt;&lt;ref-type name="Journal Article"&gt;17&lt;/ref-type&gt;&lt;contributors&gt;&lt;authors&gt;&lt;author&gt;McNaughton, R. J.&lt;/author&gt;&lt;author&gt;Oswald, N. T.&lt;/author&gt;&lt;author&gt;Shucksmith, J. S.&lt;/author&gt;&lt;author&gt;Heywood, P. J.&lt;/author&gt;&lt;author&gt;Watson, P. S.&lt;/author&gt;&lt;/authors&gt;&lt;/contributors&gt;&lt;auth-address&gt;McNaughton, Rebekah J. Health and Social Care Institute, School of Health and Social Care, Teesside University, Middlesbrough, Tees Valley, UK. R.McNaughton@tees.ac.uk&lt;/auth-address&gt;&lt;titles&gt;&lt;title&gt;Making a success of providing NHS Health Checks in community pharmacies across the Tees Valley: a qualitative study&lt;/title&gt;&lt;secondary-title&gt;BMC Health Services Research&lt;/secondary-title&gt;&lt;/titles&gt;&lt;periodical&gt;&lt;full-title&gt;BMC Health Services Research&lt;/full-title&gt;&lt;/periodical&gt;&lt;pages&gt;222&lt;/pages&gt;&lt;volume&gt;11&lt;/volume&gt;&lt;dates&gt;&lt;year&gt;2011&lt;/year&gt;&lt;/dates&gt;&lt;accession-num&gt;21929809&lt;/accession-num&gt;&lt;work-type&gt;Evaluation Studies&lt;/work-type&gt;&lt;urls&gt;&lt;related-urls&gt;&lt;url&gt;http://ovidsp.ovid.com/ovidweb.cgi?T=JS&amp;amp;CSC=Y&amp;amp;NEWS=N&amp;amp;PAGE=fulltext&amp;amp;D=med7&amp;amp;AN=21929809&lt;/url&gt;&lt;url&gt;https://www.ncbi.nlm.nih.gov/pmc/articles/PMC3182894/pdf/1472-6963-11-222.pdf&lt;/url&gt;&lt;/related-urls&gt;&lt;/urls&gt;&lt;remote-database-name&gt;MEDLINE&lt;/remote-database-name&gt;&lt;remote-database-provider&gt;Ovid Technologies&lt;/remote-database-provider&gt;&lt;/record&gt;&lt;/Cite&gt;&lt;/EndNote&gt;</w:instrText>
            </w:r>
            <w:r w:rsidRPr="00853E4E">
              <w:rPr>
                <w:rFonts w:ascii="Arial" w:hAnsi="Arial" w:cs="Arial"/>
                <w:i/>
                <w:color w:val="FF0000"/>
                <w:kern w:val="24"/>
                <w:sz w:val="16"/>
                <w:szCs w:val="16"/>
              </w:rPr>
              <w:fldChar w:fldCharType="separate"/>
            </w:r>
            <w:r>
              <w:rPr>
                <w:rFonts w:ascii="Arial" w:hAnsi="Arial" w:cs="Arial"/>
                <w:i/>
                <w:noProof/>
                <w:color w:val="FF0000"/>
                <w:kern w:val="24"/>
                <w:sz w:val="16"/>
                <w:szCs w:val="16"/>
              </w:rPr>
              <w:t>(50)</w:t>
            </w:r>
            <w:r w:rsidRPr="00853E4E">
              <w:rPr>
                <w:rFonts w:ascii="Arial" w:hAnsi="Arial" w:cs="Arial"/>
                <w:i/>
                <w:color w:val="FF0000"/>
                <w:kern w:val="24"/>
                <w:sz w:val="16"/>
                <w:szCs w:val="16"/>
              </w:rPr>
              <w:fldChar w:fldCharType="end"/>
            </w:r>
          </w:p>
        </w:tc>
      </w:tr>
      <w:tr w:rsidR="00C63ACE" w:rsidRPr="005A6797" w14:paraId="0AE98072" w14:textId="77777777" w:rsidTr="0052052E">
        <w:trPr>
          <w:trHeight w:val="665"/>
        </w:trPr>
        <w:tc>
          <w:tcPr>
            <w:tcW w:w="3255" w:type="dxa"/>
            <w:tcBorders>
              <w:right w:val="nil"/>
            </w:tcBorders>
            <w:shd w:val="clear" w:color="auto" w:fill="auto"/>
          </w:tcPr>
          <w:p w14:paraId="4B97E8B6"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Optimism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1DC76722"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HCPs varyingly optimistic about patient behaviour change after NHS HC</w:t>
            </w:r>
          </w:p>
        </w:tc>
        <w:tc>
          <w:tcPr>
            <w:tcW w:w="8163" w:type="dxa"/>
            <w:tcBorders>
              <w:left w:val="nil"/>
            </w:tcBorders>
            <w:shd w:val="clear" w:color="auto" w:fill="auto"/>
          </w:tcPr>
          <w:p w14:paraId="05CC551A"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00B050"/>
                <w:kern w:val="24"/>
                <w:sz w:val="16"/>
                <w:szCs w:val="16"/>
              </w:rPr>
              <w:t xml:space="preserve">There was a clear rejection of pessimism about the possibility of lifestyle change.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&lt;EndNote&gt;&lt;Cite&gt;&lt;Author&gt;Honey&lt;/Author&gt;&lt;Year&gt;2013&lt;/Year&gt;&lt;RecNum&gt;30&lt;/RecNum&gt;&lt;DisplayText&gt;(27)&lt;/DisplayText&gt;&lt;record&gt;&lt;rec-number&gt;30&lt;/rec-number&gt;&lt;foreign-keys&gt;&lt;key app="EN" db-id="f9edtwwtof5ftneevt1pr0voafdvfedx92e2" timestamp="1550219648"&gt;30&lt;/key&gt;&lt;/foreign-keys&gt;&lt;ref-type name="Journal Article"&gt;17&lt;/ref-type&gt;&lt;contributors&gt;&lt;authors&gt;&lt;author&gt;Honey, S.&lt;/author&gt;&lt;author&gt;Bryant, L. D.&lt;/author&gt;&lt;author&gt;Murray, J.&lt;/author&gt;&lt;author&gt;Hill, K.&lt;/author&gt;&lt;author&gt;House, A.&lt;/author&gt;&lt;/authors&gt;&lt;/contributors&gt;&lt;auth-address&gt;Honey, Stephanie. Leeds Institute of Health Sciences, Charles Thackrah Building, University of Leeds, 101 Clarendon Road, Leeds LS2 9LJ, UK. S.A.Honey@leeds.ac.uk.&lt;/auth-address&gt;&lt;titles&gt;&lt;title&gt;Differences in the perceived role of the healthcare provider in delivering vascular health checks: a Q methodology study&lt;/title&gt;&lt;secondary-title&gt;BMC Family Practice&lt;/secondary-title&gt;&lt;/titles&gt;&lt;periodical&gt;&lt;full-title&gt;BMC Family Practice&lt;/full-title&gt;&lt;/periodical&gt;&lt;pages&gt;172&lt;/pages&gt;&lt;volume&gt;14&lt;/volume&gt;&lt;dates&gt;&lt;year&gt;2013&lt;/year&gt;&lt;/dates&gt;&lt;accession-num&gt;24229342&lt;/accession-num&gt;&lt;work-type&gt;Research Support, Non-U.S. Gov&amp;apos;t&lt;/work-type&gt;&lt;urls&gt;&lt;related-urls&gt;&lt;url&gt;http://ovidsp.ovid.com/ovidweb.cgi?T=JS&amp;amp;CSC=Y&amp;amp;NEWS=N&amp;amp;PAGE=fulltext&amp;amp;D=med7&amp;amp;AN=24229342&lt;/url&gt;&lt;url&gt;https://www.ncbi.nlm.nih.gov/pmc/articles/PMC3870972/pdf/1471-2296-14-172.pdf&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(27)</w:t>
            </w:r>
            <w:r w:rsidRPr="00853E4E">
              <w:rPr>
                <w:rFonts w:ascii="Arial" w:hAnsi="Arial" w:cs="Arial"/>
                <w:i/>
                <w:color w:val="00B050"/>
                <w:kern w:val="24"/>
                <w:sz w:val="16"/>
                <w:szCs w:val="16"/>
              </w:rPr>
              <w:fldChar w:fldCharType="end"/>
            </w:r>
            <w:r w:rsidRPr="009771E9">
              <w:rPr>
                <w:rFonts w:ascii="Arial" w:hAnsi="Arial" w:cs="Arial"/>
                <w:i/>
                <w:color w:val="000000"/>
                <w:kern w:val="24"/>
                <w:sz w:val="16"/>
                <w:szCs w:val="16"/>
              </w:rPr>
              <w:br/>
            </w:r>
            <w:r w:rsidRPr="009771E9">
              <w:rPr>
                <w:rFonts w:ascii="Arial" w:hAnsi="Arial" w:cs="Arial"/>
                <w:i/>
                <w:color w:val="000000"/>
                <w:kern w:val="24"/>
                <w:sz w:val="16"/>
                <w:szCs w:val="16"/>
              </w:rPr>
              <w:br/>
            </w:r>
            <w:r w:rsidRPr="009771E9">
              <w:rPr>
                <w:rFonts w:ascii="Arial" w:hAnsi="Arial" w:cs="Arial"/>
                <w:i/>
                <w:color w:val="FF0000"/>
                <w:kern w:val="24"/>
                <w:sz w:val="16"/>
                <w:szCs w:val="16"/>
              </w:rPr>
              <w:t>Even if you access them, even if you find out that they’re a really high-risk score then getting these people to take on board you know the lifestyle changes, changes to their diet, exercising more. It’s very difficult to get them to take those changes</w:t>
            </w:r>
            <w:r w:rsidRPr="00853E4E">
              <w:rPr>
                <w:rFonts w:ascii="Arial" w:hAnsi="Arial" w:cs="Arial"/>
                <w:bCs/>
                <w:i/>
                <w:color w:val="FF0000"/>
                <w:kern w:val="24"/>
                <w:sz w:val="16"/>
                <w:szCs w:val="16"/>
              </w:rPr>
              <w:t xml:space="preserve"> on.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&lt;EndNote&gt;&lt;Cite&gt;&lt;Author&gt;Ismail&lt;/Author&gt;&lt;Year&gt;2015&lt;/Year&gt;&lt;RecNum&gt;33&lt;/RecNum&gt;&lt;DisplayText&gt;(30)&lt;/DisplayText&gt;&lt;record&gt;&lt;rec-number&gt;33&lt;/rec-number&gt;&lt;foreign-keys&gt;&lt;key app="EN" db-id="f9edtwwtof5ftneevt1pr0voafdvfedx92e2" timestamp="1550219648"&gt;33&lt;/key&gt;&lt;/foreign-keys&gt;&lt;ref-type name="Journal Article"&gt;17&lt;/ref-type&gt;&lt;contributors&gt;&lt;authors&gt;&lt;author&gt;Ismail, H.&lt;/author&gt;&lt;author&gt;Kelly, S.&lt;/author&gt;&lt;/authors&gt;&lt;/contributors&gt;&lt;auth-address&gt;Ismail, Hanif. Centre for Health &amp;amp; Social Care Research, Sheffield Hallam University, Sheffield, UK. h.ismail@shu.ac.uk.&amp;#xD;Ismail, Hanif. Department of Health &amp;amp; Life Sciences, York St John University, York, UK. h.ismail@shu.ac.uk.&amp;#xD;Kelly, Shona. Centre for Health &amp;amp; Social Care Research, Sheffield Hallam University, Sheffield, UK. s.kelly@shu.ac.uk.&lt;/auth-address&gt;&lt;titles&gt;&lt;title&gt;Lessons learned from England&amp;apos;s Health Checks Programme: using qualitative research to identify and share best practice&lt;/title&gt;&lt;secondary-title&gt;BMC Family Practice&lt;/secondary-title&gt;&lt;/titles&gt;&lt;periodical&gt;&lt;full-title&gt;BMC Family Practice&lt;/full-title&gt;&lt;/periodical&gt;&lt;pages&gt;144&lt;/pages&gt;&lt;volume&gt;16&lt;/volume&gt;&lt;dates&gt;&lt;year&gt;2015&lt;/year&gt;&lt;/dates&gt;&lt;accession-num&gt;26486126&lt;/accession-num&gt;&lt;work-type&gt;Research Support, Non-U.S. Gov&amp;apos;t&lt;/work-type&gt;&lt;urls&gt;&lt;related-urls&gt;&lt;url&gt;http://ovidsp.ovid.com/ovidweb.cgi?T=JS&amp;amp;CSC=Y&amp;amp;NEWS=N&amp;amp;PAGE=fulltext&amp;amp;D=med8&amp;amp;AN=26486126&lt;/url&gt;&lt;url&gt;https://www.ncbi.nlm.nih.gov/pmc/articles/PMC4618054/pdf/12875_2015_Article_365.pdf&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(30)</w:t>
            </w:r>
            <w:r w:rsidRPr="00853E4E">
              <w:rPr>
                <w:rFonts w:ascii="Arial" w:hAnsi="Arial" w:cs="Arial"/>
                <w:bCs/>
                <w:i/>
                <w:color w:val="FF0000"/>
                <w:kern w:val="24"/>
                <w:sz w:val="16"/>
                <w:szCs w:val="16"/>
              </w:rPr>
              <w:fldChar w:fldCharType="end"/>
            </w:r>
          </w:p>
        </w:tc>
      </w:tr>
      <w:tr w:rsidR="00C63ACE" w:rsidRPr="005A6797" w14:paraId="20703EDA" w14:textId="77777777" w:rsidTr="0052052E">
        <w:trPr>
          <w:cnfStyle w:val="000000100000" w:firstRow="0" w:lastRow="0" w:firstColumn="0" w:lastColumn="0" w:oddVBand="0" w:evenVBand="0" w:oddHBand="1" w:evenHBand="0" w:firstRowFirstColumn="0" w:firstRowLastColumn="0" w:lastRowFirstColumn="0" w:lastRowLastColumn="0"/>
          <w:trHeight w:val="91"/>
        </w:trPr>
        <w:tc>
          <w:tcPr>
            <w:tcW w:w="14034" w:type="dxa"/>
            <w:gridSpan w:val="3"/>
          </w:tcPr>
          <w:p w14:paraId="3AF13928" w14:textId="77777777" w:rsidR="00C63ACE" w:rsidRPr="009771E9" w:rsidRDefault="00C63ACE" w:rsidP="0052052E">
            <w:pPr>
              <w:spacing w:before="120" w:after="120" w:line="276" w:lineRule="auto"/>
              <w:jc w:val="left"/>
              <w:rPr>
                <w:rFonts w:ascii="Arial" w:hAnsi="Arial" w:cs="Arial"/>
                <w:b/>
                <w:sz w:val="16"/>
                <w:szCs w:val="16"/>
                <w:lang w:val="en-NZ"/>
              </w:rPr>
            </w:pPr>
          </w:p>
          <w:p w14:paraId="532A7FA8" w14:textId="77777777" w:rsidR="00C63ACE" w:rsidRPr="009771E9" w:rsidRDefault="00C63ACE" w:rsidP="0052052E">
            <w:pPr>
              <w:snapToGrid w:val="0"/>
              <w:spacing w:before="120" w:after="120" w:line="252" w:lineRule="auto"/>
              <w:jc w:val="left"/>
              <w:rPr>
                <w:rFonts w:ascii="Arial" w:hAnsi="Arial" w:cs="Arial"/>
                <w:b/>
                <w:i/>
                <w:sz w:val="16"/>
                <w:szCs w:val="16"/>
                <w:lang w:val="en-NZ"/>
              </w:rPr>
            </w:pPr>
            <w:r w:rsidRPr="009771E9">
              <w:rPr>
                <w:rFonts w:ascii="Arial" w:hAnsi="Arial" w:cs="Arial"/>
                <w:b/>
                <w:sz w:val="16"/>
                <w:szCs w:val="16"/>
                <w:lang w:val="en-NZ"/>
              </w:rPr>
              <w:t>Referral to specialist service (HCP)</w:t>
            </w:r>
          </w:p>
        </w:tc>
      </w:tr>
      <w:tr w:rsidR="00C63ACE" w:rsidRPr="005A6797" w14:paraId="100AC614" w14:textId="77777777" w:rsidTr="0052052E">
        <w:trPr>
          <w:trHeight w:val="587"/>
        </w:trPr>
        <w:tc>
          <w:tcPr>
            <w:tcW w:w="3255" w:type="dxa"/>
            <w:tcBorders>
              <w:right w:val="nil"/>
            </w:tcBorders>
            <w:shd w:val="clear" w:color="auto" w:fill="auto"/>
          </w:tcPr>
          <w:p w14:paraId="0D27FD7A"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bCs/>
                <w:color w:val="000000" w:themeColor="text1"/>
                <w:kern w:val="24"/>
                <w:sz w:val="16"/>
                <w:szCs w:val="16"/>
                <w:lang w:val="en-US"/>
              </w:rPr>
              <w:t>Environmental context and resources (physical opportunity)</w:t>
            </w:r>
          </w:p>
        </w:tc>
        <w:tc>
          <w:tcPr>
            <w:tcW w:w="2616" w:type="dxa"/>
            <w:tcBorders>
              <w:left w:val="nil"/>
              <w:right w:val="nil"/>
            </w:tcBorders>
            <w:shd w:val="clear" w:color="auto" w:fill="auto"/>
          </w:tcPr>
          <w:p w14:paraId="5233E159"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 xml:space="preserve">Lack of funded services to refer patients to  </w:t>
            </w:r>
          </w:p>
        </w:tc>
        <w:tc>
          <w:tcPr>
            <w:tcW w:w="8163" w:type="dxa"/>
            <w:tcBorders>
              <w:left w:val="nil"/>
            </w:tcBorders>
            <w:shd w:val="clear" w:color="auto" w:fill="auto"/>
          </w:tcPr>
          <w:p w14:paraId="2B58FDBB"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bCs/>
                <w:i/>
                <w:color w:val="FF0000"/>
                <w:kern w:val="24"/>
                <w:sz w:val="16"/>
                <w:szCs w:val="16"/>
              </w:rPr>
              <w:t>Healthcare professionals expressed the importance of making referrals to external lifestyle services to support patients through the behaviour change process, but these services had difficulties with long waiting lists, budget cuts causing the discontinuation of some services and were not always offered at times that suited the working population.</w:t>
            </w:r>
            <w:r>
              <w:rPr>
                <w:rFonts w:ascii="Arial" w:hAnsi="Arial" w:cs="Arial"/>
                <w:bCs/>
                <w:i/>
                <w:color w:val="FF0000"/>
                <w:kern w:val="24"/>
                <w:sz w:val="16"/>
                <w:szCs w:val="16"/>
              </w:rPr>
              <w:t xml:space="preserve"> </w:t>
            </w:r>
            <w:r w:rsidRPr="00853E4E">
              <w:rPr>
                <w:rFonts w:ascii="Arial" w:hAnsi="Arial" w:cs="Arial"/>
                <w:bCs/>
                <w:i/>
                <w:color w:val="FF0000"/>
                <w:kern w:val="24"/>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bCs/>
                <w:i/>
                <w:color w:val="FF0000"/>
                <w:kern w:val="24"/>
                <w:sz w:val="16"/>
                <w:szCs w:val="16"/>
              </w:rPr>
              <w:instrText xml:space="preserve"> ADDIN EN.CITE </w:instrText>
            </w:r>
            <w:r>
              <w:rPr>
                <w:rFonts w:ascii="Arial" w:hAnsi="Arial" w:cs="Arial"/>
                <w:bCs/>
                <w:i/>
                <w:color w:val="FF0000"/>
                <w:kern w:val="24"/>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bCs/>
                <w:i/>
                <w:color w:val="FF0000"/>
                <w:kern w:val="24"/>
                <w:sz w:val="16"/>
                <w:szCs w:val="16"/>
              </w:rPr>
              <w:instrText xml:space="preserve"> ADDIN EN.CITE.DATA </w:instrText>
            </w:r>
            <w:r>
              <w:rPr>
                <w:rFonts w:ascii="Arial" w:hAnsi="Arial" w:cs="Arial"/>
                <w:bCs/>
                <w:i/>
                <w:color w:val="FF0000"/>
                <w:kern w:val="24"/>
                <w:sz w:val="16"/>
                <w:szCs w:val="16"/>
              </w:rPr>
            </w:r>
            <w:r>
              <w:rPr>
                <w:rFonts w:ascii="Arial" w:hAnsi="Arial" w:cs="Arial"/>
                <w:bCs/>
                <w:i/>
                <w:color w:val="FF0000"/>
                <w:kern w:val="24"/>
                <w:sz w:val="16"/>
                <w:szCs w:val="16"/>
              </w:rPr>
              <w:fldChar w:fldCharType="end"/>
            </w:r>
            <w:r w:rsidRPr="00853E4E">
              <w:rPr>
                <w:rFonts w:ascii="Arial" w:hAnsi="Arial" w:cs="Arial"/>
                <w:bCs/>
                <w:i/>
                <w:color w:val="FF0000"/>
                <w:kern w:val="24"/>
                <w:sz w:val="16"/>
                <w:szCs w:val="16"/>
              </w:rPr>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(19)</w:t>
            </w:r>
            <w:r w:rsidRPr="00853E4E">
              <w:rPr>
                <w:rFonts w:ascii="Arial" w:hAnsi="Arial" w:cs="Arial"/>
                <w:bCs/>
                <w:i/>
                <w:color w:val="FF0000"/>
                <w:kern w:val="24"/>
                <w:sz w:val="16"/>
                <w:szCs w:val="16"/>
              </w:rPr>
              <w:fldChar w:fldCharType="end"/>
            </w:r>
          </w:p>
        </w:tc>
      </w:tr>
      <w:tr w:rsidR="00C63ACE" w:rsidRPr="005A6797" w14:paraId="5FB4902B" w14:textId="77777777" w:rsidTr="0052052E">
        <w:trPr>
          <w:cnfStyle w:val="000000100000" w:firstRow="0" w:lastRow="0" w:firstColumn="0" w:lastColumn="0" w:oddVBand="0" w:evenVBand="0" w:oddHBand="1" w:evenHBand="0" w:firstRowFirstColumn="0" w:firstRowLastColumn="0" w:lastRowFirstColumn="0" w:lastRowLastColumn="0"/>
          <w:trHeight w:val="202"/>
        </w:trPr>
        <w:tc>
          <w:tcPr>
            <w:tcW w:w="14034" w:type="dxa"/>
            <w:gridSpan w:val="3"/>
          </w:tcPr>
          <w:p w14:paraId="085DAA43" w14:textId="77777777" w:rsidR="00C63ACE" w:rsidRPr="009771E9" w:rsidRDefault="00C63ACE" w:rsidP="0052052E">
            <w:pPr>
              <w:spacing w:before="120" w:after="120" w:line="276" w:lineRule="auto"/>
              <w:jc w:val="left"/>
              <w:rPr>
                <w:rFonts w:ascii="Arial" w:hAnsi="Arial" w:cs="Arial"/>
                <w:b/>
                <w:sz w:val="16"/>
                <w:szCs w:val="16"/>
                <w:lang w:val="en-NZ"/>
              </w:rPr>
            </w:pPr>
          </w:p>
          <w:p w14:paraId="0C597A46" w14:textId="77777777" w:rsidR="00C63ACE" w:rsidRPr="009771E9" w:rsidRDefault="00C63ACE" w:rsidP="0052052E">
            <w:pPr>
              <w:snapToGrid w:val="0"/>
              <w:spacing w:before="120" w:after="120" w:line="252" w:lineRule="auto"/>
              <w:jc w:val="left"/>
              <w:rPr>
                <w:rFonts w:ascii="Arial" w:hAnsi="Arial" w:cs="Arial"/>
                <w:b/>
                <w:i/>
                <w:sz w:val="16"/>
                <w:szCs w:val="16"/>
                <w:lang w:val="en-NZ"/>
              </w:rPr>
            </w:pPr>
            <w:r w:rsidRPr="009771E9">
              <w:rPr>
                <w:rFonts w:ascii="Arial" w:hAnsi="Arial" w:cs="Arial"/>
                <w:b/>
                <w:sz w:val="16"/>
                <w:szCs w:val="16"/>
                <w:lang w:val="en-NZ"/>
              </w:rPr>
              <w:t>Attending referral (patient)</w:t>
            </w:r>
          </w:p>
        </w:tc>
      </w:tr>
      <w:tr w:rsidR="00C63ACE" w:rsidRPr="005A6797" w14:paraId="09936E6C" w14:textId="77777777" w:rsidTr="0052052E">
        <w:trPr>
          <w:trHeight w:val="136"/>
        </w:trPr>
        <w:tc>
          <w:tcPr>
            <w:tcW w:w="3255" w:type="dxa"/>
            <w:tcBorders>
              <w:right w:val="nil"/>
            </w:tcBorders>
            <w:shd w:val="clear" w:color="auto" w:fill="auto"/>
          </w:tcPr>
          <w:p w14:paraId="2D0B9910"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bCs/>
                <w:color w:val="000000" w:themeColor="text1"/>
                <w:kern w:val="24"/>
                <w:sz w:val="16"/>
                <w:szCs w:val="16"/>
                <w:lang w:val="en-US"/>
              </w:rPr>
              <w:t xml:space="preserve">Beliefs about consequences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30FBD3AE"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B050"/>
                <w:kern w:val="24"/>
                <w:sz w:val="16"/>
                <w:szCs w:val="16"/>
              </w:rPr>
              <w:t>Regular attendance is important</w:t>
            </w:r>
          </w:p>
        </w:tc>
        <w:tc>
          <w:tcPr>
            <w:tcW w:w="8163" w:type="dxa"/>
            <w:tcBorders>
              <w:left w:val="nil"/>
            </w:tcBorders>
            <w:shd w:val="clear" w:color="auto" w:fill="auto"/>
          </w:tcPr>
          <w:p w14:paraId="47F47E05"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00B050"/>
                <w:kern w:val="24"/>
                <w:sz w:val="16"/>
                <w:szCs w:val="16"/>
              </w:rPr>
              <w:t>The belief that attending regular appointments would reduce CVD risk predicted adherence to the programme.</w:t>
            </w:r>
            <w:r>
              <w:rPr>
                <w:rFonts w:ascii="Arial" w:hAnsi="Arial" w:cs="Arial"/>
                <w:i/>
                <w:color w:val="00B050"/>
                <w:kern w:val="24"/>
                <w:sz w:val="16"/>
                <w:szCs w:val="16"/>
              </w:rPr>
              <w:t xml:space="preserve"> </w:t>
            </w:r>
            <w:r w:rsidRPr="00853E4E">
              <w:rPr>
                <w:rFonts w:ascii="Arial" w:hAnsi="Arial" w:cs="Arial"/>
                <w:i/>
                <w:color w:val="00B050"/>
                <w:kern w:val="24"/>
                <w:sz w:val="16"/>
                <w:szCs w:val="16"/>
              </w:rPr>
              <w:fldChar w:fldCharType="begin">
                <w:fldData xml:space="preserve">PEVuZE5vdGU+PENpdGU+PEF1dGhvcj5NdXJyYXk8L0F1dGhvcj48WWVhcj4yMDE0PC9ZZWFyPjxS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PEVuZE5vdGU+PENpdGU+PEF1dGhvcj5NdXJyYXk8L0F1dGhvcj48WWVhcj4yMDE0PC9ZZWFyPjxS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853E4E">
              <w:rPr>
                <w:rFonts w:ascii="Arial" w:hAnsi="Arial" w:cs="Arial"/>
                <w:i/>
                <w:color w:val="00B050"/>
                <w:kern w:val="24"/>
                <w:sz w:val="16"/>
                <w:szCs w:val="16"/>
              </w:rPr>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(37)</w:t>
            </w:r>
            <w:r w:rsidRPr="00853E4E">
              <w:rPr>
                <w:rFonts w:ascii="Arial" w:hAnsi="Arial" w:cs="Arial"/>
                <w:i/>
                <w:color w:val="00B050"/>
                <w:kern w:val="24"/>
                <w:sz w:val="16"/>
                <w:szCs w:val="16"/>
              </w:rPr>
              <w:fldChar w:fldCharType="end"/>
            </w:r>
          </w:p>
        </w:tc>
      </w:tr>
      <w:tr w:rsidR="00C63ACE" w:rsidRPr="005A6797" w14:paraId="69FB11F9" w14:textId="77777777" w:rsidTr="0052052E">
        <w:trPr>
          <w:cnfStyle w:val="000000100000" w:firstRow="0" w:lastRow="0" w:firstColumn="0" w:lastColumn="0" w:oddVBand="0" w:evenVBand="0" w:oddHBand="1" w:evenHBand="0" w:firstRowFirstColumn="0" w:firstRowLastColumn="0" w:lastRowFirstColumn="0" w:lastRowLastColumn="0"/>
          <w:trHeight w:val="297"/>
        </w:trPr>
        <w:tc>
          <w:tcPr>
            <w:tcW w:w="14034" w:type="dxa"/>
            <w:gridSpan w:val="3"/>
          </w:tcPr>
          <w:p w14:paraId="77FFC839" w14:textId="77777777" w:rsidR="00C63ACE" w:rsidRPr="009771E9" w:rsidRDefault="00C63ACE" w:rsidP="0052052E">
            <w:pPr>
              <w:spacing w:before="120" w:after="120" w:line="276" w:lineRule="auto"/>
              <w:jc w:val="left"/>
              <w:rPr>
                <w:rFonts w:ascii="Arial" w:hAnsi="Arial" w:cs="Arial"/>
                <w:b/>
                <w:sz w:val="16"/>
                <w:szCs w:val="16"/>
                <w:lang w:val="en-NZ"/>
              </w:rPr>
            </w:pPr>
          </w:p>
          <w:p w14:paraId="2AB12C3E" w14:textId="77777777" w:rsidR="00C63ACE" w:rsidRPr="009771E9" w:rsidRDefault="00C63ACE" w:rsidP="0052052E">
            <w:pPr>
              <w:snapToGrid w:val="0"/>
              <w:spacing w:before="120" w:after="120" w:line="252" w:lineRule="auto"/>
              <w:jc w:val="left"/>
              <w:rPr>
                <w:rFonts w:ascii="Arial" w:hAnsi="Arial" w:cs="Arial"/>
                <w:b/>
                <w:i/>
                <w:sz w:val="16"/>
                <w:szCs w:val="16"/>
                <w:lang w:val="en-NZ"/>
              </w:rPr>
            </w:pPr>
            <w:r w:rsidRPr="009771E9">
              <w:rPr>
                <w:rFonts w:ascii="Arial" w:hAnsi="Arial" w:cs="Arial"/>
                <w:b/>
                <w:sz w:val="16"/>
                <w:szCs w:val="16"/>
                <w:lang w:val="en-NZ"/>
              </w:rPr>
              <w:lastRenderedPageBreak/>
              <w:t>Patient changing behaviour (patient)</w:t>
            </w:r>
          </w:p>
        </w:tc>
      </w:tr>
      <w:tr w:rsidR="00C63ACE" w:rsidRPr="005A6797" w14:paraId="36210911" w14:textId="77777777" w:rsidTr="0052052E">
        <w:trPr>
          <w:trHeight w:val="484"/>
        </w:trPr>
        <w:tc>
          <w:tcPr>
            <w:tcW w:w="3255" w:type="dxa"/>
            <w:tcBorders>
              <w:right w:val="nil"/>
            </w:tcBorders>
            <w:shd w:val="clear" w:color="auto" w:fill="auto"/>
          </w:tcPr>
          <w:p w14:paraId="5FED7A49"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lastRenderedPageBreak/>
              <w:t xml:space="preserve">Knowledge </w:t>
            </w:r>
            <w:r w:rsidRPr="009771E9">
              <w:rPr>
                <w:rFonts w:ascii="Arial" w:hAnsi="Arial" w:cs="Arial"/>
                <w:color w:val="000000" w:themeColor="text1"/>
                <w:kern w:val="24"/>
                <w:sz w:val="16"/>
                <w:szCs w:val="16"/>
              </w:rPr>
              <w:t>(psychological capability)</w:t>
            </w:r>
          </w:p>
        </w:tc>
        <w:tc>
          <w:tcPr>
            <w:tcW w:w="2616" w:type="dxa"/>
            <w:tcBorders>
              <w:left w:val="nil"/>
              <w:right w:val="nil"/>
            </w:tcBorders>
            <w:shd w:val="clear" w:color="auto" w:fill="auto"/>
          </w:tcPr>
          <w:p w14:paraId="347933E3"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Patient understanding of CVD risk and its implications after NHS HC</w:t>
            </w:r>
          </w:p>
        </w:tc>
        <w:tc>
          <w:tcPr>
            <w:tcW w:w="8163" w:type="dxa"/>
            <w:tcBorders>
              <w:left w:val="nil"/>
            </w:tcBorders>
            <w:shd w:val="clear" w:color="auto" w:fill="auto"/>
          </w:tcPr>
          <w:p w14:paraId="28C85E7D" w14:textId="77777777" w:rsidR="00C63ACE" w:rsidRPr="009771E9"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Two-thirds of patients ...rating their understanding of the CVD risk score highly (4 or above on a scale of 1 to 5, 5 indicating a high level of understanding).</w:t>
            </w:r>
            <w:r>
              <w:rPr>
                <w:rFonts w:ascii="Arial" w:hAnsi="Arial" w:cs="Arial"/>
                <w:i/>
                <w:color w:val="00B050"/>
                <w:kern w:val="24"/>
                <w:sz w:val="16"/>
                <w:szCs w:val="16"/>
              </w:rPr>
              <w:t xml:space="preserv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&lt;EndNote&gt;&lt;Cite&gt;&lt;Author&gt;Baker&lt;/Author&gt;&lt;Year&gt;2014&lt;/Year&gt;&lt;RecNum&gt;6&lt;/RecNum&gt;&lt;DisplayText&gt;(20)&lt;/DisplayText&gt;&lt;record&gt;&lt;rec-number&gt;6&lt;/rec-number&gt;&lt;foreign-keys&gt;&lt;key app="EN" db-id="f9edtwwtof5ftneevt1pr0voafdvfedx92e2" timestamp="1550219648"&gt;6&lt;/key&gt;&lt;/foreign-keys&gt;&lt;ref-type name="Journal Article"&gt;17&lt;/ref-type&gt;&lt;contributors&gt;&lt;authors&gt;&lt;author&gt;Baker, C.&lt;/author&gt;&lt;author&gt;Loughren, E. A.&lt;/author&gt;&lt;author&gt;Crone, D.&lt;/author&gt;&lt;author&gt;Kallfa, N.&lt;/author&gt;&lt;/authors&gt;&lt;/contributors&gt;&lt;auth-address&gt;Baker, Colin. University of Gloucestershire, Oxstalls Campus, Oxstalls Lane, Gloucester, Gloucestershire, UK, GL2 9HW;, Email: cmbaker@glos.ac.uk.&amp;#xD;Loughren, Elizabeth A. University of Gloucestershire, Oxstalls Campus, UK.&amp;#xD;Crone, Diane. University of Gloucestershire, Oxstalls Campus, UK.&amp;#xD;Kallfa&amp;apos;, Nevila. Consultant in Public Health, Public Health England, UK.&lt;/auth-address&gt;&lt;titles&gt;&lt;title&gt;Patients&amp;apos; perceptions of a NHS Health Check in the primary care setting&lt;/title&gt;&lt;secondary-title&gt;Quality in Primary Care&lt;/secondary-title&gt;&lt;/titles&gt;&lt;periodical&gt;&lt;full-title&gt;Quality in Primary Care&lt;/full-title&gt;&lt;/periodical&gt;&lt;pages&gt;232-7&lt;/pages&gt;&lt;volume&gt;22&lt;/volume&gt;&lt;number&gt;5&lt;/number&gt;&lt;dates&gt;&lt;year&gt;2014&lt;/year&gt;&lt;/dates&gt;&lt;accession-num&gt;25897543&lt;/accession-num&gt;&lt;urls&gt;&lt;related-urls&gt;&lt;url&gt;http://ovidsp.ovid.com/ovidweb.cgi?T=JS&amp;amp;CSC=Y&amp;amp;NEWS=N&amp;amp;PAGE=fulltext&amp;amp;D=prem&amp;amp;AN=25897543&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(20)</w:t>
            </w:r>
            <w:r w:rsidRPr="00853E4E">
              <w:rPr>
                <w:rFonts w:ascii="Arial" w:hAnsi="Arial" w:cs="Arial"/>
                <w:i/>
                <w:color w:val="00B050"/>
                <w:kern w:val="24"/>
                <w:sz w:val="16"/>
                <w:szCs w:val="16"/>
              </w:rPr>
              <w:fldChar w:fldCharType="end"/>
            </w:r>
          </w:p>
          <w:p w14:paraId="29DD9EC7"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br/>
              <w:t>"The conclusion was I have a 6% chance of getting heart disease, which on one hand sounds good because 6 people out of 100, but then if I’m one of those 6 … so I feel very unclear about it. I thought, well how close to 10 is</w:t>
            </w:r>
            <w:r w:rsidRPr="00853E4E">
              <w:rPr>
                <w:rFonts w:ascii="Arial" w:hAnsi="Arial" w:cs="Arial"/>
                <w:bCs/>
                <w:i/>
                <w:color w:val="FF0000"/>
                <w:kern w:val="24"/>
                <w:sz w:val="16"/>
                <w:szCs w:val="16"/>
              </w:rPr>
              <w:t xml:space="preserve"> 6?"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&lt;EndNote&gt;&lt;Cite&gt;&lt;Author&gt;Chipchase&lt;/Author&gt;&lt;Year&gt;2013&lt;/Year&gt;&lt;RecNum&gt;14&lt;/RecNum&gt;&lt;DisplayText&gt;(42)&lt;/DisplayText&gt;&lt;record&gt;&lt;rec-number&gt;14&lt;/rec-number&gt;&lt;foreign-keys&gt;&lt;key app="EN" db-id="f9edtwwtof5ftneevt1pr0voafdvfedx92e2" timestamp="1550219648"&gt;14&lt;/key&gt;&lt;/foreign-keys&gt;&lt;ref-type name="Journal Article"&gt;17&lt;/ref-type&gt;&lt;contributors&gt;&lt;authors&gt;&lt;author&gt;Laura Chipchase&lt;/author&gt;&lt;author&gt;Jamie Waterall&lt;/author&gt;&lt;author&gt;Patrick Hill&lt;/author&gt;&lt;/authors&gt;&lt;/contributors&gt;&lt;titles&gt;&lt;title&gt;Understanding how the NHS Health Check works in practice&lt;/title&gt;&lt;secondary-title&gt;Practice Nursing&lt;/secondary-title&gt;&lt;/titles&gt;&lt;periodical&gt;&lt;full-title&gt;Practice Nursing&lt;/full-title&gt;&lt;/periodical&gt;&lt;pages&gt;24-29&lt;/pages&gt;&lt;volume&gt;24&lt;/volume&gt;&lt;number&gt;1&lt;/number&gt;&lt;keywords&gt;&lt;keyword&gt;NHS health checks,cardiovascular disease,communicating risk,lifestyle prevention,primary care,behaviour change&lt;/keyword&gt;&lt;/keywords&gt;&lt;dates&gt;&lt;year&gt;2013&lt;/year&gt;&lt;/dates&gt;&lt;urls&gt;&lt;related-urls&gt;&lt;url&gt;https://www.magonlinelibrary.com/doi/abs/10.12968/pnur.2013.24.1.24&lt;/url&gt;&lt;/related-urls&gt;&lt;/urls&gt;&lt;electronic-resource-num&gt;10.12968/pnur.2013.24.1.24&lt;/electronic-resource-num&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(42)</w:t>
            </w:r>
            <w:r w:rsidRPr="00853E4E">
              <w:rPr>
                <w:rFonts w:ascii="Arial" w:hAnsi="Arial" w:cs="Arial"/>
                <w:bCs/>
                <w:i/>
                <w:color w:val="FF0000"/>
                <w:kern w:val="24"/>
                <w:sz w:val="16"/>
                <w:szCs w:val="16"/>
              </w:rPr>
              <w:fldChar w:fldCharType="end"/>
            </w:r>
          </w:p>
        </w:tc>
      </w:tr>
      <w:tr w:rsidR="00C63ACE" w:rsidRPr="005A6797" w14:paraId="02D9FED0" w14:textId="77777777" w:rsidTr="0052052E">
        <w:trPr>
          <w:cnfStyle w:val="000000100000" w:firstRow="0" w:lastRow="0" w:firstColumn="0" w:lastColumn="0" w:oddVBand="0" w:evenVBand="0" w:oddHBand="1" w:evenHBand="0" w:firstRowFirstColumn="0" w:firstRowLastColumn="0" w:lastRowFirstColumn="0" w:lastRowLastColumn="0"/>
          <w:trHeight w:val="98"/>
        </w:trPr>
        <w:tc>
          <w:tcPr>
            <w:tcW w:w="3255" w:type="dxa"/>
            <w:vMerge w:val="restart"/>
            <w:tcBorders>
              <w:right w:val="nil"/>
            </w:tcBorders>
            <w:shd w:val="clear" w:color="auto" w:fill="auto"/>
          </w:tcPr>
          <w:p w14:paraId="2C65A3AC"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Environmental context and resources </w:t>
            </w:r>
            <w:r w:rsidRPr="009771E9">
              <w:rPr>
                <w:rFonts w:ascii="Arial" w:hAnsi="Arial" w:cs="Arial"/>
                <w:color w:val="000000" w:themeColor="text1"/>
                <w:kern w:val="24"/>
                <w:sz w:val="16"/>
                <w:szCs w:val="16"/>
                <w:lang w:val="en-US"/>
              </w:rPr>
              <w:t>(physical opportunity)</w:t>
            </w:r>
          </w:p>
        </w:tc>
        <w:tc>
          <w:tcPr>
            <w:tcW w:w="2616" w:type="dxa"/>
            <w:tcBorders>
              <w:left w:val="nil"/>
              <w:right w:val="nil"/>
            </w:tcBorders>
            <w:shd w:val="clear" w:color="auto" w:fill="auto"/>
          </w:tcPr>
          <w:p w14:paraId="5244D6CC"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Time and cost as a barrier to adherence</w:t>
            </w:r>
          </w:p>
        </w:tc>
        <w:tc>
          <w:tcPr>
            <w:tcW w:w="8163" w:type="dxa"/>
            <w:tcBorders>
              <w:left w:val="nil"/>
            </w:tcBorders>
            <w:shd w:val="clear" w:color="auto" w:fill="auto"/>
          </w:tcPr>
          <w:p w14:paraId="35F13DBB"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FF0000"/>
                <w:kern w:val="24"/>
                <w:sz w:val="16"/>
                <w:szCs w:val="16"/>
              </w:rPr>
              <w:t>A number of patients, especially from lower socio-economic groups, encountered barriers in adopting healthy eating, citing the cost of eating fresh fruit and vegeta</w:t>
            </w:r>
            <w:r w:rsidRPr="00853E4E">
              <w:rPr>
                <w:rFonts w:ascii="Arial" w:hAnsi="Arial" w:cs="Arial"/>
                <w:bCs/>
                <w:i/>
                <w:color w:val="FF0000"/>
                <w:kern w:val="24"/>
                <w:sz w:val="16"/>
                <w:szCs w:val="16"/>
              </w:rPr>
              <w:t xml:space="preserve">bles.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&lt;EndNote&gt;&lt;Cite&gt;&lt;Author&gt;Ismail&lt;/Author&gt;&lt;Year&gt;2016&lt;/Year&gt;&lt;RecNum&gt;32&lt;/RecNum&gt;&lt;DisplayText&gt;(29)&lt;/DisplayText&gt;&lt;record&gt;&lt;rec-number&gt;32&lt;/rec-number&gt;&lt;foreign-keys&gt;&lt;key app="EN" db-id="f9edtwwtof5ftneevt1pr0voafdvfedx92e2" timestamp="1550219648"&gt;32&lt;/key&gt;&lt;/foreign-keys&gt;&lt;ref-type name="Journal Article"&gt;17&lt;/ref-type&gt;&lt;contributors&gt;&lt;authors&gt;&lt;author&gt;Ismail, H.&lt;/author&gt;&lt;author&gt;Atkin, K.&lt;/author&gt;&lt;/authors&gt;&lt;/contributors&gt;&lt;auth-address&gt;Ismail, Hanif. Faculty of Health and Life Sciences, York St John University, York, UK.&amp;#xD;Atkin, Karl. Department of Health Sciences, University of York, York, UK.&lt;/auth-address&gt;&lt;titles&gt;&lt;title&gt;The NHS Health Check programme: insights from a qualitative study of patients&lt;/title&gt;&lt;secondary-title&gt;Health Expectations&lt;/secondary-title&gt;&lt;/titles&gt;&lt;periodical&gt;&lt;full-title&gt;Health Expectations&lt;/full-title&gt;&lt;/periodical&gt;&lt;pages&gt;345-55&lt;/pages&gt;&lt;volume&gt;19&lt;/volume&gt;&lt;number&gt;2&lt;/number&gt;&lt;dates&gt;&lt;year&gt;2016&lt;/year&gt;&lt;/dates&gt;&lt;accession-num&gt;25732686&lt;/accession-num&gt;&lt;work-type&gt;Research Support, Non-U.S. Gov&amp;apos;t&lt;/work-type&gt;&lt;urls&gt;&lt;related-urls&gt;&lt;url&gt;http://ovidsp.ovid.com/ovidweb.cgi?T=JS&amp;amp;CSC=Y&amp;amp;NEWS=N&amp;amp;PAGE=fulltext&amp;amp;D=med8&amp;amp;AN=25732686&lt;/url&gt;&lt;url&gt;https://www.ncbi.nlm.nih.gov/pmc/articles/PMC5055268/pdf/HEX-19-345.pdf&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(29)</w:t>
            </w:r>
            <w:r w:rsidRPr="00853E4E">
              <w:rPr>
                <w:rFonts w:ascii="Arial" w:hAnsi="Arial" w:cs="Arial"/>
                <w:bCs/>
                <w:i/>
                <w:color w:val="FF0000"/>
                <w:kern w:val="24"/>
                <w:sz w:val="16"/>
                <w:szCs w:val="16"/>
              </w:rPr>
              <w:fldChar w:fldCharType="end"/>
            </w:r>
            <w:r w:rsidRPr="009771E9">
              <w:rPr>
                <w:rFonts w:ascii="Arial" w:hAnsi="Arial" w:cs="Arial"/>
                <w:i/>
                <w:color w:val="FF0000"/>
                <w:kern w:val="24"/>
                <w:sz w:val="16"/>
                <w:szCs w:val="16"/>
              </w:rPr>
              <w:br/>
            </w:r>
            <w:r w:rsidRPr="009771E9">
              <w:rPr>
                <w:rFonts w:ascii="Arial" w:hAnsi="Arial" w:cs="Arial"/>
                <w:i/>
                <w:color w:val="FF0000"/>
                <w:kern w:val="24"/>
                <w:sz w:val="16"/>
                <w:szCs w:val="16"/>
              </w:rPr>
              <w:br/>
            </w:r>
            <w:r w:rsidRPr="009771E9">
              <w:rPr>
                <w:rFonts w:ascii="Arial" w:hAnsi="Arial" w:cs="Arial"/>
                <w:i/>
                <w:color w:val="00B050"/>
                <w:kern w:val="24"/>
                <w:sz w:val="16"/>
                <w:szCs w:val="16"/>
              </w:rPr>
              <w:t>Social and material factors were not seen as real impediments to lifestyle change.</w:t>
            </w:r>
            <w:r>
              <w:rPr>
                <w:rFonts w:ascii="Arial" w:hAnsi="Arial" w:cs="Arial"/>
                <w:i/>
                <w:color w:val="00B050"/>
                <w:kern w:val="24"/>
                <w:sz w:val="16"/>
                <w:szCs w:val="16"/>
              </w:rPr>
              <w:t xml:space="preserve">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&lt;EndNote&gt;&lt;Cite&gt;&lt;Author&gt;Honey&lt;/Author&gt;&lt;Year&gt;2013&lt;/Year&gt;&lt;RecNum&gt;30&lt;/RecNum&gt;&lt;DisplayText&gt;(27)&lt;/DisplayText&gt;&lt;record&gt;&lt;rec-number&gt;30&lt;/rec-number&gt;&lt;foreign-keys&gt;&lt;key app="EN" db-id="f9edtwwtof5ftneevt1pr0voafdvfedx92e2" timestamp="1550219648"&gt;30&lt;/key&gt;&lt;/foreign-keys&gt;&lt;ref-type name="Journal Article"&gt;17&lt;/ref-type&gt;&lt;contributors&gt;&lt;authors&gt;&lt;author&gt;Honey, S.&lt;/author&gt;&lt;author&gt;Bryant, L. D.&lt;/author&gt;&lt;author&gt;Murray, J.&lt;/author&gt;&lt;author&gt;Hill, K.&lt;/author&gt;&lt;author&gt;House, A.&lt;/author&gt;&lt;/authors&gt;&lt;/contributors&gt;&lt;auth-address&gt;Honey, Stephanie. Leeds Institute of Health Sciences, Charles Thackrah Building, University of Leeds, 101 Clarendon Road, Leeds LS2 9LJ, UK. S.A.Honey@leeds.ac.uk.&lt;/auth-address&gt;&lt;titles&gt;&lt;title&gt;Differences in the perceived role of the healthcare provider in delivering vascular health checks: a Q methodology study&lt;/title&gt;&lt;secondary-title&gt;BMC Family Practice&lt;/secondary-title&gt;&lt;/titles&gt;&lt;periodical&gt;&lt;full-title&gt;BMC Family Practice&lt;/full-title&gt;&lt;/periodical&gt;&lt;pages&gt;172&lt;/pages&gt;&lt;volume&gt;14&lt;/volume&gt;&lt;dates&gt;&lt;year&gt;2013&lt;/year&gt;&lt;/dates&gt;&lt;accession-num&gt;24229342&lt;/accession-num&gt;&lt;work-type&gt;Research Support, Non-U.S. Gov&amp;apos;t&lt;/work-type&gt;&lt;urls&gt;&lt;related-urls&gt;&lt;url&gt;http://ovidsp.ovid.com/ovidweb.cgi?T=JS&amp;amp;CSC=Y&amp;amp;NEWS=N&amp;amp;PAGE=fulltext&amp;amp;D=med7&amp;amp;AN=24229342&lt;/url&gt;&lt;url&gt;https://www.ncbi.nlm.nih.gov/pmc/articles/PMC3870972/pdf/1471-2296-14-172.pdf&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(27)</w:t>
            </w:r>
            <w:r w:rsidRPr="00853E4E">
              <w:rPr>
                <w:rFonts w:ascii="Arial" w:hAnsi="Arial" w:cs="Arial"/>
                <w:i/>
                <w:color w:val="00B050"/>
                <w:kern w:val="24"/>
                <w:sz w:val="16"/>
                <w:szCs w:val="16"/>
              </w:rPr>
              <w:fldChar w:fldCharType="end"/>
            </w:r>
          </w:p>
        </w:tc>
      </w:tr>
      <w:tr w:rsidR="00C63ACE" w:rsidRPr="005A6797" w14:paraId="4B7F7F3B" w14:textId="77777777" w:rsidTr="0052052E">
        <w:trPr>
          <w:trHeight w:val="11"/>
        </w:trPr>
        <w:tc>
          <w:tcPr>
            <w:tcW w:w="3255" w:type="dxa"/>
            <w:vMerge/>
            <w:tcBorders>
              <w:right w:val="nil"/>
            </w:tcBorders>
            <w:shd w:val="clear" w:color="auto" w:fill="auto"/>
          </w:tcPr>
          <w:p w14:paraId="001116CE" w14:textId="77777777" w:rsidR="00C63ACE" w:rsidRPr="009771E9" w:rsidRDefault="00C63ACE" w:rsidP="0052052E">
            <w:pPr>
              <w:spacing w:before="120" w:after="120" w:line="276" w:lineRule="auto"/>
              <w:jc w:val="left"/>
              <w:rPr>
                <w:rFonts w:ascii="Arial" w:hAnsi="Arial" w:cs="Arial"/>
                <w:color w:val="00B050"/>
                <w:kern w:val="24"/>
                <w:sz w:val="16"/>
                <w:szCs w:val="16"/>
              </w:rPr>
            </w:pPr>
          </w:p>
        </w:tc>
        <w:tc>
          <w:tcPr>
            <w:tcW w:w="2616" w:type="dxa"/>
            <w:tcBorders>
              <w:left w:val="nil"/>
              <w:right w:val="nil"/>
            </w:tcBorders>
            <w:shd w:val="clear" w:color="auto" w:fill="auto"/>
          </w:tcPr>
          <w:p w14:paraId="2AA49AE1" w14:textId="77777777" w:rsidR="00C63ACE" w:rsidRPr="009771E9" w:rsidRDefault="00C63ACE" w:rsidP="0052052E">
            <w:pPr>
              <w:spacing w:before="120" w:after="120" w:line="276" w:lineRule="auto"/>
              <w:ind w:left="140" w:right="197"/>
              <w:jc w:val="left"/>
              <w:rPr>
                <w:rFonts w:ascii="Arial" w:hAnsi="Arial" w:cs="Arial"/>
                <w:color w:val="00B050"/>
                <w:kern w:val="24"/>
                <w:sz w:val="16"/>
                <w:szCs w:val="16"/>
              </w:rPr>
            </w:pPr>
            <w:r w:rsidRPr="009771E9">
              <w:rPr>
                <w:rFonts w:ascii="Arial" w:hAnsi="Arial" w:cs="Arial"/>
                <w:color w:val="00B050"/>
                <w:kern w:val="24"/>
                <w:sz w:val="16"/>
                <w:szCs w:val="16"/>
              </w:rPr>
              <w:t>Adherence to behavioural support influenced by mode of communication of risk</w:t>
            </w:r>
          </w:p>
        </w:tc>
        <w:tc>
          <w:tcPr>
            <w:tcW w:w="8163" w:type="dxa"/>
            <w:tcBorders>
              <w:left w:val="nil"/>
            </w:tcBorders>
            <w:shd w:val="clear" w:color="auto" w:fill="auto"/>
          </w:tcPr>
          <w:p w14:paraId="07D68380"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A higher proportion [of HCPs] thought that most patients complied with advice received during a consultation with the electronic calculator than the paper risk charts. </w:t>
            </w:r>
            <w:r w:rsidRPr="00853E4E">
              <w:rPr>
                <w:rFonts w:ascii="Arial" w:hAnsi="Arial" w:cs="Arial"/>
                <w:i/>
                <w:color w:val="00B050"/>
                <w:kern w:val="24"/>
                <w:sz w:val="16"/>
                <w:szCs w:val="16"/>
              </w:rPr>
              <w:fldChar w:fldCharType="begin"/>
            </w:r>
            <w:r>
              <w:rPr>
                <w:rFonts w:ascii="Arial" w:hAnsi="Arial" w:cs="Arial"/>
                <w:i/>
                <w:color w:val="00B050"/>
                <w:kern w:val="24"/>
                <w:sz w:val="16"/>
                <w:szCs w:val="16"/>
              </w:rPr>
              <w:instrText xml:space="preserve"> ADDIN EN.CITE &lt;EndNote&gt;&lt;Cite&gt;&lt;Author&gt;Kirby&lt;/Author&gt;&lt;Year&gt;2009&lt;/Year&gt;&lt;RecNum&gt;35&lt;/RecNum&gt;&lt;DisplayText&gt;(32)&lt;/DisplayText&gt;&lt;record&gt;&lt;rec-number&gt;35&lt;/rec-number&gt;&lt;foreign-keys&gt;&lt;key app="EN" db-id="f9edtwwtof5ftneevt1pr0voafdvfedx92e2" timestamp="1550219648"&gt;35&lt;/key&gt;&lt;/foreign-keys&gt;&lt;ref-type name="Journal Article"&gt;17&lt;/ref-type&gt;&lt;contributors&gt;&lt;authors&gt;&lt;author&gt;Kirby, M.&lt;/author&gt;&lt;author&gt;Machen, I.&lt;/author&gt;&lt;/authors&gt;&lt;/contributors&gt;&lt;auth-address&gt;Kirby, M. Clinical Trials Co-ordinating Centre, Faculty of Health and Human Sciences, University of Hertfordshire, College Lane, Hatfield, Herts, UK. kirbym@globalnet.co.uk&lt;/auth-address&gt;&lt;titles&gt;&lt;title&gt;Impact on clinical practice of the Joint British Societies&amp;apos; cardiovascular risk assessment tools&lt;/title&gt;&lt;secondary-title&gt;International Journal of Clinical Practice&lt;/secondary-title&gt;&lt;/titles&gt;&lt;periodical&gt;&lt;full-title&gt;International Journal of Clinical Practice&lt;/full-title&gt;&lt;/periodical&gt;&lt;pages&gt;1683-92&lt;/pages&gt;&lt;volume&gt;63&lt;/volume&gt;&lt;number&gt;12&lt;/number&gt;&lt;dates&gt;&lt;year&gt;2009&lt;/year&gt;&lt;/dates&gt;&lt;accession-num&gt;19930330&lt;/accession-num&gt;&lt;work-type&gt;Research Support, Non-U.S. Gov&amp;apos;t&lt;/work-type&gt;&lt;urls&gt;&lt;related-urls&gt;&lt;url&gt;http://ovidsp.ovid.com/ovidweb.cgi?T=JS&amp;amp;CSC=Y&amp;amp;NEWS=N&amp;amp;PAGE=fulltext&amp;amp;D=med6&amp;amp;AN=19930330&lt;/url&gt;&lt;url&gt;https://onlinelibrary.wiley.com/doi/abs/10.1111/j.1742-1241.2009.02201.x&lt;/url&gt;&lt;/related-urls&gt;&lt;/urls&gt;&lt;remote-database-name&gt;MEDLINE&lt;/remote-database-name&gt;&lt;remote-database-provider&gt;Ovid Technologies&lt;/remote-database-provider&gt;&lt;/record&gt;&lt;/Cite&gt;&lt;/EndNote&gt;</w:instrText>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(32)</w:t>
            </w:r>
            <w:r w:rsidRPr="00853E4E">
              <w:rPr>
                <w:rFonts w:ascii="Arial" w:hAnsi="Arial" w:cs="Arial"/>
                <w:i/>
                <w:color w:val="00B050"/>
                <w:kern w:val="24"/>
                <w:sz w:val="16"/>
                <w:szCs w:val="16"/>
              </w:rPr>
              <w:fldChar w:fldCharType="end"/>
            </w:r>
          </w:p>
        </w:tc>
      </w:tr>
      <w:tr w:rsidR="00C63ACE" w:rsidRPr="005A6797" w14:paraId="0BA5B32B" w14:textId="77777777" w:rsidTr="0052052E">
        <w:trPr>
          <w:cnfStyle w:val="000000100000" w:firstRow="0" w:lastRow="0" w:firstColumn="0" w:lastColumn="0" w:oddVBand="0" w:evenVBand="0" w:oddHBand="1" w:evenHBand="0" w:firstRowFirstColumn="0" w:firstRowLastColumn="0" w:lastRowFirstColumn="0" w:lastRowLastColumn="0"/>
          <w:trHeight w:val="324"/>
        </w:trPr>
        <w:tc>
          <w:tcPr>
            <w:tcW w:w="3255" w:type="dxa"/>
            <w:tcBorders>
              <w:right w:val="nil"/>
            </w:tcBorders>
            <w:shd w:val="clear" w:color="auto" w:fill="auto"/>
          </w:tcPr>
          <w:p w14:paraId="7540E5B1"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Social influences </w:t>
            </w:r>
            <w:r w:rsidRPr="009771E9">
              <w:rPr>
                <w:rFonts w:ascii="Arial" w:eastAsiaTheme="minorEastAsia" w:hAnsi="Arial" w:cs="Arial"/>
                <w:color w:val="000000" w:themeColor="text1"/>
                <w:kern w:val="24"/>
                <w:sz w:val="16"/>
                <w:szCs w:val="16"/>
                <w:lang w:val="en-US"/>
              </w:rPr>
              <w:t>(social opportunity)</w:t>
            </w:r>
          </w:p>
        </w:tc>
        <w:tc>
          <w:tcPr>
            <w:tcW w:w="2616" w:type="dxa"/>
            <w:tcBorders>
              <w:left w:val="nil"/>
              <w:right w:val="nil"/>
            </w:tcBorders>
            <w:shd w:val="clear" w:color="auto" w:fill="auto"/>
          </w:tcPr>
          <w:p w14:paraId="55B8A4FF"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B050"/>
                <w:kern w:val="24"/>
                <w:sz w:val="16"/>
                <w:szCs w:val="16"/>
              </w:rPr>
              <w:t>Support from others to change</w:t>
            </w:r>
          </w:p>
        </w:tc>
        <w:tc>
          <w:tcPr>
            <w:tcW w:w="8163" w:type="dxa"/>
            <w:tcBorders>
              <w:left w:val="nil"/>
            </w:tcBorders>
            <w:shd w:val="clear" w:color="auto" w:fill="auto"/>
          </w:tcPr>
          <w:p w14:paraId="279EA17B" w14:textId="77777777" w:rsidR="00C63ACE" w:rsidRPr="00853E4E"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 xml:space="preserve">Participants also spoke about the importance of family and friends in supporting the changes they made. The significance of family networks, particularly immediate family relatives, reveals that social ties are an aspect of people’s everyday lives that could enable or constrain desired changes in behaviour. </w:t>
            </w:r>
            <w:r w:rsidRPr="00853E4E">
              <w:rPr>
                <w:rFonts w:ascii="Arial" w:hAnsi="Arial" w:cs="Arial"/>
                <w:i/>
                <w:color w:val="00B050"/>
                <w:kern w:val="24"/>
                <w:sz w:val="16"/>
                <w:szCs w:val="16"/>
              </w:rPr>
              <w:fldChar w:fldCharType="begin">
                <w:fldData xml:space="preserve">PEVuZE5vdGU+PENpdGU+PEF1dGhvcj5QZXJyeTwvQXV0aG9yPjxZZWFyPjIwMTY8L1llYXI+PFJl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PEVuZE5vdGU+PENpdGU+PEF1dGhvcj5QZXJyeTwvQXV0aG9yPjxZZWFyPjIwMTY8L1llYXI+PFJl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853E4E">
              <w:rPr>
                <w:rFonts w:ascii="Arial" w:hAnsi="Arial" w:cs="Arial"/>
                <w:i/>
                <w:color w:val="00B050"/>
                <w:kern w:val="24"/>
                <w:sz w:val="16"/>
                <w:szCs w:val="16"/>
              </w:rPr>
            </w:r>
            <w:r w:rsidRPr="00853E4E">
              <w:rPr>
                <w:rFonts w:ascii="Arial" w:hAnsi="Arial" w:cs="Arial"/>
                <w:i/>
                <w:color w:val="00B050"/>
                <w:kern w:val="24"/>
                <w:sz w:val="16"/>
                <w:szCs w:val="16"/>
              </w:rPr>
              <w:fldChar w:fldCharType="separate"/>
            </w:r>
            <w:r>
              <w:rPr>
                <w:rFonts w:ascii="Arial" w:hAnsi="Arial" w:cs="Arial"/>
                <w:i/>
                <w:noProof/>
                <w:color w:val="00B050"/>
                <w:kern w:val="24"/>
                <w:sz w:val="16"/>
                <w:szCs w:val="16"/>
              </w:rPr>
              <w:t>(52)</w:t>
            </w:r>
            <w:r w:rsidRPr="00853E4E">
              <w:rPr>
                <w:rFonts w:ascii="Arial" w:hAnsi="Arial" w:cs="Arial"/>
                <w:i/>
                <w:color w:val="00B050"/>
                <w:kern w:val="24"/>
                <w:sz w:val="16"/>
                <w:szCs w:val="16"/>
              </w:rPr>
              <w:fldChar w:fldCharType="end"/>
            </w:r>
          </w:p>
        </w:tc>
      </w:tr>
      <w:tr w:rsidR="00C63ACE" w:rsidRPr="005A6797" w14:paraId="00F55DB2" w14:textId="77777777" w:rsidTr="0052052E">
        <w:trPr>
          <w:trHeight w:val="1591"/>
        </w:trPr>
        <w:tc>
          <w:tcPr>
            <w:tcW w:w="3255" w:type="dxa"/>
            <w:tcBorders>
              <w:right w:val="nil"/>
            </w:tcBorders>
            <w:shd w:val="clear" w:color="auto" w:fill="auto"/>
          </w:tcPr>
          <w:p w14:paraId="6ED73709"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sz w:val="16"/>
                <w:szCs w:val="16"/>
                <w:lang w:val="en-NZ"/>
              </w:rPr>
              <w:t>Social professional role and identity (reflective motivation)</w:t>
            </w:r>
          </w:p>
        </w:tc>
        <w:tc>
          <w:tcPr>
            <w:tcW w:w="2616" w:type="dxa"/>
            <w:tcBorders>
              <w:left w:val="nil"/>
              <w:right w:val="nil"/>
            </w:tcBorders>
            <w:shd w:val="clear" w:color="auto" w:fill="auto"/>
          </w:tcPr>
          <w:p w14:paraId="516739DF" w14:textId="77777777" w:rsidR="00C63ACE" w:rsidRPr="009771E9" w:rsidRDefault="00C63ACE" w:rsidP="0052052E">
            <w:pPr>
              <w:spacing w:before="120" w:after="120" w:line="276" w:lineRule="auto"/>
              <w:ind w:left="140" w:right="197"/>
              <w:jc w:val="left"/>
              <w:rPr>
                <w:rFonts w:ascii="Arial" w:hAnsi="Arial" w:cs="Arial"/>
                <w:color w:val="0070C0"/>
                <w:sz w:val="16"/>
                <w:szCs w:val="16"/>
                <w:lang w:val="en-NZ"/>
              </w:rPr>
            </w:pPr>
            <w:r w:rsidRPr="009771E9">
              <w:rPr>
                <w:rFonts w:ascii="Arial" w:hAnsi="Arial" w:cs="Arial"/>
                <w:color w:val="0070C0"/>
                <w:sz w:val="16"/>
                <w:szCs w:val="16"/>
                <w:lang w:val="en-NZ"/>
              </w:rPr>
              <w:t>Patient engagement is influenced by HCP role</w:t>
            </w:r>
          </w:p>
        </w:tc>
        <w:tc>
          <w:tcPr>
            <w:tcW w:w="8163" w:type="dxa"/>
            <w:tcBorders>
              <w:left w:val="nil"/>
            </w:tcBorders>
            <w:shd w:val="clear" w:color="auto" w:fill="auto"/>
          </w:tcPr>
          <w:p w14:paraId="0024058B" w14:textId="77777777" w:rsidR="00C63ACE" w:rsidRPr="009771E9" w:rsidRDefault="00C63ACE" w:rsidP="0052052E">
            <w:pPr>
              <w:snapToGrid w:val="0"/>
              <w:spacing w:before="120" w:after="120" w:line="252" w:lineRule="auto"/>
              <w:jc w:val="left"/>
              <w:rPr>
                <w:rFonts w:ascii="Arial" w:hAnsi="Arial" w:cs="Arial"/>
                <w:i/>
                <w:color w:val="0070C0"/>
                <w:sz w:val="16"/>
                <w:szCs w:val="16"/>
                <w:lang w:val="en-NZ"/>
              </w:rPr>
            </w:pPr>
            <w:r w:rsidRPr="009771E9">
              <w:rPr>
                <w:rFonts w:ascii="Arial" w:hAnsi="Arial" w:cs="Arial"/>
                <w:i/>
                <w:color w:val="0070C0"/>
                <w:sz w:val="16"/>
                <w:szCs w:val="16"/>
                <w:lang w:val="en-NZ"/>
              </w:rPr>
              <w:t>In some interviews, participants discussed how different clinicians influenced the success of behaviour change interventions. Some thought that if the intervention was delivered by a GP it would have a bigger influence on patients. Others argued that patients might be more open and engaged with interventions delivered by nurses and HCAs, due to the ease of the relationship. One manager thought that patients would be more open in community settings rather than with their healthcare provider</w:t>
            </w:r>
            <w:r w:rsidRPr="0072636E">
              <w:rPr>
                <w:rFonts w:ascii="Arial" w:hAnsi="Arial" w:cs="Arial"/>
                <w:i/>
                <w:color w:val="0070C0"/>
                <w:sz w:val="16"/>
                <w:szCs w:val="16"/>
                <w:lang w:val="en-NZ"/>
              </w:rPr>
              <w:t xml:space="preserve">. </w:t>
            </w:r>
            <w:r w:rsidRPr="0072636E">
              <w:rPr>
                <w:rFonts w:ascii="Arial" w:hAnsi="Arial" w:cs="Arial"/>
                <w:i/>
                <w:color w:val="0070C0"/>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0070C0"/>
                <w:sz w:val="16"/>
                <w:szCs w:val="16"/>
              </w:rPr>
              <w:instrText xml:space="preserve"> ADDIN EN.CITE </w:instrText>
            </w:r>
            <w:r>
              <w:rPr>
                <w:rFonts w:ascii="Arial" w:hAnsi="Arial" w:cs="Arial"/>
                <w:i/>
                <w:color w:val="0070C0"/>
                <w:sz w:val="16"/>
                <w:szCs w:val="16"/>
              </w:rPr>
              <w:fldChar w:fldCharType="begin">
                <w:fldData xml:space="preserve">PEVuZE5vdGU+PENpdGU+PEF1dGhvcj5BbGFnZWVsPC9BdXRob3I+PFllYXI+MjAxODwvWWVhcj48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</w:fldData>
              </w:fldChar>
            </w:r>
            <w:r>
              <w:rPr>
                <w:rFonts w:ascii="Arial" w:hAnsi="Arial" w:cs="Arial"/>
                <w:i/>
                <w:color w:val="0070C0"/>
                <w:sz w:val="16"/>
                <w:szCs w:val="16"/>
              </w:rPr>
              <w:instrText xml:space="preserve"> ADDIN EN.CITE.DATA </w:instrText>
            </w:r>
            <w:r>
              <w:rPr>
                <w:rFonts w:ascii="Arial" w:hAnsi="Arial" w:cs="Arial"/>
                <w:i/>
                <w:color w:val="0070C0"/>
                <w:sz w:val="16"/>
                <w:szCs w:val="16"/>
              </w:rPr>
            </w:r>
            <w:r>
              <w:rPr>
                <w:rFonts w:ascii="Arial" w:hAnsi="Arial" w:cs="Arial"/>
                <w:i/>
                <w:color w:val="0070C0"/>
                <w:sz w:val="16"/>
                <w:szCs w:val="16"/>
              </w:rPr>
              <w:fldChar w:fldCharType="end"/>
            </w:r>
            <w:r w:rsidRPr="0072636E">
              <w:rPr>
                <w:rFonts w:ascii="Arial" w:hAnsi="Arial" w:cs="Arial"/>
                <w:i/>
                <w:color w:val="0070C0"/>
                <w:sz w:val="16"/>
                <w:szCs w:val="16"/>
              </w:rPr>
            </w:r>
            <w:r w:rsidRPr="0072636E">
              <w:rPr>
                <w:rFonts w:ascii="Arial" w:hAnsi="Arial" w:cs="Arial"/>
                <w:i/>
                <w:color w:val="0070C0"/>
                <w:sz w:val="16"/>
                <w:szCs w:val="16"/>
              </w:rPr>
              <w:fldChar w:fldCharType="separate"/>
            </w:r>
            <w:r>
              <w:rPr>
                <w:rFonts w:ascii="Arial" w:hAnsi="Arial" w:cs="Arial"/>
                <w:i/>
                <w:noProof/>
                <w:color w:val="0070C0"/>
                <w:sz w:val="16"/>
                <w:szCs w:val="16"/>
              </w:rPr>
              <w:t>(19)</w:t>
            </w:r>
            <w:r w:rsidRPr="0072636E">
              <w:rPr>
                <w:rFonts w:ascii="Arial" w:hAnsi="Arial" w:cs="Arial"/>
                <w:i/>
                <w:color w:val="0070C0"/>
                <w:sz w:val="16"/>
                <w:szCs w:val="16"/>
              </w:rPr>
              <w:fldChar w:fldCharType="end"/>
            </w:r>
          </w:p>
        </w:tc>
      </w:tr>
      <w:tr w:rsidR="00C63ACE" w:rsidRPr="005A6797" w14:paraId="567E668A" w14:textId="77777777" w:rsidTr="0052052E">
        <w:trPr>
          <w:cnfStyle w:val="000000100000" w:firstRow="0" w:lastRow="0" w:firstColumn="0" w:lastColumn="0" w:oddVBand="0" w:evenVBand="0" w:oddHBand="1" w:evenHBand="0" w:firstRowFirstColumn="0" w:firstRowLastColumn="0" w:lastRowFirstColumn="0" w:lastRowLastColumn="0"/>
          <w:trHeight w:val="436"/>
        </w:trPr>
        <w:tc>
          <w:tcPr>
            <w:tcW w:w="3255" w:type="dxa"/>
            <w:tcBorders>
              <w:right w:val="nil"/>
            </w:tcBorders>
            <w:shd w:val="clear" w:color="auto" w:fill="auto"/>
          </w:tcPr>
          <w:p w14:paraId="601831FB"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Beliefs about capabilities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1B425ADE"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B050"/>
                <w:kern w:val="24"/>
                <w:sz w:val="16"/>
                <w:szCs w:val="16"/>
              </w:rPr>
              <w:t>Changes perceived to be achievable</w:t>
            </w:r>
          </w:p>
        </w:tc>
        <w:tc>
          <w:tcPr>
            <w:tcW w:w="8163" w:type="dxa"/>
            <w:tcBorders>
              <w:left w:val="nil"/>
            </w:tcBorders>
            <w:shd w:val="clear" w:color="auto" w:fill="auto"/>
          </w:tcPr>
          <w:p w14:paraId="5BA4A5ED" w14:textId="77777777" w:rsidR="00C63ACE" w:rsidRPr="009771E9"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For many participants, making small and sustainable changes to their diet by consuming less salt and fat was achievable, as long as it did not cause too much disruption to their daily routines</w:t>
            </w:r>
            <w:r w:rsidRPr="0072636E">
              <w:rPr>
                <w:rFonts w:ascii="Arial" w:hAnsi="Arial" w:cs="Arial"/>
                <w:i/>
                <w:color w:val="00B050"/>
                <w:kern w:val="24"/>
                <w:sz w:val="16"/>
                <w:szCs w:val="16"/>
              </w:rPr>
              <w:t xml:space="preserve">. </w:t>
            </w:r>
            <w:r w:rsidRPr="0072636E">
              <w:rPr>
                <w:rFonts w:ascii="Arial" w:hAnsi="Arial" w:cs="Arial"/>
                <w:i/>
                <w:color w:val="00B050"/>
                <w:sz w:val="16"/>
                <w:szCs w:val="16"/>
              </w:rPr>
              <w:fldChar w:fldCharType="begin"/>
            </w:r>
            <w:r>
              <w:rPr>
                <w:rFonts w:ascii="Arial" w:hAnsi="Arial" w:cs="Arial"/>
                <w:i/>
                <w:color w:val="00B050"/>
                <w:sz w:val="16"/>
                <w:szCs w:val="16"/>
              </w:rPr>
              <w:instrText xml:space="preserve"> ADDIN EN.CITE &lt;EndNote&gt;&lt;Cite&gt;&lt;Author&gt;McNaughton&lt;/Author&gt;&lt;Year&gt;2015&lt;/Year&gt;&lt;RecNum&gt;48&lt;/RecNum&gt;&lt;DisplayText&gt;(36)&lt;/DisplayText&gt;&lt;record&gt;&lt;rec-number&gt;48&lt;/rec-number&gt;&lt;foreign-keys&gt;&lt;key app="EN" db-id="f9edtwwtof5ftneevt1pr0voafdvfedx92e2" timestamp="1550219649"&gt;48&lt;/key&gt;&lt;/foreign-keys&gt;&lt;ref-type name="Journal Article"&gt;17&lt;/ref-type&gt;&lt;contributors&gt;&lt;authors&gt;&lt;author&gt;McNaughton, R. J.&lt;/author&gt;&lt;author&gt;Shucksmith, J.&lt;/author&gt;&lt;/authors&gt;&lt;/contributors&gt;&lt;auth-address&gt;McNaughton, R J. School of Health and Care, Health and Social Care Institute, Teesside University, Middlesbrough TS1 3BA, UK Fuse (UKCRC Centre for Translational Research in Public Health), Newcastle University, Newcastle-upon-Tyne NE2 4AX, UK.&amp;#xD;Shucksmith, J. School of Health and Care, Health and Social Care Institute, Teesside University, Middlesbrough TS1 3BA, UK Fuse (UKCRC Centre for Translational Research in Public Health), Newcastle University, Newcastle-upon-Tyne NE2 4AX, UK.&lt;/auth-address&gt;&lt;titles&gt;&lt;title&gt;Reasons for (non)compliance with intervention following identification of &amp;apos;high-risk&amp;apos; status in the NHS Health Check programme&lt;/title&gt;&lt;secondary-title&gt;Journal of Public Health&lt;/secondary-title&gt;&lt;/titles&gt;&lt;periodical&gt;&lt;full-title&gt;Journal of Public Health&lt;/full-title&gt;&lt;/periodical&gt;&lt;pages&gt;218-25&lt;/pages&gt;&lt;volume&gt;37&lt;/volume&gt;&lt;number&gt;2&lt;/number&gt;&lt;dates&gt;&lt;year&gt;2015&lt;/year&gt;&lt;/dates&gt;&lt;accession-num&gt;25237034&lt;/accession-num&gt;&lt;work-type&gt;Research Support, Non-U.S. Gov&amp;apos;t&lt;/work-type&gt;&lt;urls&gt;&lt;related-urls&gt;&lt;url&gt;http://ovidsp.ovid.com/ovidweb.cgi?T=JS&amp;amp;CSC=Y&amp;amp;NEWS=N&amp;amp;PAGE=fulltext&amp;amp;D=med8&amp;amp;AN=25237034&lt;/url&gt;&lt;url&gt;https://www.ncbi.nlm.nih.gov/pmc/articles/PMC4447131/pdf/fdu066.pdf&lt;/url&gt;&lt;/related-urls&gt;&lt;/urls&gt;&lt;remote-database-name&gt;MEDLINE&lt;/remote-database-name&gt;&lt;remote-database-provider&gt;Ovid Technologies&lt;/remote-database-provider&gt;&lt;/record&gt;&lt;/Cite&gt;&lt;/EndNote&gt;</w:instrText>
            </w:r>
            <w:r w:rsidRPr="0072636E">
              <w:rPr>
                <w:rFonts w:ascii="Arial" w:hAnsi="Arial" w:cs="Arial"/>
                <w:i/>
                <w:color w:val="00B050"/>
                <w:sz w:val="16"/>
                <w:szCs w:val="16"/>
              </w:rPr>
              <w:fldChar w:fldCharType="separate"/>
            </w:r>
            <w:r>
              <w:rPr>
                <w:rFonts w:ascii="Arial" w:hAnsi="Arial" w:cs="Arial"/>
                <w:i/>
                <w:noProof/>
                <w:color w:val="00B050"/>
                <w:sz w:val="16"/>
                <w:szCs w:val="16"/>
              </w:rPr>
              <w:t>(36)</w:t>
            </w:r>
            <w:r w:rsidRPr="0072636E">
              <w:rPr>
                <w:rFonts w:ascii="Arial" w:hAnsi="Arial" w:cs="Arial"/>
                <w:i/>
                <w:color w:val="00B050"/>
                <w:sz w:val="16"/>
                <w:szCs w:val="16"/>
              </w:rPr>
              <w:fldChar w:fldCharType="end"/>
            </w:r>
          </w:p>
        </w:tc>
      </w:tr>
      <w:tr w:rsidR="00C63ACE" w:rsidRPr="005A6797" w14:paraId="0D1E51DF" w14:textId="77777777" w:rsidTr="0052052E">
        <w:trPr>
          <w:trHeight w:val="193"/>
        </w:trPr>
        <w:tc>
          <w:tcPr>
            <w:tcW w:w="3255" w:type="dxa"/>
            <w:vMerge w:val="restart"/>
            <w:tcBorders>
              <w:right w:val="nil"/>
            </w:tcBorders>
            <w:shd w:val="clear" w:color="auto" w:fill="auto"/>
          </w:tcPr>
          <w:p w14:paraId="4A30961F"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sz w:val="16"/>
                <w:szCs w:val="16"/>
                <w:lang w:val="en-NZ"/>
              </w:rPr>
              <w:t>Beliefs about consequences (reflective motivation)</w:t>
            </w:r>
          </w:p>
        </w:tc>
        <w:tc>
          <w:tcPr>
            <w:tcW w:w="2616" w:type="dxa"/>
            <w:tcBorders>
              <w:left w:val="nil"/>
              <w:right w:val="nil"/>
            </w:tcBorders>
            <w:shd w:val="clear" w:color="auto" w:fill="auto"/>
          </w:tcPr>
          <w:p w14:paraId="44FC02DF"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Contradictory guidelines</w:t>
            </w:r>
          </w:p>
        </w:tc>
        <w:tc>
          <w:tcPr>
            <w:tcW w:w="8163" w:type="dxa"/>
            <w:tcBorders>
              <w:left w:val="nil"/>
            </w:tcBorders>
            <w:shd w:val="clear" w:color="auto" w:fill="auto"/>
          </w:tcPr>
          <w:p w14:paraId="1306F62A" w14:textId="77777777" w:rsidR="00C63ACE" w:rsidRPr="00853E4E" w:rsidRDefault="00C63ACE" w:rsidP="0052052E">
            <w:pPr>
              <w:snapToGrid w:val="0"/>
              <w:spacing w:before="120" w:after="120" w:line="252" w:lineRule="auto"/>
              <w:jc w:val="left"/>
              <w:rPr>
                <w:rFonts w:ascii="Arial" w:hAnsi="Arial" w:cs="Arial"/>
                <w:bCs/>
                <w:i/>
                <w:color w:val="FF0000"/>
                <w:kern w:val="24"/>
                <w:sz w:val="16"/>
                <w:szCs w:val="16"/>
              </w:rPr>
            </w:pPr>
            <w:r w:rsidRPr="00853E4E">
              <w:rPr>
                <w:rFonts w:ascii="Arial" w:hAnsi="Arial" w:cs="Arial"/>
                <w:bCs/>
                <w:i/>
                <w:color w:val="FF0000"/>
                <w:kern w:val="24"/>
                <w:sz w:val="16"/>
                <w:szCs w:val="16"/>
              </w:rPr>
              <w:t xml:space="preserve">People showed reluctance to make changes to their lifestyle, noting that any guidance they were given was likely to be subject to change…. stating that previous guidance about healthy eating suggested that the consumption of eggs should be restricted; then the reverse was promoted.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(28)</w:t>
            </w:r>
            <w:r w:rsidRPr="00853E4E">
              <w:rPr>
                <w:rFonts w:ascii="Arial" w:hAnsi="Arial" w:cs="Arial"/>
                <w:bCs/>
                <w:i/>
                <w:color w:val="FF0000"/>
                <w:kern w:val="24"/>
                <w:sz w:val="16"/>
                <w:szCs w:val="16"/>
              </w:rPr>
              <w:fldChar w:fldCharType="end"/>
            </w:r>
          </w:p>
        </w:tc>
      </w:tr>
      <w:tr w:rsidR="00C63ACE" w:rsidRPr="005A6797" w14:paraId="61D3ABC0" w14:textId="77777777" w:rsidTr="0052052E">
        <w:trPr>
          <w:cnfStyle w:val="000000100000" w:firstRow="0" w:lastRow="0" w:firstColumn="0" w:lastColumn="0" w:oddVBand="0" w:evenVBand="0" w:oddHBand="1" w:evenHBand="0" w:firstRowFirstColumn="0" w:firstRowLastColumn="0" w:lastRowFirstColumn="0" w:lastRowLastColumn="0"/>
          <w:trHeight w:val="792"/>
        </w:trPr>
        <w:tc>
          <w:tcPr>
            <w:tcW w:w="3255" w:type="dxa"/>
            <w:vMerge/>
            <w:tcBorders>
              <w:right w:val="nil"/>
            </w:tcBorders>
            <w:shd w:val="clear" w:color="auto" w:fill="auto"/>
          </w:tcPr>
          <w:p w14:paraId="5F379CB8" w14:textId="77777777" w:rsidR="00C63ACE" w:rsidRPr="009771E9" w:rsidRDefault="00C63ACE" w:rsidP="0052052E">
            <w:pPr>
              <w:spacing w:before="120" w:after="120" w:line="276" w:lineRule="auto"/>
              <w:jc w:val="left"/>
              <w:rPr>
                <w:rFonts w:ascii="Arial" w:hAnsi="Arial" w:cs="Arial"/>
                <w:sz w:val="16"/>
                <w:szCs w:val="16"/>
                <w:lang w:val="en-NZ"/>
              </w:rPr>
            </w:pPr>
          </w:p>
        </w:tc>
        <w:tc>
          <w:tcPr>
            <w:tcW w:w="2616" w:type="dxa"/>
            <w:tcBorders>
              <w:left w:val="nil"/>
              <w:right w:val="nil"/>
            </w:tcBorders>
            <w:shd w:val="clear" w:color="auto" w:fill="auto"/>
          </w:tcPr>
          <w:p w14:paraId="73842E56"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Perceptions of what constitutes healthy behaviour</w:t>
            </w:r>
          </w:p>
        </w:tc>
        <w:tc>
          <w:tcPr>
            <w:tcW w:w="8163" w:type="dxa"/>
            <w:tcBorders>
              <w:left w:val="nil"/>
            </w:tcBorders>
            <w:shd w:val="clear" w:color="auto" w:fill="auto"/>
          </w:tcPr>
          <w:p w14:paraId="30F27DDF" w14:textId="77777777" w:rsidR="00C63ACE" w:rsidRPr="00853E4E" w:rsidRDefault="00C63ACE" w:rsidP="0052052E">
            <w:pPr>
              <w:snapToGrid w:val="0"/>
              <w:spacing w:before="120" w:after="120" w:line="252" w:lineRule="auto"/>
              <w:jc w:val="left"/>
              <w:rPr>
                <w:rFonts w:ascii="Arial" w:hAnsi="Arial" w:cs="Arial"/>
                <w:bCs/>
                <w:i/>
                <w:color w:val="FF0000"/>
                <w:kern w:val="24"/>
                <w:sz w:val="16"/>
                <w:szCs w:val="16"/>
              </w:rPr>
            </w:pPr>
            <w:r w:rsidRPr="00853E4E">
              <w:rPr>
                <w:rFonts w:ascii="Arial" w:hAnsi="Arial" w:cs="Arial"/>
                <w:bCs/>
                <w:i/>
                <w:color w:val="FF0000"/>
                <w:kern w:val="24"/>
                <w:sz w:val="16"/>
                <w:szCs w:val="16"/>
              </w:rPr>
              <w:t>A number of people in this group reported drinking well in excess of the recommended units of alcohol but were unconvinced about how many units were considered harmful:</w:t>
            </w:r>
            <w:r w:rsidRPr="00853E4E">
              <w:rPr>
                <w:rFonts w:ascii="Arial" w:hAnsi="Arial" w:cs="Arial"/>
                <w:bCs/>
                <w:i/>
                <w:color w:val="FF0000"/>
                <w:kern w:val="24"/>
                <w:sz w:val="16"/>
                <w:szCs w:val="16"/>
              </w:rPr>
              <w:br/>
              <w:t>Pt E: If I go out on a Saturday night, I’ll have 10 pints.</w:t>
            </w:r>
            <w:r w:rsidRPr="00853E4E">
              <w:rPr>
                <w:rFonts w:ascii="Arial" w:hAnsi="Arial" w:cs="Arial"/>
                <w:bCs/>
                <w:i/>
                <w:color w:val="FF0000"/>
                <w:kern w:val="24"/>
                <w:sz w:val="16"/>
                <w:szCs w:val="16"/>
              </w:rPr>
              <w:br/>
            </w:r>
            <w:r w:rsidRPr="00853E4E">
              <w:rPr>
                <w:rFonts w:ascii="Arial" w:hAnsi="Arial" w:cs="Arial"/>
                <w:bCs/>
                <w:i/>
                <w:color w:val="FF0000"/>
                <w:kern w:val="24"/>
                <w:sz w:val="16"/>
                <w:szCs w:val="16"/>
              </w:rPr>
              <w:lastRenderedPageBreak/>
              <w:t>Int: Right, and do you see this as a risk to your health?</w:t>
            </w:r>
            <w:r w:rsidRPr="00853E4E">
              <w:rPr>
                <w:rFonts w:ascii="Arial" w:hAnsi="Arial" w:cs="Arial"/>
                <w:bCs/>
                <w:i/>
                <w:color w:val="FF0000"/>
                <w:kern w:val="24"/>
                <w:sz w:val="16"/>
                <w:szCs w:val="16"/>
              </w:rPr>
              <w:br/>
              <w:t xml:space="preserve">Pt E: No because I am only having 10 pints a fortnight – one must balance the other.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(28)</w:t>
            </w:r>
            <w:r w:rsidRPr="00853E4E">
              <w:rPr>
                <w:rFonts w:ascii="Arial" w:hAnsi="Arial" w:cs="Arial"/>
                <w:bCs/>
                <w:i/>
                <w:color w:val="FF0000"/>
                <w:kern w:val="24"/>
                <w:sz w:val="16"/>
                <w:szCs w:val="16"/>
              </w:rPr>
              <w:fldChar w:fldCharType="end"/>
            </w:r>
          </w:p>
        </w:tc>
      </w:tr>
      <w:tr w:rsidR="00C63ACE" w:rsidRPr="005A6797" w14:paraId="7AFCAE71" w14:textId="77777777" w:rsidTr="0052052E">
        <w:trPr>
          <w:trHeight w:val="1557"/>
        </w:trPr>
        <w:tc>
          <w:tcPr>
            <w:tcW w:w="3255" w:type="dxa"/>
            <w:tcBorders>
              <w:right w:val="nil"/>
            </w:tcBorders>
            <w:shd w:val="clear" w:color="auto" w:fill="auto"/>
          </w:tcPr>
          <w:p w14:paraId="1070D97E"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lastRenderedPageBreak/>
              <w:t xml:space="preserve">Intentions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54546A19"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70C0"/>
                <w:kern w:val="24"/>
                <w:sz w:val="16"/>
                <w:szCs w:val="16"/>
              </w:rPr>
              <w:t xml:space="preserve">NHS HCs as a 'wake-up call' </w:t>
            </w:r>
          </w:p>
        </w:tc>
        <w:tc>
          <w:tcPr>
            <w:tcW w:w="8163" w:type="dxa"/>
            <w:tcBorders>
              <w:left w:val="nil"/>
            </w:tcBorders>
            <w:shd w:val="clear" w:color="auto" w:fill="auto"/>
          </w:tcPr>
          <w:p w14:paraId="45772B2E" w14:textId="77777777" w:rsidR="00C63ACE" w:rsidRPr="009771E9" w:rsidRDefault="00C63ACE" w:rsidP="0052052E">
            <w:pPr>
              <w:snapToGrid w:val="0"/>
              <w:spacing w:before="120" w:after="120" w:line="252" w:lineRule="auto"/>
              <w:jc w:val="left"/>
              <w:rPr>
                <w:rFonts w:ascii="Arial" w:hAnsi="Arial" w:cs="Arial"/>
                <w:i/>
                <w:color w:val="00B050"/>
                <w:kern w:val="24"/>
                <w:sz w:val="16"/>
                <w:szCs w:val="16"/>
              </w:rPr>
            </w:pPr>
            <w:r w:rsidRPr="009771E9">
              <w:rPr>
                <w:rFonts w:ascii="Arial" w:hAnsi="Arial" w:cs="Arial"/>
                <w:i/>
                <w:color w:val="00B050"/>
                <w:kern w:val="24"/>
                <w:sz w:val="16"/>
                <w:szCs w:val="16"/>
              </w:rPr>
              <w:t>It’s really good. It makes you aware of what problems are around. What you can get and that. It is really good. It teaches you. it’s an eye-opener for people who would want to do things properly.</w:t>
            </w:r>
            <w:r>
              <w:rPr>
                <w:rFonts w:ascii="Arial" w:hAnsi="Arial" w:cs="Arial"/>
                <w:i/>
                <w:color w:val="00B050"/>
                <w:kern w:val="24"/>
                <w:sz w:val="16"/>
                <w:szCs w:val="16"/>
              </w:rPr>
              <w:t xml:space="preserve"> </w:t>
            </w:r>
            <w:r w:rsidRPr="0072636E">
              <w:rPr>
                <w:rFonts w:ascii="Arial" w:hAnsi="Arial" w:cs="Arial"/>
                <w:i/>
                <w:color w:val="00B050"/>
                <w:kern w:val="24"/>
                <w:sz w:val="16"/>
                <w:szCs w:val="16"/>
              </w:rPr>
              <w:fldChar w:fldCharType="begin">
                <w:fldData xml:space="preserve">PEVuZE5vdGU+PENpdGU+PEF1dGhvcj5Vc2hlci1TbWl0aDwvQXV0aG9yPjxZZWFyPjIwMTc8L1ll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PEVuZE5vdGU+PENpdGU+PEF1dGhvcj5Vc2hlci1TbWl0aDwvQXV0aG9yPjxZZWFyPjIwMTc8L1ll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72636E">
              <w:rPr>
                <w:rFonts w:ascii="Arial" w:hAnsi="Arial" w:cs="Arial"/>
                <w:i/>
                <w:color w:val="00B050"/>
                <w:kern w:val="24"/>
                <w:sz w:val="16"/>
                <w:szCs w:val="16"/>
              </w:rPr>
            </w:r>
            <w:r w:rsidRPr="0072636E">
              <w:rPr>
                <w:rFonts w:ascii="Arial" w:hAnsi="Arial" w:cs="Arial"/>
                <w:i/>
                <w:color w:val="00B050"/>
                <w:kern w:val="24"/>
                <w:sz w:val="16"/>
                <w:szCs w:val="16"/>
              </w:rPr>
              <w:fldChar w:fldCharType="separate"/>
            </w:r>
            <w:r>
              <w:rPr>
                <w:rFonts w:ascii="Arial" w:hAnsi="Arial" w:cs="Arial"/>
                <w:i/>
                <w:noProof/>
                <w:color w:val="00B050"/>
                <w:kern w:val="24"/>
                <w:sz w:val="16"/>
                <w:szCs w:val="16"/>
              </w:rPr>
              <w:t>(47)</w:t>
            </w:r>
            <w:r w:rsidRPr="0072636E">
              <w:rPr>
                <w:rFonts w:ascii="Arial" w:hAnsi="Arial" w:cs="Arial"/>
                <w:i/>
                <w:color w:val="00B050"/>
                <w:kern w:val="24"/>
                <w:sz w:val="16"/>
                <w:szCs w:val="16"/>
              </w:rPr>
              <w:fldChar w:fldCharType="end"/>
            </w:r>
          </w:p>
          <w:p w14:paraId="07C06559" w14:textId="77777777" w:rsidR="00C63ACE" w:rsidRPr="009771E9" w:rsidRDefault="00C63ACE" w:rsidP="0052052E">
            <w:pPr>
              <w:snapToGrid w:val="0"/>
              <w:spacing w:before="120" w:after="120" w:line="252" w:lineRule="auto"/>
              <w:jc w:val="left"/>
              <w:rPr>
                <w:rFonts w:ascii="Arial" w:hAnsi="Arial" w:cs="Arial"/>
                <w:i/>
                <w:color w:val="FF0000"/>
                <w:kern w:val="24"/>
                <w:sz w:val="16"/>
                <w:szCs w:val="16"/>
              </w:rPr>
            </w:pPr>
            <w:r w:rsidRPr="009771E9">
              <w:rPr>
                <w:rFonts w:ascii="Arial" w:hAnsi="Arial" w:cs="Arial"/>
                <w:i/>
                <w:color w:val="FF0000"/>
                <w:kern w:val="24"/>
                <w:sz w:val="16"/>
                <w:szCs w:val="16"/>
              </w:rPr>
              <w:t>Several people chose not to try and lower their cardiovascular risk because they believed death from a heart attack would be preferable to dying from a protracted illness or living into extreme old age: "I am not afraid of death. If I go, I go but I want it to be qu</w:t>
            </w:r>
            <w:r w:rsidRPr="00853E4E">
              <w:rPr>
                <w:rFonts w:ascii="Arial" w:hAnsi="Arial" w:cs="Arial"/>
                <w:bCs/>
                <w:i/>
                <w:color w:val="FF0000"/>
                <w:kern w:val="24"/>
                <w:sz w:val="16"/>
                <w:szCs w:val="16"/>
              </w:rPr>
              <w:t xml:space="preserve">ick."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(28)</w:t>
            </w:r>
            <w:r w:rsidRPr="00853E4E">
              <w:rPr>
                <w:rFonts w:ascii="Arial" w:hAnsi="Arial" w:cs="Arial"/>
                <w:bCs/>
                <w:i/>
                <w:color w:val="FF0000"/>
                <w:kern w:val="24"/>
                <w:sz w:val="16"/>
                <w:szCs w:val="16"/>
              </w:rPr>
              <w:fldChar w:fldCharType="end"/>
            </w:r>
          </w:p>
        </w:tc>
      </w:tr>
      <w:tr w:rsidR="00C63ACE" w:rsidRPr="005A6797" w14:paraId="09CDB4B4" w14:textId="77777777" w:rsidTr="0052052E">
        <w:trPr>
          <w:cnfStyle w:val="000000100000" w:firstRow="0" w:lastRow="0" w:firstColumn="0" w:lastColumn="0" w:oddVBand="0" w:evenVBand="0" w:oddHBand="1" w:evenHBand="0" w:firstRowFirstColumn="0" w:firstRowLastColumn="0" w:lastRowFirstColumn="0" w:lastRowLastColumn="0"/>
          <w:trHeight w:val="240"/>
        </w:trPr>
        <w:tc>
          <w:tcPr>
            <w:tcW w:w="3255" w:type="dxa"/>
            <w:tcBorders>
              <w:right w:val="nil"/>
            </w:tcBorders>
            <w:shd w:val="clear" w:color="auto" w:fill="auto"/>
          </w:tcPr>
          <w:p w14:paraId="4ABD1E36"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color w:val="000000"/>
                <w:kern w:val="24"/>
                <w:sz w:val="16"/>
                <w:szCs w:val="16"/>
              </w:rPr>
              <w:t xml:space="preserve">Optimism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543CCC84"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FF0000"/>
                <w:kern w:val="24"/>
                <w:sz w:val="16"/>
                <w:szCs w:val="16"/>
              </w:rPr>
              <w:t>Fatalistic views about disease</w:t>
            </w:r>
          </w:p>
        </w:tc>
        <w:tc>
          <w:tcPr>
            <w:tcW w:w="8163" w:type="dxa"/>
            <w:tcBorders>
              <w:left w:val="nil"/>
            </w:tcBorders>
            <w:shd w:val="clear" w:color="auto" w:fill="auto"/>
          </w:tcPr>
          <w:p w14:paraId="3B7EC80F" w14:textId="77777777" w:rsidR="00C63ACE" w:rsidRPr="00853E4E" w:rsidRDefault="00C63ACE" w:rsidP="0052052E">
            <w:pPr>
              <w:snapToGrid w:val="0"/>
              <w:spacing w:before="120" w:after="120" w:line="252" w:lineRule="auto"/>
              <w:jc w:val="left"/>
              <w:rPr>
                <w:rFonts w:ascii="Arial" w:hAnsi="Arial" w:cs="Arial"/>
                <w:bCs/>
                <w:i/>
                <w:color w:val="FF0000"/>
                <w:kern w:val="24"/>
                <w:sz w:val="16"/>
                <w:szCs w:val="16"/>
              </w:rPr>
            </w:pPr>
            <w:r w:rsidRPr="00853E4E">
              <w:rPr>
                <w:rFonts w:ascii="Arial" w:hAnsi="Arial" w:cs="Arial"/>
                <w:bCs/>
                <w:i/>
                <w:color w:val="FF0000"/>
                <w:kern w:val="24"/>
                <w:sz w:val="16"/>
                <w:szCs w:val="16"/>
              </w:rPr>
              <w:t xml:space="preserve">"You can be as careful as you want; you can eat as healthily as you want; you can do all the exercise you want and you could still get ill. It is like J's mother who lived to be 101, smoked like a trooper, never had a cigarette out of her hand and she died of something silly."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&lt;EndNote&gt;&lt;Cite&gt;&lt;Author&gt;Honey&lt;/Author&gt;&lt;Year&gt;2015&lt;/Year&gt;&lt;RecNum&gt;31&lt;/RecNum&gt;&lt;DisplayText&gt;(28)&lt;/DisplayText&gt;&lt;record&gt;&lt;rec-number&gt;31&lt;/rec-number&gt;&lt;foreign-keys&gt;&lt;key app="EN" db-id="f9edtwwtof5ftneevt1pr0voafdvfedx92e2" timestamp="1550219648"&gt;31&lt;/key&gt;&lt;/foreign-keys&gt;&lt;ref-type name="Journal Article"&gt;17&lt;/ref-type&gt;&lt;contributors&gt;&lt;authors&gt;&lt;author&gt;Honey, S.&lt;/author&gt;&lt;author&gt;Hill, K.&lt;/author&gt;&lt;author&gt;Murray, J.&lt;/author&gt;&lt;author&gt;Craigs, C.&lt;/author&gt;&lt;author&gt;House, A.&lt;/author&gt;&lt;/authors&gt;&lt;/contributors&gt;&lt;auth-address&gt;Honey, Stephanie. 1Research Fellow,Leeds Institute of Health Sciences,The University of Leeds,Leeds,UK.&amp;#xD;Hill, Kate. 2Senior Research Fellow,Leeds Institute of Health Sciences,The University of Leeds,Leeds,UK.&amp;#xD;Murray, Jenni. 2Senior Research Fellow,Leeds Institute of Health Sciences,The University of Leeds,Leeds,UK.&amp;#xD;Craigs, Cheryl. 3Research Officer,Leeds Institute of Health Sciences,The University of Leeds,Leeds,UK.&amp;#xD;House, Allan. 4Professor of Liaison Psychiatry,Leeds Institute of Health Sciences,The University of Leeds,Leeds,UK.&lt;/auth-address&gt;&lt;titles&gt;&lt;title&gt;Patients&amp;apos; responses to the communication of vascular risk in primary care: a qualitative study&lt;/title&gt;&lt;secondary-title&gt;Primary Health Care Research &amp;amp; Development&lt;/secondary-title&gt;&lt;/titles&gt;&lt;periodical&gt;&lt;full-title&gt;Primary Health Care Research &amp;amp; Development&lt;/full-title&gt;&lt;/periodical&gt;&lt;pages&gt;61-70&lt;/pages&gt;&lt;volume&gt;16&lt;/volume&gt;&lt;number&gt;1&lt;/number&gt;&lt;dates&gt;&lt;year&gt;2015&lt;/year&gt;&lt;/dates&gt;&lt;accession-num&gt;24451894&lt;/accession-num&gt;&lt;work-type&gt;Research Support, Non-U.S. Gov&amp;apos;t&lt;/work-type&gt;&lt;urls&gt;&lt;related-urls&gt;&lt;url&gt;http://ovidsp.ovid.com/ovidweb.cgi?T=JS&amp;amp;CSC=Y&amp;amp;NEWS=N&amp;amp;PAGE=fulltext&amp;amp;D=med8&amp;amp;AN=24451894&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(28)</w:t>
            </w:r>
            <w:r w:rsidRPr="00853E4E">
              <w:rPr>
                <w:rFonts w:ascii="Arial" w:hAnsi="Arial" w:cs="Arial"/>
                <w:bCs/>
                <w:i/>
                <w:color w:val="FF0000"/>
                <w:kern w:val="24"/>
                <w:sz w:val="16"/>
                <w:szCs w:val="16"/>
              </w:rPr>
              <w:fldChar w:fldCharType="end"/>
            </w:r>
          </w:p>
        </w:tc>
      </w:tr>
      <w:tr w:rsidR="00C63ACE" w:rsidRPr="005A6797" w14:paraId="641D2FFB" w14:textId="77777777" w:rsidTr="0052052E">
        <w:trPr>
          <w:trHeight w:val="155"/>
        </w:trPr>
        <w:tc>
          <w:tcPr>
            <w:tcW w:w="14034" w:type="dxa"/>
            <w:gridSpan w:val="3"/>
            <w:shd w:val="clear" w:color="auto" w:fill="D9E2F3" w:themeFill="accent1" w:themeFillTint="33"/>
          </w:tcPr>
          <w:p w14:paraId="339A1B48" w14:textId="77777777" w:rsidR="00C63ACE" w:rsidRPr="009771E9" w:rsidRDefault="00C63ACE" w:rsidP="0052052E">
            <w:pPr>
              <w:spacing w:before="120" w:after="120" w:line="276" w:lineRule="auto"/>
              <w:jc w:val="left"/>
              <w:rPr>
                <w:rFonts w:ascii="Arial" w:hAnsi="Arial" w:cs="Arial"/>
                <w:b/>
                <w:sz w:val="16"/>
                <w:szCs w:val="16"/>
                <w:lang w:val="en-NZ"/>
              </w:rPr>
            </w:pPr>
          </w:p>
          <w:p w14:paraId="3A157458"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b/>
                <w:sz w:val="16"/>
                <w:szCs w:val="16"/>
                <w:lang w:val="en-NZ"/>
              </w:rPr>
              <w:t>Attending repeat NHS HC (patient)</w:t>
            </w:r>
          </w:p>
        </w:tc>
      </w:tr>
      <w:tr w:rsidR="00C63ACE" w:rsidRPr="005A6797" w14:paraId="632D6365" w14:textId="77777777" w:rsidTr="0052052E">
        <w:trPr>
          <w:cnfStyle w:val="000000100000" w:firstRow="0" w:lastRow="0" w:firstColumn="0" w:lastColumn="0" w:oddVBand="0" w:evenVBand="0" w:oddHBand="1" w:evenHBand="0" w:firstRowFirstColumn="0" w:firstRowLastColumn="0" w:lastRowFirstColumn="0" w:lastRowLastColumn="0"/>
          <w:trHeight w:val="26"/>
        </w:trPr>
        <w:tc>
          <w:tcPr>
            <w:tcW w:w="3255" w:type="dxa"/>
            <w:tcBorders>
              <w:right w:val="nil"/>
            </w:tcBorders>
            <w:shd w:val="clear" w:color="auto" w:fill="auto"/>
          </w:tcPr>
          <w:p w14:paraId="4EC68C1F"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bCs/>
                <w:color w:val="000000" w:themeColor="text1"/>
                <w:kern w:val="24"/>
                <w:sz w:val="16"/>
                <w:szCs w:val="16"/>
                <w:lang w:val="en-US"/>
              </w:rPr>
              <w:t xml:space="preserve">Intention </w:t>
            </w:r>
            <w:r w:rsidRPr="009771E9">
              <w:rPr>
                <w:rFonts w:ascii="Arial" w:hAnsi="Arial" w:cs="Arial"/>
                <w:color w:val="000000" w:themeColor="text1"/>
                <w:kern w:val="24"/>
                <w:sz w:val="16"/>
                <w:szCs w:val="16"/>
                <w:lang w:val="en-US"/>
              </w:rPr>
              <w:t>(reflective motivation)</w:t>
            </w:r>
          </w:p>
        </w:tc>
        <w:tc>
          <w:tcPr>
            <w:tcW w:w="2616" w:type="dxa"/>
            <w:tcBorders>
              <w:left w:val="nil"/>
              <w:right w:val="nil"/>
            </w:tcBorders>
            <w:shd w:val="clear" w:color="auto" w:fill="auto"/>
          </w:tcPr>
          <w:p w14:paraId="31FA563B"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color w:val="00B050"/>
                <w:kern w:val="24"/>
                <w:sz w:val="16"/>
                <w:szCs w:val="16"/>
              </w:rPr>
              <w:t>Likelihood of attending future NHS HC</w:t>
            </w:r>
          </w:p>
        </w:tc>
        <w:tc>
          <w:tcPr>
            <w:tcW w:w="8163" w:type="dxa"/>
            <w:tcBorders>
              <w:left w:val="nil"/>
            </w:tcBorders>
            <w:shd w:val="clear" w:color="auto" w:fill="auto"/>
          </w:tcPr>
          <w:p w14:paraId="6BCAEE85"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i/>
                <w:color w:val="00B050"/>
                <w:kern w:val="24"/>
                <w:sz w:val="16"/>
                <w:szCs w:val="16"/>
              </w:rPr>
              <w:t xml:space="preserve">”I think, well, I eat healthily, you know, and I believe in a healthy lifestyle. I know there are other internal things which could go wrong. But yeah, I would definitely have it again if it came up next week, you know, I didn’t realise it was all about different things.” </w:t>
            </w:r>
            <w:r>
              <w:rPr>
                <w:rFonts w:ascii="Arial" w:hAnsi="Arial" w:cs="Arial"/>
                <w:i/>
                <w:color w:val="00B050"/>
                <w:kern w:val="24"/>
                <w:sz w:val="16"/>
                <w:szCs w:val="16"/>
              </w:rPr>
              <w:t xml:space="preserve"> </w:t>
            </w:r>
            <w:r w:rsidRPr="0072636E">
              <w:rPr>
                <w:rFonts w:ascii="Arial" w:hAnsi="Arial" w:cs="Arial"/>
                <w:i/>
                <w:color w:val="00B050"/>
                <w:kern w:val="24"/>
                <w:sz w:val="16"/>
                <w:szCs w:val="16"/>
              </w:rPr>
              <w:fldChar w:fldCharType="begin">
                <w:fldData xml:space="preserve">PEVuZE5vdGU+PENpdGU+PEF1dGhvcj5KZW5raW5zb248L0F1dGhvcj48WWVhcj4yMDE1PC9ZZWFy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</w:fldData>
              </w:fldChar>
            </w:r>
            <w:r>
              <w:rPr>
                <w:rFonts w:ascii="Arial" w:hAnsi="Arial" w:cs="Arial"/>
                <w:i/>
                <w:color w:val="00B050"/>
                <w:kern w:val="24"/>
                <w:sz w:val="16"/>
                <w:szCs w:val="16"/>
              </w:rPr>
              <w:instrText xml:space="preserve"> ADDIN EN.CITE </w:instrText>
            </w:r>
            <w:r>
              <w:rPr>
                <w:rFonts w:ascii="Arial" w:hAnsi="Arial" w:cs="Arial"/>
                <w:i/>
                <w:color w:val="00B050"/>
                <w:kern w:val="24"/>
                <w:sz w:val="16"/>
                <w:szCs w:val="16"/>
              </w:rPr>
              <w:fldChar w:fldCharType="begin">
                <w:fldData xml:space="preserve">PEVuZE5vdGU+PENpdGU+PEF1dGhvcj5KZW5raW5zb248L0F1dGhvcj48WWVhcj4yMDE1PC9ZZWFy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</w:fldData>
              </w:fldChar>
            </w:r>
            <w:r>
              <w:rPr>
                <w:rFonts w:ascii="Arial" w:hAnsi="Arial" w:cs="Arial"/>
                <w:i/>
                <w:color w:val="00B050"/>
                <w:kern w:val="24"/>
                <w:sz w:val="16"/>
                <w:szCs w:val="16"/>
              </w:rPr>
              <w:instrText xml:space="preserve"> ADDIN EN.CITE.DATA </w:instrText>
            </w:r>
            <w:r>
              <w:rPr>
                <w:rFonts w:ascii="Arial" w:hAnsi="Arial" w:cs="Arial"/>
                <w:i/>
                <w:color w:val="00B050"/>
                <w:kern w:val="24"/>
                <w:sz w:val="16"/>
                <w:szCs w:val="16"/>
              </w:rPr>
            </w:r>
            <w:r>
              <w:rPr>
                <w:rFonts w:ascii="Arial" w:hAnsi="Arial" w:cs="Arial"/>
                <w:i/>
                <w:color w:val="00B050"/>
                <w:kern w:val="24"/>
                <w:sz w:val="16"/>
                <w:szCs w:val="16"/>
              </w:rPr>
              <w:fldChar w:fldCharType="end"/>
            </w:r>
            <w:r w:rsidRPr="0072636E">
              <w:rPr>
                <w:rFonts w:ascii="Arial" w:hAnsi="Arial" w:cs="Arial"/>
                <w:i/>
                <w:color w:val="00B050"/>
                <w:kern w:val="24"/>
                <w:sz w:val="16"/>
                <w:szCs w:val="16"/>
              </w:rPr>
            </w:r>
            <w:r w:rsidRPr="0072636E">
              <w:rPr>
                <w:rFonts w:ascii="Arial" w:hAnsi="Arial" w:cs="Arial"/>
                <w:i/>
                <w:color w:val="00B050"/>
                <w:kern w:val="24"/>
                <w:sz w:val="16"/>
                <w:szCs w:val="16"/>
              </w:rPr>
              <w:fldChar w:fldCharType="separate"/>
            </w:r>
            <w:r>
              <w:rPr>
                <w:rFonts w:ascii="Arial" w:hAnsi="Arial" w:cs="Arial"/>
                <w:i/>
                <w:noProof/>
                <w:color w:val="00B050"/>
                <w:kern w:val="24"/>
                <w:sz w:val="16"/>
                <w:szCs w:val="16"/>
              </w:rPr>
              <w:t>(31)</w:t>
            </w:r>
            <w:r w:rsidRPr="0072636E">
              <w:rPr>
                <w:rFonts w:ascii="Arial" w:hAnsi="Arial" w:cs="Arial"/>
                <w:i/>
                <w:color w:val="00B050"/>
                <w:kern w:val="24"/>
                <w:sz w:val="16"/>
                <w:szCs w:val="16"/>
              </w:rPr>
              <w:fldChar w:fldCharType="end"/>
            </w:r>
          </w:p>
        </w:tc>
      </w:tr>
      <w:tr w:rsidR="00C63ACE" w:rsidRPr="005A6797" w14:paraId="20BE6729" w14:textId="77777777" w:rsidTr="0052052E">
        <w:trPr>
          <w:trHeight w:val="147"/>
        </w:trPr>
        <w:tc>
          <w:tcPr>
            <w:tcW w:w="14034" w:type="dxa"/>
            <w:gridSpan w:val="3"/>
            <w:shd w:val="clear" w:color="auto" w:fill="D9E2F3" w:themeFill="accent1" w:themeFillTint="33"/>
          </w:tcPr>
          <w:p w14:paraId="5F4AF5ED" w14:textId="77777777" w:rsidR="00C63ACE" w:rsidRPr="009771E9" w:rsidRDefault="00C63ACE" w:rsidP="0052052E">
            <w:pPr>
              <w:spacing w:before="120" w:after="120" w:line="276" w:lineRule="auto"/>
              <w:jc w:val="left"/>
              <w:rPr>
                <w:rFonts w:ascii="Arial" w:hAnsi="Arial" w:cs="Arial"/>
                <w:b/>
                <w:sz w:val="16"/>
                <w:szCs w:val="16"/>
                <w:lang w:val="en-NZ"/>
              </w:rPr>
            </w:pPr>
          </w:p>
          <w:p w14:paraId="59C975F0" w14:textId="77777777" w:rsidR="00C63ACE" w:rsidRPr="009771E9" w:rsidRDefault="00C63ACE" w:rsidP="0052052E">
            <w:pPr>
              <w:snapToGrid w:val="0"/>
              <w:spacing w:before="120" w:after="120" w:line="252" w:lineRule="auto"/>
              <w:jc w:val="left"/>
              <w:rPr>
                <w:rFonts w:ascii="Arial" w:hAnsi="Arial" w:cs="Arial"/>
                <w:b/>
                <w:i/>
                <w:sz w:val="16"/>
                <w:szCs w:val="16"/>
                <w:lang w:val="en-NZ"/>
              </w:rPr>
            </w:pPr>
            <w:r w:rsidRPr="009771E9">
              <w:rPr>
                <w:rFonts w:ascii="Arial" w:hAnsi="Arial" w:cs="Arial"/>
                <w:b/>
                <w:sz w:val="16"/>
                <w:szCs w:val="16"/>
                <w:lang w:val="en-NZ"/>
              </w:rPr>
              <w:t>Recording NHS HC data (HCP)</w:t>
            </w:r>
          </w:p>
        </w:tc>
      </w:tr>
      <w:tr w:rsidR="00C63ACE" w:rsidRPr="005A6797" w14:paraId="28435579" w14:textId="77777777" w:rsidTr="0052052E">
        <w:trPr>
          <w:cnfStyle w:val="000000100000" w:firstRow="0" w:lastRow="0" w:firstColumn="0" w:lastColumn="0" w:oddVBand="0" w:evenVBand="0" w:oddHBand="1" w:evenHBand="0" w:firstRowFirstColumn="0" w:firstRowLastColumn="0" w:lastRowFirstColumn="0" w:lastRowLastColumn="0"/>
          <w:trHeight w:val="520"/>
        </w:trPr>
        <w:tc>
          <w:tcPr>
            <w:tcW w:w="3255" w:type="dxa"/>
            <w:tcBorders>
              <w:right w:val="nil"/>
            </w:tcBorders>
            <w:shd w:val="clear" w:color="auto" w:fill="auto"/>
          </w:tcPr>
          <w:p w14:paraId="438843BF" w14:textId="77777777" w:rsidR="00C63ACE" w:rsidRPr="009771E9" w:rsidRDefault="00C63ACE" w:rsidP="0052052E">
            <w:pPr>
              <w:spacing w:before="120" w:after="120" w:line="276" w:lineRule="auto"/>
              <w:jc w:val="left"/>
              <w:rPr>
                <w:rFonts w:ascii="Arial" w:hAnsi="Arial" w:cs="Arial"/>
                <w:sz w:val="16"/>
                <w:szCs w:val="16"/>
                <w:lang w:val="en-NZ"/>
              </w:rPr>
            </w:pPr>
            <w:r w:rsidRPr="009771E9">
              <w:rPr>
                <w:rFonts w:ascii="Arial" w:hAnsi="Arial" w:cs="Arial"/>
                <w:bCs/>
                <w:color w:val="000000" w:themeColor="text1"/>
                <w:kern w:val="24"/>
                <w:sz w:val="16"/>
                <w:szCs w:val="16"/>
                <w:lang w:val="en-US"/>
              </w:rPr>
              <w:t>Environmental context and resources (physical opportunity)</w:t>
            </w:r>
          </w:p>
        </w:tc>
        <w:tc>
          <w:tcPr>
            <w:tcW w:w="2616" w:type="dxa"/>
            <w:tcBorders>
              <w:left w:val="nil"/>
              <w:right w:val="nil"/>
            </w:tcBorders>
            <w:shd w:val="clear" w:color="auto" w:fill="auto"/>
          </w:tcPr>
          <w:p w14:paraId="5D9BC489" w14:textId="77777777" w:rsidR="00C63ACE" w:rsidRPr="009771E9" w:rsidRDefault="00C63ACE" w:rsidP="0052052E">
            <w:pPr>
              <w:spacing w:before="120" w:after="120" w:line="276" w:lineRule="auto"/>
              <w:ind w:left="140" w:right="197"/>
              <w:jc w:val="left"/>
              <w:rPr>
                <w:rFonts w:ascii="Arial" w:hAnsi="Arial" w:cs="Arial"/>
                <w:sz w:val="16"/>
                <w:szCs w:val="16"/>
                <w:lang w:val="en-NZ"/>
              </w:rPr>
            </w:pPr>
            <w:r w:rsidRPr="009771E9">
              <w:rPr>
                <w:rFonts w:ascii="Arial" w:hAnsi="Arial" w:cs="Arial"/>
                <w:bCs/>
                <w:color w:val="FF0000"/>
                <w:kern w:val="24"/>
                <w:sz w:val="16"/>
                <w:szCs w:val="16"/>
              </w:rPr>
              <w:t>Accuracy of recording is compromised by multiple methods of invitation</w:t>
            </w:r>
          </w:p>
        </w:tc>
        <w:tc>
          <w:tcPr>
            <w:tcW w:w="8163" w:type="dxa"/>
            <w:tcBorders>
              <w:left w:val="nil"/>
            </w:tcBorders>
            <w:shd w:val="clear" w:color="auto" w:fill="auto"/>
          </w:tcPr>
          <w:p w14:paraId="3BCFA6EB" w14:textId="77777777" w:rsidR="00C63ACE" w:rsidRPr="009771E9" w:rsidRDefault="00C63ACE" w:rsidP="0052052E">
            <w:pPr>
              <w:snapToGrid w:val="0"/>
              <w:spacing w:before="120" w:after="120" w:line="252" w:lineRule="auto"/>
              <w:jc w:val="left"/>
              <w:rPr>
                <w:rFonts w:ascii="Arial" w:hAnsi="Arial" w:cs="Arial"/>
                <w:i/>
                <w:sz w:val="16"/>
                <w:szCs w:val="16"/>
                <w:lang w:val="en-NZ"/>
              </w:rPr>
            </w:pPr>
            <w:r w:rsidRPr="009771E9">
              <w:rPr>
                <w:rFonts w:ascii="Arial" w:hAnsi="Arial" w:cs="Arial"/>
                <w:bCs/>
                <w:i/>
                <w:color w:val="FF0000"/>
                <w:kern w:val="24"/>
                <w:sz w:val="16"/>
                <w:szCs w:val="16"/>
              </w:rPr>
              <w:t>The combination of opportunistic NHS HCs and the delay in time between patients receiving an invitation and attending an NHS HC also caused problems for participants when reporting quarterly data: ‘a health check received doesn’t correlate for a health check offered.</w:t>
            </w:r>
            <w:r>
              <w:rPr>
                <w:rFonts w:ascii="Arial" w:hAnsi="Arial" w:cs="Arial"/>
                <w:bCs/>
                <w:i/>
                <w:color w:val="FF0000"/>
                <w:kern w:val="24"/>
                <w:sz w:val="16"/>
                <w:szCs w:val="16"/>
              </w:rPr>
              <w:t xml:space="preserve"> </w:t>
            </w:r>
            <w:r w:rsidRPr="00853E4E">
              <w:rPr>
                <w:rFonts w:ascii="Arial" w:hAnsi="Arial" w:cs="Arial"/>
                <w:bCs/>
                <w:i/>
                <w:color w:val="FF0000"/>
                <w:kern w:val="24"/>
                <w:sz w:val="16"/>
                <w:szCs w:val="16"/>
              </w:rPr>
              <w:fldChar w:fldCharType="begin"/>
            </w:r>
            <w:r>
              <w:rPr>
                <w:rFonts w:ascii="Arial" w:hAnsi="Arial" w:cs="Arial"/>
                <w:bCs/>
                <w:i/>
                <w:color w:val="FF0000"/>
                <w:kern w:val="24"/>
                <w:sz w:val="16"/>
                <w:szCs w:val="16"/>
              </w:rPr>
              <w:instrText xml:space="preserve"> ADDIN EN.CITE &lt;EndNote&gt;&lt;Cite&gt;&lt;Author&gt;Riley&lt;/Author&gt;&lt;Year&gt;2018&lt;/Year&gt;&lt;RecNum&gt;57&lt;/RecNum&gt;&lt;DisplayText&gt;(39)&lt;/DisplayText&gt;&lt;record&gt;&lt;rec-number&gt;57&lt;/rec-number&gt;&lt;foreign-keys&gt;&lt;key app="EN" db-id="f9edtwwtof5ftneevt1pr0voafdvfedx92e2" timestamp="1550219649"&gt;57&lt;/key&gt;&lt;/foreign-keys&gt;&lt;ref-type name="Journal Article"&gt;17&lt;/ref-type&gt;&lt;contributors&gt;&lt;authors&gt;&lt;author&gt;Riley, V. A.&lt;/author&gt;&lt;author&gt;Gidlow, C.&lt;/author&gt;&lt;author&gt;Ellis, N. J.&lt;/author&gt;&lt;/authors&gt;&lt;/contributors&gt;&lt;auth-address&gt;Riley, Victoria A. 1Research Associate and Part-Time PhD Student,School of Life Sciences and Education,Staffordshire University,Stoke-on-Trent,Staffordshire,UK.&amp;#xD;Gidlow, Christopher. 2Associate Professor,School of Life Sciences and Education,Staffordshire University,Stoke-on-Trent,Staffordshire,UK.&amp;#xD;Ellis, Naomi J. 3Senior Lecturer,School of Life Sciences and Education, Staffordshire University,Stoke-on-Trent,Staffordshire,UK.&lt;/auth-address&gt;&lt;titles&gt;&lt;title&gt;Uptake of NHS health check: issues in monitoring&lt;/title&gt;&lt;secondary-title&gt;Primary Health Care Research &amp;amp; Development&lt;/secondary-title&gt;&lt;/titles&gt;&lt;periodical&gt;&lt;full-title&gt;Primary Health Care Research &amp;amp; Development&lt;/full-title&gt;&lt;/periodical&gt;&lt;pages&gt;1-4&lt;/pages&gt;&lt;dates&gt;&lt;year&gt;2018&lt;/year&gt;&lt;/dates&gt;&lt;accession-num&gt;30124177&lt;/accession-num&gt;&lt;urls&gt;&lt;related-urls&gt;&lt;url&gt;http://ovidsp.ovid.com/ovidweb.cgi?T=JS&amp;amp;CSC=Y&amp;amp;NEWS=N&amp;amp;PAGE=fulltext&amp;amp;D=medp&amp;amp;AN=30124177&lt;/url&gt;&lt;/related-urls&gt;&lt;/urls&gt;&lt;remote-database-name&gt;MEDLINE&lt;/remote-database-name&gt;&lt;remote-database-provider&gt;Ovid Technologies&lt;/remote-database-provider&gt;&lt;/record&gt;&lt;/Cite&gt;&lt;/EndNote&gt;</w:instrText>
            </w:r>
            <w:r w:rsidRPr="00853E4E">
              <w:rPr>
                <w:rFonts w:ascii="Arial" w:hAnsi="Arial" w:cs="Arial"/>
                <w:bCs/>
                <w:i/>
                <w:color w:val="FF0000"/>
                <w:kern w:val="24"/>
                <w:sz w:val="16"/>
                <w:szCs w:val="16"/>
              </w:rPr>
              <w:fldChar w:fldCharType="separate"/>
            </w:r>
            <w:r>
              <w:rPr>
                <w:rFonts w:ascii="Arial" w:hAnsi="Arial" w:cs="Arial"/>
                <w:bCs/>
                <w:i/>
                <w:noProof/>
                <w:color w:val="FF0000"/>
                <w:kern w:val="24"/>
                <w:sz w:val="16"/>
                <w:szCs w:val="16"/>
              </w:rPr>
              <w:t>(39)</w:t>
            </w:r>
            <w:r w:rsidRPr="00853E4E">
              <w:rPr>
                <w:rFonts w:ascii="Arial" w:hAnsi="Arial" w:cs="Arial"/>
                <w:bCs/>
                <w:i/>
                <w:color w:val="FF0000"/>
                <w:kern w:val="24"/>
                <w:sz w:val="16"/>
                <w:szCs w:val="16"/>
              </w:rPr>
              <w:fldChar w:fldCharType="end"/>
            </w:r>
          </w:p>
        </w:tc>
      </w:tr>
    </w:tbl>
    <w:p w14:paraId="3A32BD1A" w14:textId="77777777" w:rsidR="00C63ACE" w:rsidRDefault="00C63ACE" w:rsidP="00C63ACE">
      <w:pPr>
        <w:spacing w:before="120" w:after="120" w:line="480" w:lineRule="auto"/>
        <w:rPr>
          <w:rFonts w:ascii="Arial" w:hAnsi="Arial" w:cs="Arial"/>
          <w:b/>
          <w:sz w:val="16"/>
          <w:szCs w:val="16"/>
        </w:rPr>
      </w:pPr>
    </w:p>
    <w:p w14:paraId="478D667C" w14:textId="77777777" w:rsidR="00C63ACE" w:rsidRPr="009F54DA" w:rsidRDefault="00C63ACE" w:rsidP="00C63ACE">
      <w:pPr>
        <w:spacing w:before="120" w:after="120" w:line="480" w:lineRule="auto"/>
        <w:rPr>
          <w:rFonts w:ascii="Arial" w:hAnsi="Arial" w:cs="Arial"/>
          <w:sz w:val="20"/>
          <w:szCs w:val="20"/>
        </w:rPr>
        <w:sectPr w:rsidR="00C63ACE" w:rsidRPr="009F54DA" w:rsidSect="00C864BD">
          <w:pgSz w:w="16817" w:h="11901" w:orient="landscape"/>
          <w:pgMar w:top="1440" w:right="1440" w:bottom="1440" w:left="1440" w:header="709" w:footer="709" w:gutter="0"/>
          <w:cols w:space="708"/>
          <w:docGrid w:linePitch="360"/>
        </w:sectPr>
      </w:pPr>
    </w:p>
    <w:p w14:paraId="16A18D4C" w14:textId="77777777" w:rsidR="00C63ACE" w:rsidRPr="00C864BD" w:rsidRDefault="00C63ACE" w:rsidP="00C63ACE">
      <w:pPr>
        <w:spacing w:before="120" w:after="120" w:line="480" w:lineRule="auto"/>
        <w:rPr>
          <w:rFonts w:ascii="Arial" w:hAnsi="Arial" w:cs="Arial"/>
          <w:b/>
          <w:sz w:val="16"/>
          <w:szCs w:val="16"/>
        </w:rPr>
      </w:pPr>
      <w:r w:rsidRPr="00C864BD">
        <w:rPr>
          <w:rFonts w:ascii="Arial" w:hAnsi="Arial" w:cs="Arial"/>
          <w:b/>
          <w:sz w:val="16"/>
          <w:szCs w:val="16"/>
        </w:rPr>
        <w:lastRenderedPageBreak/>
        <w:t>Table 6. Suggested intervention functions and BCTs to target key themes influencing NHS H</w:t>
      </w:r>
      <w:r>
        <w:rPr>
          <w:rFonts w:ascii="Arial" w:hAnsi="Arial" w:cs="Arial"/>
          <w:b/>
          <w:sz w:val="16"/>
          <w:szCs w:val="16"/>
        </w:rPr>
        <w:t xml:space="preserve">ealth </w:t>
      </w:r>
      <w:r w:rsidRPr="00C864BD">
        <w:rPr>
          <w:rFonts w:ascii="Arial" w:hAnsi="Arial" w:cs="Arial"/>
          <w:b/>
          <w:sz w:val="16"/>
          <w:szCs w:val="16"/>
        </w:rPr>
        <w:t>C</w:t>
      </w:r>
      <w:r>
        <w:rPr>
          <w:rFonts w:ascii="Arial" w:hAnsi="Arial" w:cs="Arial"/>
          <w:b/>
          <w:sz w:val="16"/>
          <w:szCs w:val="16"/>
        </w:rPr>
        <w:t>heck</w:t>
      </w:r>
      <w:r w:rsidRPr="00C864BD">
        <w:rPr>
          <w:rFonts w:ascii="Arial" w:hAnsi="Arial" w:cs="Arial"/>
          <w:b/>
          <w:sz w:val="16"/>
          <w:szCs w:val="16"/>
        </w:rPr>
        <w:t xml:space="preserve"> behaviours </w:t>
      </w:r>
    </w:p>
    <w:tbl>
      <w:tblPr>
        <w:tblStyle w:val="GridTable2-Accent11"/>
        <w:tblW w:w="14034" w:type="dxa"/>
        <w:tblBorders>
          <w:top w:val="none" w:sz="0" w:space="0" w:color="auto"/>
          <w:bottom w:val="none" w:sz="0" w:space="0" w:color="auto"/>
          <w:insideH w:val="none" w:sz="0" w:space="0" w:color="auto"/>
          <w:insideV w:val="none" w:sz="0" w:space="0" w:color="auto"/>
        </w:tblBorders>
        <w:tblLook w:val="0420" w:firstRow="1" w:lastRow="0" w:firstColumn="0" w:lastColumn="0" w:noHBand="0" w:noVBand="1"/>
      </w:tblPr>
      <w:tblGrid>
        <w:gridCol w:w="1759"/>
        <w:gridCol w:w="1826"/>
        <w:gridCol w:w="66"/>
        <w:gridCol w:w="1398"/>
        <w:gridCol w:w="4210"/>
        <w:gridCol w:w="4007"/>
        <w:gridCol w:w="768"/>
      </w:tblGrid>
      <w:tr w:rsidR="00C63ACE" w:rsidRPr="00C864BD" w14:paraId="0DA26731" w14:textId="77777777" w:rsidTr="0052052E">
        <w:trPr>
          <w:cnfStyle w:val="100000000000" w:firstRow="1" w:lastRow="0" w:firstColumn="0" w:lastColumn="0" w:oddVBand="0" w:evenVBand="0" w:oddHBand="0" w:evenHBand="0" w:firstRowFirstColumn="0" w:firstRowLastColumn="0" w:lastRowFirstColumn="0" w:lastRowLastColumn="0"/>
          <w:trHeight w:val="15"/>
          <w:tblHeader/>
        </w:trPr>
        <w:tc>
          <w:tcPr>
            <w:tcW w:w="1759" w:type="dxa"/>
            <w:shd w:val="clear" w:color="auto" w:fill="B4C6E7" w:themeFill="accent1" w:themeFillTint="66"/>
            <w:hideMark/>
          </w:tcPr>
          <w:p w14:paraId="4EB665D0" w14:textId="77777777" w:rsidR="00C63ACE" w:rsidRDefault="00C63ACE" w:rsidP="0052052E">
            <w:pPr>
              <w:spacing w:before="120" w:after="120" w:line="276" w:lineRule="auto"/>
              <w:jc w:val="left"/>
              <w:rPr>
                <w:rFonts w:ascii="Arial" w:hAnsi="Arial" w:cs="Arial"/>
                <w:b w:val="0"/>
                <w:bCs w:val="0"/>
                <w:sz w:val="16"/>
                <w:szCs w:val="16"/>
                <w:lang w:val="en-US"/>
              </w:rPr>
            </w:pPr>
            <w:r w:rsidRPr="00C864BD">
              <w:rPr>
                <w:rFonts w:ascii="Arial" w:hAnsi="Arial" w:cs="Arial"/>
                <w:sz w:val="16"/>
                <w:szCs w:val="16"/>
                <w:lang w:val="en-US"/>
              </w:rPr>
              <w:t xml:space="preserve">TDF domain </w:t>
            </w:r>
          </w:p>
          <w:p w14:paraId="466CC829" w14:textId="77777777" w:rsidR="00C63ACE" w:rsidRPr="00C864BD" w:rsidRDefault="00C63ACE" w:rsidP="0052052E">
            <w:pPr>
              <w:spacing w:before="120" w:after="120" w:line="276" w:lineRule="auto"/>
              <w:jc w:val="left"/>
              <w:rPr>
                <w:rFonts w:ascii="Arial" w:hAnsi="Arial" w:cs="Arial"/>
                <w:b w:val="0"/>
                <w:bCs w:val="0"/>
                <w:sz w:val="16"/>
                <w:szCs w:val="16"/>
                <w:lang w:val="en-US"/>
              </w:rPr>
            </w:pPr>
            <w:r w:rsidRPr="00C864BD">
              <w:rPr>
                <w:rFonts w:ascii="Arial" w:hAnsi="Arial" w:cs="Arial"/>
                <w:sz w:val="16"/>
                <w:szCs w:val="16"/>
                <w:lang w:val="en-US"/>
              </w:rPr>
              <w:t>(COM-B)</w:t>
            </w:r>
          </w:p>
        </w:tc>
        <w:tc>
          <w:tcPr>
            <w:tcW w:w="1892" w:type="dxa"/>
            <w:gridSpan w:val="2"/>
            <w:shd w:val="clear" w:color="auto" w:fill="B4C6E7" w:themeFill="accent1" w:themeFillTint="66"/>
          </w:tcPr>
          <w:p w14:paraId="5647A070" w14:textId="77777777" w:rsidR="00C63ACE" w:rsidRPr="00C864BD" w:rsidRDefault="00C63ACE" w:rsidP="0052052E">
            <w:pPr>
              <w:spacing w:before="120" w:after="120" w:line="276" w:lineRule="auto"/>
              <w:ind w:left="140" w:right="55" w:firstLine="2"/>
              <w:jc w:val="left"/>
              <w:rPr>
                <w:rFonts w:ascii="Arial" w:hAnsi="Arial" w:cs="Arial"/>
                <w:b w:val="0"/>
                <w:bCs w:val="0"/>
                <w:sz w:val="16"/>
                <w:szCs w:val="16"/>
                <w:lang w:val="en-US"/>
              </w:rPr>
            </w:pPr>
            <w:r w:rsidRPr="00C864BD">
              <w:rPr>
                <w:rFonts w:ascii="Arial" w:hAnsi="Arial" w:cs="Arial"/>
                <w:sz w:val="16"/>
                <w:szCs w:val="16"/>
                <w:lang w:val="en-US"/>
              </w:rPr>
              <w:t>Theme (</w:t>
            </w:r>
            <w:r w:rsidRPr="00C864BD">
              <w:rPr>
                <w:rFonts w:ascii="Arial" w:hAnsi="Arial" w:cs="Arial"/>
                <w:color w:val="FF0000"/>
                <w:sz w:val="16"/>
                <w:szCs w:val="16"/>
                <w:lang w:val="en-US"/>
              </w:rPr>
              <w:t>barrier,</w:t>
            </w:r>
            <w:r w:rsidRPr="00C864BD">
              <w:rPr>
                <w:rFonts w:ascii="Arial" w:hAnsi="Arial" w:cs="Arial"/>
                <w:sz w:val="16"/>
                <w:szCs w:val="16"/>
                <w:lang w:val="en-US"/>
              </w:rPr>
              <w:t xml:space="preserve"> </w:t>
            </w:r>
            <w:r w:rsidRPr="00C864BD">
              <w:rPr>
                <w:rFonts w:ascii="Arial" w:hAnsi="Arial" w:cs="Arial"/>
                <w:color w:val="00B050"/>
                <w:sz w:val="16"/>
                <w:szCs w:val="16"/>
                <w:lang w:val="en-US"/>
              </w:rPr>
              <w:t>facilitator</w:t>
            </w:r>
            <w:r w:rsidRPr="00C864BD">
              <w:rPr>
                <w:rFonts w:ascii="Arial" w:hAnsi="Arial" w:cs="Arial"/>
                <w:sz w:val="16"/>
                <w:szCs w:val="16"/>
                <w:lang w:val="en-US"/>
              </w:rPr>
              <w:t xml:space="preserve">, </w:t>
            </w:r>
            <w:r w:rsidRPr="00C864BD">
              <w:rPr>
                <w:rFonts w:ascii="Arial" w:hAnsi="Arial" w:cs="Arial"/>
                <w:color w:val="0070C0"/>
                <w:sz w:val="16"/>
                <w:szCs w:val="16"/>
                <w:lang w:val="en-US"/>
              </w:rPr>
              <w:t>both barrier and facilitator</w:t>
            </w:r>
            <w:r w:rsidRPr="00C864BD">
              <w:rPr>
                <w:rFonts w:ascii="Arial" w:hAnsi="Arial" w:cs="Arial"/>
                <w:sz w:val="16"/>
                <w:szCs w:val="16"/>
                <w:lang w:val="en-US"/>
              </w:rPr>
              <w:t>)</w:t>
            </w:r>
          </w:p>
        </w:tc>
        <w:tc>
          <w:tcPr>
            <w:tcW w:w="1398" w:type="dxa"/>
            <w:shd w:val="clear" w:color="auto" w:fill="B4C6E7" w:themeFill="accent1" w:themeFillTint="66"/>
            <w:hideMark/>
          </w:tcPr>
          <w:p w14:paraId="14E2D6D6"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Potential intervention functions*</w:t>
            </w:r>
          </w:p>
        </w:tc>
        <w:tc>
          <w:tcPr>
            <w:tcW w:w="4210" w:type="dxa"/>
            <w:shd w:val="clear" w:color="auto" w:fill="B4C6E7" w:themeFill="accent1" w:themeFillTint="66"/>
          </w:tcPr>
          <w:p w14:paraId="5D5883AB" w14:textId="77777777" w:rsidR="00C63ACE" w:rsidRPr="00C864BD" w:rsidRDefault="00C63ACE" w:rsidP="0052052E">
            <w:pPr>
              <w:tabs>
                <w:tab w:val="left" w:pos="711"/>
              </w:tabs>
              <w:snapToGrid w:val="0"/>
              <w:spacing w:before="120" w:after="120" w:line="276" w:lineRule="auto"/>
              <w:ind w:hanging="3505"/>
              <w:jc w:val="left"/>
              <w:rPr>
                <w:rFonts w:ascii="Arial" w:hAnsi="Arial" w:cs="Arial"/>
                <w:i/>
                <w:color w:val="000000" w:themeColor="text1"/>
                <w:sz w:val="16"/>
                <w:szCs w:val="16"/>
                <w:lang w:val="en-NZ"/>
              </w:rPr>
            </w:pPr>
            <w:r w:rsidRPr="00C864BD">
              <w:rPr>
                <w:rFonts w:ascii="Arial" w:hAnsi="Arial" w:cs="Arial"/>
                <w:i/>
                <w:color w:val="262626" w:themeColor="text1" w:themeTint="D9"/>
                <w:sz w:val="16"/>
                <w:szCs w:val="16"/>
                <w:lang w:val="en-NZ"/>
              </w:rPr>
              <w:t>ccccc</w:t>
            </w:r>
            <w:r w:rsidRPr="00C864BD">
              <w:rPr>
                <w:rFonts w:ascii="Arial" w:hAnsi="Arial" w:cs="Arial"/>
                <w:i/>
                <w:color w:val="262626" w:themeColor="text1" w:themeTint="D9"/>
                <w:sz w:val="16"/>
                <w:szCs w:val="16"/>
                <w:lang w:val="en-NZ"/>
              </w:rPr>
              <w:tab/>
              <w:t>Potential policy categories</w:t>
            </w:r>
            <w:r w:rsidRPr="00C864BD">
              <w:rPr>
                <w:rFonts w:ascii="Arial" w:hAnsi="Arial" w:cs="Arial"/>
                <w:color w:val="262626" w:themeColor="text1" w:themeTint="D9"/>
                <w:sz w:val="16"/>
                <w:szCs w:val="16"/>
                <w:lang w:val="en-NZ"/>
              </w:rPr>
              <w:t xml:space="preserve"> </w:t>
            </w:r>
          </w:p>
        </w:tc>
        <w:tc>
          <w:tcPr>
            <w:tcW w:w="4775" w:type="dxa"/>
            <w:gridSpan w:val="2"/>
            <w:shd w:val="clear" w:color="auto" w:fill="B4C6E7" w:themeFill="accent1" w:themeFillTint="66"/>
          </w:tcPr>
          <w:p w14:paraId="27C00C3E" w14:textId="77777777" w:rsidR="00C63ACE" w:rsidRPr="00C864BD" w:rsidRDefault="00C63ACE" w:rsidP="0052052E">
            <w:pPr>
              <w:tabs>
                <w:tab w:val="left" w:pos="711"/>
              </w:tabs>
              <w:snapToGrid w:val="0"/>
              <w:spacing w:before="120" w:after="120" w:line="276" w:lineRule="auto"/>
              <w:ind w:hanging="3505"/>
              <w:jc w:val="left"/>
              <w:rPr>
                <w:rFonts w:ascii="Arial" w:hAnsi="Arial" w:cs="Arial"/>
                <w:color w:val="262626" w:themeColor="text1" w:themeTint="D9"/>
                <w:sz w:val="16"/>
                <w:szCs w:val="16"/>
                <w:lang w:val="en-NZ"/>
              </w:rPr>
            </w:pPr>
            <w:r w:rsidRPr="00C864BD">
              <w:rPr>
                <w:rFonts w:ascii="Arial" w:hAnsi="Arial" w:cs="Arial"/>
                <w:i/>
                <w:color w:val="262626" w:themeColor="text1" w:themeTint="D9"/>
                <w:sz w:val="16"/>
                <w:szCs w:val="16"/>
                <w:lang w:val="en-NZ"/>
              </w:rPr>
              <w:t>ccccc</w:t>
            </w:r>
            <w:r w:rsidRPr="00C864BD">
              <w:rPr>
                <w:rFonts w:ascii="Arial" w:hAnsi="Arial" w:cs="Arial"/>
                <w:i/>
                <w:color w:val="262626" w:themeColor="text1" w:themeTint="D9"/>
                <w:sz w:val="16"/>
                <w:szCs w:val="16"/>
                <w:lang w:val="en-NZ"/>
              </w:rPr>
              <w:tab/>
            </w:r>
            <w:r w:rsidRPr="00C864BD">
              <w:rPr>
                <w:rFonts w:ascii="Arial" w:hAnsi="Arial" w:cs="Arial"/>
                <w:color w:val="262626" w:themeColor="text1" w:themeTint="D9"/>
                <w:sz w:val="16"/>
                <w:szCs w:val="16"/>
                <w:lang w:val="en-NZ"/>
              </w:rPr>
              <w:t>Potential BCTs</w:t>
            </w:r>
            <w:r w:rsidRPr="00C864BD">
              <w:rPr>
                <w:rFonts w:ascii="Arial" w:hAnsi="Arial" w:cs="Arial"/>
                <w:color w:val="262626" w:themeColor="text1" w:themeTint="D9"/>
                <w:sz w:val="16"/>
                <w:szCs w:val="16"/>
                <w:lang w:val="en-NZ"/>
              </w:rPr>
              <w:tab/>
            </w:r>
          </w:p>
        </w:tc>
      </w:tr>
      <w:tr w:rsidR="00C63ACE" w:rsidRPr="00C864BD" w14:paraId="290F468A" w14:textId="77777777" w:rsidTr="0052052E">
        <w:trPr>
          <w:cnfStyle w:val="000000100000" w:firstRow="0" w:lastRow="0" w:firstColumn="0" w:lastColumn="0" w:oddVBand="0" w:evenVBand="0" w:oddHBand="1" w:evenHBand="0" w:firstRowFirstColumn="0" w:firstRowLastColumn="0" w:lastRowFirstColumn="0" w:lastRowLastColumn="0"/>
          <w:trHeight w:val="195"/>
        </w:trPr>
        <w:tc>
          <w:tcPr>
            <w:tcW w:w="3585" w:type="dxa"/>
            <w:gridSpan w:val="2"/>
            <w:tcBorders>
              <w:bottom w:val="single" w:sz="4" w:space="0" w:color="B4C6E7" w:themeColor="accent1" w:themeTint="66"/>
            </w:tcBorders>
            <w:vAlign w:val="bottom"/>
          </w:tcPr>
          <w:p w14:paraId="2A5D6CEA" w14:textId="77777777" w:rsidR="00C63ACE" w:rsidRPr="00C864BD" w:rsidRDefault="00C63ACE" w:rsidP="0052052E">
            <w:pPr>
              <w:spacing w:before="120" w:after="120" w:line="276" w:lineRule="auto"/>
              <w:jc w:val="left"/>
              <w:rPr>
                <w:rFonts w:ascii="Arial" w:hAnsi="Arial" w:cs="Arial"/>
                <w:b/>
                <w:sz w:val="16"/>
                <w:szCs w:val="16"/>
                <w:lang w:val="en-US"/>
              </w:rPr>
            </w:pPr>
            <w:r w:rsidRPr="00C864BD">
              <w:rPr>
                <w:rFonts w:ascii="Arial" w:hAnsi="Arial" w:cs="Arial"/>
                <w:b/>
                <w:sz w:val="16"/>
                <w:szCs w:val="16"/>
                <w:lang w:val="en-US"/>
              </w:rPr>
              <w:t>HCP issuing invitation</w:t>
            </w:r>
          </w:p>
        </w:tc>
        <w:tc>
          <w:tcPr>
            <w:tcW w:w="5674" w:type="dxa"/>
            <w:gridSpan w:val="3"/>
            <w:tcBorders>
              <w:bottom w:val="single" w:sz="4" w:space="0" w:color="B4C6E7" w:themeColor="accent1" w:themeTint="66"/>
            </w:tcBorders>
          </w:tcPr>
          <w:p w14:paraId="5D2803A1" w14:textId="77777777" w:rsidR="00C63ACE" w:rsidRPr="00C864BD" w:rsidRDefault="00C63ACE" w:rsidP="0052052E">
            <w:pPr>
              <w:spacing w:before="120" w:after="120" w:line="276" w:lineRule="auto"/>
              <w:jc w:val="left"/>
              <w:rPr>
                <w:rFonts w:ascii="Arial" w:hAnsi="Arial" w:cs="Arial"/>
                <w:b/>
                <w:sz w:val="16"/>
                <w:szCs w:val="16"/>
                <w:lang w:val="en-US"/>
              </w:rPr>
            </w:pPr>
          </w:p>
          <w:p w14:paraId="63202149" w14:textId="77777777" w:rsidR="00C63ACE" w:rsidRPr="00C864BD" w:rsidRDefault="00C63ACE" w:rsidP="0052052E">
            <w:pPr>
              <w:snapToGrid w:val="0"/>
              <w:spacing w:before="120" w:after="120" w:line="276" w:lineRule="auto"/>
              <w:jc w:val="left"/>
              <w:rPr>
                <w:rFonts w:ascii="Arial" w:hAnsi="Arial" w:cs="Arial"/>
                <w:b/>
                <w:i/>
                <w:sz w:val="16"/>
                <w:szCs w:val="16"/>
                <w:lang w:val="en-US"/>
              </w:rPr>
            </w:pPr>
          </w:p>
        </w:tc>
        <w:tc>
          <w:tcPr>
            <w:tcW w:w="4775" w:type="dxa"/>
            <w:gridSpan w:val="2"/>
            <w:tcBorders>
              <w:bottom w:val="single" w:sz="4" w:space="0" w:color="B4C6E7" w:themeColor="accent1" w:themeTint="66"/>
            </w:tcBorders>
          </w:tcPr>
          <w:p w14:paraId="62A9D9A4"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US"/>
              </w:rPr>
            </w:pPr>
          </w:p>
        </w:tc>
      </w:tr>
      <w:tr w:rsidR="00C63ACE" w:rsidRPr="00C864BD" w14:paraId="225100D5" w14:textId="77777777" w:rsidTr="0052052E">
        <w:trPr>
          <w:trHeight w:val="506"/>
        </w:trPr>
        <w:tc>
          <w:tcPr>
            <w:tcW w:w="1759" w:type="dxa"/>
            <w:tcBorders>
              <w:top w:val="single" w:sz="4" w:space="0" w:color="B4C6E7" w:themeColor="accent1" w:themeTint="66"/>
              <w:bottom w:val="single" w:sz="4" w:space="0" w:color="B4C6E7" w:themeColor="accent1" w:themeTint="66"/>
            </w:tcBorders>
            <w:shd w:val="clear" w:color="auto" w:fill="auto"/>
            <w:hideMark/>
          </w:tcPr>
          <w:p w14:paraId="4A11ED6E"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sz w:val="16"/>
                <w:szCs w:val="16"/>
                <w:lang w:val="en-US"/>
              </w:rPr>
              <w:t>Environmental context and resources (physical opportunity)</w:t>
            </w:r>
          </w:p>
        </w:tc>
        <w:tc>
          <w:tcPr>
            <w:tcW w:w="1892" w:type="dxa"/>
            <w:gridSpan w:val="2"/>
            <w:tcBorders>
              <w:top w:val="single" w:sz="4" w:space="0" w:color="B4C6E7" w:themeColor="accent1" w:themeTint="66"/>
              <w:bottom w:val="single" w:sz="4" w:space="0" w:color="B4C6E7" w:themeColor="accent1" w:themeTint="66"/>
            </w:tcBorders>
            <w:shd w:val="clear" w:color="auto" w:fill="auto"/>
          </w:tcPr>
          <w:p w14:paraId="2CCE71E0" w14:textId="77777777" w:rsidR="00C63ACE" w:rsidRPr="00C864BD" w:rsidRDefault="00C63ACE" w:rsidP="0052052E">
            <w:pPr>
              <w:spacing w:before="120" w:after="120" w:line="276" w:lineRule="auto"/>
              <w:ind w:left="140" w:right="197" w:firstLine="2"/>
              <w:jc w:val="left"/>
              <w:rPr>
                <w:rFonts w:ascii="Arial" w:hAnsi="Arial" w:cs="Arial"/>
                <w:color w:val="0070C0"/>
                <w:kern w:val="24"/>
                <w:sz w:val="16"/>
                <w:szCs w:val="16"/>
              </w:rPr>
            </w:pPr>
            <w:r w:rsidRPr="00001E57">
              <w:rPr>
                <w:rFonts w:ascii="Arial" w:hAnsi="Arial" w:cs="Arial"/>
                <w:color w:val="FF0000"/>
                <w:kern w:val="24"/>
                <w:sz w:val="16"/>
                <w:szCs w:val="16"/>
              </w:rPr>
              <w:t>Difficulty identifying eligible patients from records</w:t>
            </w:r>
          </w:p>
        </w:tc>
        <w:tc>
          <w:tcPr>
            <w:tcW w:w="1398" w:type="dxa"/>
            <w:tcBorders>
              <w:top w:val="single" w:sz="4" w:space="0" w:color="B4C6E7" w:themeColor="accent1" w:themeTint="66"/>
              <w:bottom w:val="single" w:sz="4" w:space="0" w:color="B4C6E7" w:themeColor="accent1" w:themeTint="66"/>
            </w:tcBorders>
            <w:shd w:val="clear" w:color="auto" w:fill="auto"/>
            <w:hideMark/>
          </w:tcPr>
          <w:p w14:paraId="06F35AD9"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40F0DA59"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72F565EA"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4B53BD31"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B4C6E7" w:themeColor="accent1" w:themeTint="66"/>
              <w:bottom w:val="single" w:sz="4" w:space="0" w:color="B4C6E7" w:themeColor="accent1" w:themeTint="66"/>
            </w:tcBorders>
          </w:tcPr>
          <w:p w14:paraId="668DCBF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68D6309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7C13391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0881391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6076E64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4C6C952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B4C6E7" w:themeColor="accent1" w:themeTint="66"/>
              <w:bottom w:val="single" w:sz="4" w:space="0" w:color="B4C6E7" w:themeColor="accent1" w:themeTint="66"/>
            </w:tcBorders>
            <w:shd w:val="clear" w:color="auto" w:fill="auto"/>
          </w:tcPr>
          <w:p w14:paraId="7CA383F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280B53E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559FB53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6AF6E99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 xml:space="preserve">Restructuring the physical environment (change, or advise to change the physical environment in order to facilitate performance of the wanted behaviour or create barriers to the unwanted behaviour (other than prompts/cues, rewards and punishments) </w:t>
            </w:r>
          </w:p>
          <w:p w14:paraId="1D6B7EE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3FF016F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78AD102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539D0D85" w14:textId="77777777" w:rsidTr="0052052E">
        <w:trPr>
          <w:cnfStyle w:val="000000100000" w:firstRow="0" w:lastRow="0" w:firstColumn="0" w:lastColumn="0" w:oddVBand="0" w:evenVBand="0" w:oddHBand="1" w:evenHBand="0" w:firstRowFirstColumn="0" w:firstRowLastColumn="0" w:lastRowFirstColumn="0" w:lastRowLastColumn="0"/>
          <w:trHeight w:val="176"/>
        </w:trPr>
        <w:tc>
          <w:tcPr>
            <w:tcW w:w="3585" w:type="dxa"/>
            <w:gridSpan w:val="2"/>
            <w:tcBorders>
              <w:top w:val="single" w:sz="4" w:space="0" w:color="B4C6E7" w:themeColor="accent1" w:themeTint="66"/>
            </w:tcBorders>
            <w:vAlign w:val="bottom"/>
          </w:tcPr>
          <w:p w14:paraId="1899B76F" w14:textId="77777777" w:rsidR="00C63ACE" w:rsidRPr="00C864BD" w:rsidRDefault="00C63ACE" w:rsidP="0052052E">
            <w:pPr>
              <w:spacing w:before="120" w:after="120" w:line="276" w:lineRule="auto"/>
              <w:jc w:val="left"/>
              <w:rPr>
                <w:rFonts w:ascii="Arial" w:hAnsi="Arial" w:cs="Arial"/>
                <w:b/>
                <w:sz w:val="16"/>
                <w:szCs w:val="16"/>
                <w:lang w:val="en-US"/>
              </w:rPr>
            </w:pPr>
            <w:r w:rsidRPr="00C864BD">
              <w:rPr>
                <w:rFonts w:ascii="Arial" w:hAnsi="Arial" w:cs="Arial"/>
                <w:b/>
                <w:sz w:val="16"/>
                <w:szCs w:val="16"/>
                <w:lang w:val="en-US"/>
              </w:rPr>
              <w:t>Patient attendance</w:t>
            </w:r>
          </w:p>
        </w:tc>
        <w:tc>
          <w:tcPr>
            <w:tcW w:w="5674" w:type="dxa"/>
            <w:gridSpan w:val="3"/>
            <w:tcBorders>
              <w:top w:val="single" w:sz="4" w:space="0" w:color="B4C6E7" w:themeColor="accent1" w:themeTint="66"/>
            </w:tcBorders>
          </w:tcPr>
          <w:p w14:paraId="5C1EDECF" w14:textId="77777777" w:rsidR="00C63ACE" w:rsidRPr="00C864BD" w:rsidRDefault="00C63ACE" w:rsidP="0052052E">
            <w:pPr>
              <w:spacing w:before="120" w:after="120" w:line="276" w:lineRule="auto"/>
              <w:jc w:val="left"/>
              <w:rPr>
                <w:rFonts w:ascii="Arial" w:hAnsi="Arial" w:cs="Arial"/>
                <w:b/>
                <w:sz w:val="16"/>
                <w:szCs w:val="16"/>
                <w:lang w:val="en-US"/>
              </w:rPr>
            </w:pPr>
          </w:p>
          <w:p w14:paraId="2756A1F6" w14:textId="77777777" w:rsidR="00C63ACE" w:rsidRPr="00C864BD" w:rsidRDefault="00C63ACE" w:rsidP="0052052E">
            <w:pPr>
              <w:snapToGrid w:val="0"/>
              <w:spacing w:before="120" w:after="120" w:line="276" w:lineRule="auto"/>
              <w:jc w:val="left"/>
              <w:rPr>
                <w:rFonts w:ascii="Arial" w:hAnsi="Arial" w:cs="Arial"/>
                <w:i/>
                <w:sz w:val="16"/>
                <w:szCs w:val="16"/>
                <w:lang w:val="en-US"/>
              </w:rPr>
            </w:pPr>
          </w:p>
        </w:tc>
        <w:tc>
          <w:tcPr>
            <w:tcW w:w="4775" w:type="dxa"/>
            <w:gridSpan w:val="2"/>
            <w:tcBorders>
              <w:top w:val="single" w:sz="4" w:space="0" w:color="B4C6E7" w:themeColor="accent1" w:themeTint="66"/>
            </w:tcBorders>
          </w:tcPr>
          <w:p w14:paraId="41903063"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US"/>
              </w:rPr>
            </w:pPr>
          </w:p>
        </w:tc>
      </w:tr>
      <w:tr w:rsidR="00C63ACE" w:rsidRPr="00C864BD" w14:paraId="72D302AA" w14:textId="77777777" w:rsidTr="0052052E">
        <w:trPr>
          <w:trHeight w:val="357"/>
        </w:trPr>
        <w:tc>
          <w:tcPr>
            <w:tcW w:w="1759" w:type="dxa"/>
            <w:tcBorders>
              <w:bottom w:val="single" w:sz="4" w:space="0" w:color="4472C4" w:themeColor="accent1"/>
            </w:tcBorders>
            <w:shd w:val="clear" w:color="auto" w:fill="auto"/>
          </w:tcPr>
          <w:p w14:paraId="4B1C9310"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themeColor="text1"/>
                <w:kern w:val="24"/>
                <w:sz w:val="16"/>
                <w:szCs w:val="16"/>
              </w:rPr>
              <w:lastRenderedPageBreak/>
              <w:t>Knowledge (psychological capability)</w:t>
            </w:r>
          </w:p>
        </w:tc>
        <w:tc>
          <w:tcPr>
            <w:tcW w:w="1892" w:type="dxa"/>
            <w:gridSpan w:val="2"/>
            <w:tcBorders>
              <w:bottom w:val="single" w:sz="4" w:space="0" w:color="4472C4" w:themeColor="accent1"/>
            </w:tcBorders>
            <w:shd w:val="clear" w:color="auto" w:fill="auto"/>
          </w:tcPr>
          <w:p w14:paraId="2242AE4C" w14:textId="77777777" w:rsidR="00C63ACE" w:rsidRPr="00C864BD" w:rsidRDefault="00C63ACE" w:rsidP="0052052E">
            <w:pPr>
              <w:spacing w:before="120" w:after="120" w:line="276" w:lineRule="auto"/>
              <w:ind w:left="140" w:right="197"/>
              <w:jc w:val="left"/>
              <w:rPr>
                <w:rFonts w:ascii="Arial" w:hAnsi="Arial" w:cs="Arial"/>
                <w:color w:val="FF0000"/>
                <w:kern w:val="24"/>
                <w:sz w:val="16"/>
                <w:szCs w:val="16"/>
              </w:rPr>
            </w:pPr>
            <w:r w:rsidRPr="00C864BD">
              <w:rPr>
                <w:rFonts w:ascii="Arial" w:hAnsi="Arial" w:cs="Arial"/>
                <w:color w:val="FF0000"/>
                <w:kern w:val="24"/>
                <w:sz w:val="16"/>
                <w:szCs w:val="16"/>
              </w:rPr>
              <w:t>Lack of understanding of CVD risk and purpose of NHS H</w:t>
            </w:r>
            <w:r>
              <w:rPr>
                <w:rFonts w:ascii="Arial" w:hAnsi="Arial" w:cs="Arial"/>
                <w:color w:val="FF0000"/>
                <w:kern w:val="24"/>
                <w:sz w:val="16"/>
                <w:szCs w:val="16"/>
              </w:rPr>
              <w:t xml:space="preserve">ealth </w:t>
            </w:r>
            <w:r w:rsidRPr="00C864BD">
              <w:rPr>
                <w:rFonts w:ascii="Arial" w:hAnsi="Arial" w:cs="Arial"/>
                <w:color w:val="FF0000"/>
                <w:kern w:val="24"/>
                <w:sz w:val="16"/>
                <w:szCs w:val="16"/>
              </w:rPr>
              <w:t>C</w:t>
            </w:r>
            <w:r>
              <w:rPr>
                <w:rFonts w:ascii="Arial" w:hAnsi="Arial" w:cs="Arial"/>
                <w:color w:val="FF0000"/>
                <w:kern w:val="24"/>
                <w:sz w:val="16"/>
                <w:szCs w:val="16"/>
              </w:rPr>
              <w:t>hecks</w:t>
            </w:r>
          </w:p>
        </w:tc>
        <w:tc>
          <w:tcPr>
            <w:tcW w:w="1398" w:type="dxa"/>
            <w:tcBorders>
              <w:bottom w:val="single" w:sz="4" w:space="0" w:color="4472C4" w:themeColor="accent1"/>
            </w:tcBorders>
            <w:shd w:val="clear" w:color="auto" w:fill="auto"/>
          </w:tcPr>
          <w:p w14:paraId="73255925"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Education</w:t>
            </w:r>
          </w:p>
          <w:p w14:paraId="7AD9E1D7" w14:textId="77777777" w:rsidR="00C63ACE" w:rsidRPr="00C864BD" w:rsidRDefault="00C63ACE" w:rsidP="0052052E">
            <w:pPr>
              <w:spacing w:line="276" w:lineRule="auto"/>
              <w:rPr>
                <w:rFonts w:ascii="Arial" w:hAnsi="Arial" w:cs="Arial"/>
                <w:sz w:val="16"/>
                <w:szCs w:val="16"/>
                <w:lang w:val="en-NZ"/>
              </w:rPr>
            </w:pPr>
          </w:p>
          <w:p w14:paraId="13B9E99F" w14:textId="77777777" w:rsidR="00C63ACE" w:rsidRPr="00C864BD" w:rsidRDefault="00C63ACE" w:rsidP="0052052E">
            <w:pPr>
              <w:spacing w:line="276" w:lineRule="auto"/>
              <w:rPr>
                <w:rFonts w:ascii="Arial" w:hAnsi="Arial" w:cs="Arial"/>
                <w:sz w:val="16"/>
                <w:szCs w:val="16"/>
                <w:lang w:val="en-NZ"/>
              </w:rPr>
            </w:pPr>
          </w:p>
          <w:p w14:paraId="5E443D9F" w14:textId="77777777" w:rsidR="00C63ACE" w:rsidRPr="00C864BD" w:rsidRDefault="00C63ACE" w:rsidP="0052052E">
            <w:pPr>
              <w:spacing w:line="276" w:lineRule="auto"/>
              <w:rPr>
                <w:rFonts w:ascii="Arial" w:hAnsi="Arial" w:cs="Arial"/>
                <w:sz w:val="16"/>
                <w:szCs w:val="16"/>
                <w:lang w:val="en-NZ"/>
              </w:rPr>
            </w:pPr>
          </w:p>
          <w:p w14:paraId="7AFCD3D3" w14:textId="77777777" w:rsidR="00C63ACE" w:rsidRPr="00C864BD" w:rsidRDefault="00C63ACE" w:rsidP="0052052E">
            <w:pPr>
              <w:spacing w:line="276" w:lineRule="auto"/>
              <w:jc w:val="center"/>
              <w:rPr>
                <w:rFonts w:ascii="Arial" w:hAnsi="Arial" w:cs="Arial"/>
                <w:sz w:val="16"/>
                <w:szCs w:val="16"/>
                <w:lang w:val="en-NZ"/>
              </w:rPr>
            </w:pPr>
          </w:p>
        </w:tc>
        <w:tc>
          <w:tcPr>
            <w:tcW w:w="4210" w:type="dxa"/>
            <w:tcBorders>
              <w:bottom w:val="single" w:sz="4" w:space="0" w:color="4472C4" w:themeColor="accent1"/>
            </w:tcBorders>
          </w:tcPr>
          <w:p w14:paraId="5057486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Communication/ marketing</w:t>
            </w:r>
          </w:p>
          <w:p w14:paraId="3F816FE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63AF04F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4C5EC1A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6A385E3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w:t>
            </w:r>
          </w:p>
        </w:tc>
        <w:tc>
          <w:tcPr>
            <w:tcW w:w="4775" w:type="dxa"/>
            <w:gridSpan w:val="2"/>
            <w:tcBorders>
              <w:bottom w:val="single" w:sz="4" w:space="0" w:color="4472C4" w:themeColor="accent1"/>
            </w:tcBorders>
            <w:shd w:val="clear" w:color="auto" w:fill="auto"/>
          </w:tcPr>
          <w:p w14:paraId="0F842EF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Biofeedback (provide feedback about the body (e.g. physiological or biochemical state) using an external monitoring device as part of a behaviour change strategy)</w:t>
            </w:r>
          </w:p>
          <w:p w14:paraId="5D0992C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Instruction on how to perform behaviour (advise or agree on how to perform the behaviour (includes ‘Skills training’))</w:t>
            </w:r>
          </w:p>
          <w:p w14:paraId="535134E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antecedents (provide information about antecedents)</w:t>
            </w:r>
          </w:p>
          <w:p w14:paraId="6D67AD3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health consequences (provide information (e.g. written, verbal, visual) about health consequences of performing the behaviour)</w:t>
            </w:r>
          </w:p>
          <w:p w14:paraId="3D6C869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Salience of consequences (use methods specifically designed to emphasise the consequences of performing the behaviour with the aim of making them more memorable (goes beyond informing about consequences))</w:t>
            </w:r>
          </w:p>
          <w:p w14:paraId="0773716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social and environmental consequences (provide information (e.g. written, verbal, visual) about social and environmental consequences of performing the behaviour)</w:t>
            </w:r>
          </w:p>
        </w:tc>
      </w:tr>
      <w:tr w:rsidR="00C63ACE" w:rsidRPr="00C864BD" w14:paraId="7DCA0D07" w14:textId="77777777" w:rsidTr="0052052E">
        <w:trPr>
          <w:cnfStyle w:val="000000100000" w:firstRow="0" w:lastRow="0" w:firstColumn="0" w:lastColumn="0" w:oddVBand="0" w:evenVBand="0" w:oddHBand="1" w:evenHBand="0" w:firstRowFirstColumn="0" w:firstRowLastColumn="0" w:lastRowFirstColumn="0" w:lastRowLastColumn="0"/>
          <w:trHeight w:val="901"/>
        </w:trPr>
        <w:tc>
          <w:tcPr>
            <w:tcW w:w="1759" w:type="dxa"/>
            <w:vMerge w:val="restart"/>
            <w:tcBorders>
              <w:top w:val="single" w:sz="4" w:space="0" w:color="4472C4" w:themeColor="accent1"/>
            </w:tcBorders>
            <w:shd w:val="clear" w:color="auto" w:fill="auto"/>
          </w:tcPr>
          <w:p w14:paraId="241A2A12"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themeColor="text1"/>
                <w:kern w:val="24"/>
                <w:sz w:val="16"/>
                <w:szCs w:val="16"/>
                <w:lang w:val="en-US"/>
              </w:rPr>
              <w:t>Environmental context and resources (physical opportunity)</w:t>
            </w:r>
          </w:p>
        </w:tc>
        <w:tc>
          <w:tcPr>
            <w:tcW w:w="1892" w:type="dxa"/>
            <w:gridSpan w:val="2"/>
            <w:tcBorders>
              <w:top w:val="single" w:sz="4" w:space="0" w:color="4472C4" w:themeColor="accent1"/>
              <w:bottom w:val="single" w:sz="4" w:space="0" w:color="4472C4" w:themeColor="accent1"/>
            </w:tcBorders>
            <w:shd w:val="clear" w:color="auto" w:fill="auto"/>
          </w:tcPr>
          <w:p w14:paraId="1ACCC730" w14:textId="77777777" w:rsidR="00C63ACE" w:rsidRPr="00C864BD" w:rsidRDefault="00C63ACE" w:rsidP="0052052E">
            <w:pPr>
              <w:spacing w:before="120" w:after="120" w:line="276" w:lineRule="auto"/>
              <w:ind w:left="140" w:right="197"/>
              <w:jc w:val="left"/>
              <w:rPr>
                <w:rFonts w:ascii="Arial" w:hAnsi="Arial" w:cs="Arial"/>
                <w:color w:val="0070C0"/>
                <w:kern w:val="24"/>
                <w:sz w:val="16"/>
                <w:szCs w:val="16"/>
              </w:rPr>
            </w:pPr>
            <w:r w:rsidRPr="00C864BD">
              <w:rPr>
                <w:rFonts w:ascii="Arial" w:hAnsi="Arial" w:cs="Arial"/>
                <w:color w:val="0070C0"/>
                <w:kern w:val="24"/>
                <w:sz w:val="16"/>
                <w:szCs w:val="16"/>
              </w:rPr>
              <w:t>Timing and location of 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w:t>
            </w:r>
            <w:r w:rsidRPr="00C864BD">
              <w:rPr>
                <w:rFonts w:ascii="Arial" w:hAnsi="Arial" w:cs="Arial"/>
                <w:color w:val="0070C0"/>
                <w:kern w:val="24"/>
                <w:sz w:val="16"/>
                <w:szCs w:val="16"/>
              </w:rPr>
              <w:t>s increased attendance</w:t>
            </w:r>
          </w:p>
        </w:tc>
        <w:tc>
          <w:tcPr>
            <w:tcW w:w="1398" w:type="dxa"/>
            <w:tcBorders>
              <w:top w:val="single" w:sz="4" w:space="0" w:color="4472C4" w:themeColor="accent1"/>
              <w:bottom w:val="single" w:sz="4" w:space="0" w:color="4472C4" w:themeColor="accent1"/>
            </w:tcBorders>
            <w:shd w:val="clear" w:color="auto" w:fill="auto"/>
          </w:tcPr>
          <w:p w14:paraId="3D023D53"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19F77E88"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46BDF807"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00E10F78"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shd w:val="clear" w:color="auto" w:fill="auto"/>
          </w:tcPr>
          <w:p w14:paraId="551B29C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0E1EF0E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540C3D3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7495070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143C4DA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687C922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0DFEE33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0660808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3F2FFEC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2F4D1D0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3C5FC3D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lastRenderedPageBreak/>
              <w:t>Restructuring the social environment (change, or advise to change the social environment in order to facilitate performance of the wanted behaviour or create barriers to the unwanted behaviour (other than prompts/cues, rewards and punishments)</w:t>
            </w:r>
          </w:p>
          <w:p w14:paraId="40E8628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2E18859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2F5800CA" w14:textId="77777777" w:rsidTr="0052052E">
        <w:trPr>
          <w:trHeight w:val="88"/>
        </w:trPr>
        <w:tc>
          <w:tcPr>
            <w:tcW w:w="1759" w:type="dxa"/>
            <w:vMerge/>
            <w:tcBorders>
              <w:bottom w:val="single" w:sz="4" w:space="0" w:color="B4C6E7" w:themeColor="accent1" w:themeTint="66"/>
            </w:tcBorders>
            <w:shd w:val="clear" w:color="auto" w:fill="auto"/>
          </w:tcPr>
          <w:p w14:paraId="4B62CC90"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B4C6E7" w:themeColor="accent1" w:themeTint="66"/>
            </w:tcBorders>
            <w:shd w:val="clear" w:color="auto" w:fill="auto"/>
          </w:tcPr>
          <w:p w14:paraId="284E9671" w14:textId="77777777" w:rsidR="00C63ACE" w:rsidRPr="00C864BD" w:rsidRDefault="00C63ACE" w:rsidP="0052052E">
            <w:pPr>
              <w:spacing w:before="120" w:after="120" w:line="276" w:lineRule="auto"/>
              <w:ind w:left="140" w:right="197"/>
              <w:jc w:val="left"/>
              <w:rPr>
                <w:rFonts w:ascii="Arial" w:hAnsi="Arial" w:cs="Arial"/>
                <w:color w:val="0070C0"/>
                <w:kern w:val="24"/>
                <w:sz w:val="16"/>
                <w:szCs w:val="16"/>
              </w:rPr>
            </w:pPr>
            <w:r w:rsidRPr="00C864BD">
              <w:rPr>
                <w:rFonts w:ascii="Arial" w:hAnsi="Arial" w:cs="Arial"/>
                <w:color w:val="0070C0"/>
                <w:kern w:val="24"/>
                <w:sz w:val="16"/>
                <w:szCs w:val="16"/>
              </w:rPr>
              <w:t>Conducting 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w:t>
            </w:r>
            <w:r w:rsidRPr="00C864BD">
              <w:rPr>
                <w:rFonts w:ascii="Arial" w:hAnsi="Arial" w:cs="Arial"/>
                <w:color w:val="0070C0"/>
                <w:kern w:val="24"/>
                <w:sz w:val="16"/>
                <w:szCs w:val="16"/>
              </w:rPr>
              <w:t xml:space="preserve">s in pharmacies </w:t>
            </w:r>
          </w:p>
        </w:tc>
        <w:tc>
          <w:tcPr>
            <w:tcW w:w="1398" w:type="dxa"/>
            <w:tcBorders>
              <w:top w:val="single" w:sz="4" w:space="0" w:color="4472C4" w:themeColor="accent1"/>
              <w:bottom w:val="single" w:sz="4" w:space="0" w:color="B4C6E7" w:themeColor="accent1" w:themeTint="66"/>
            </w:tcBorders>
            <w:shd w:val="clear" w:color="auto" w:fill="auto"/>
          </w:tcPr>
          <w:p w14:paraId="69EE36A1"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72B2A690" w14:textId="77777777" w:rsidR="00C63ACE" w:rsidRPr="00C864BD" w:rsidRDefault="00C63ACE" w:rsidP="0052052E">
            <w:pPr>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4AACC79D"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w:t>
            </w:r>
          </w:p>
          <w:p w14:paraId="6172C20D"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restructuring</w:t>
            </w:r>
          </w:p>
          <w:p w14:paraId="0A8B5BC5"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B4C6E7" w:themeColor="accent1" w:themeTint="66"/>
            </w:tcBorders>
          </w:tcPr>
          <w:p w14:paraId="1F4C4F6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4D8E52F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6812C5C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333AEFB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7709FED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5582580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B4C6E7" w:themeColor="accent1" w:themeTint="66"/>
            </w:tcBorders>
            <w:shd w:val="clear" w:color="auto" w:fill="auto"/>
          </w:tcPr>
          <w:p w14:paraId="0477907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79EDADC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2E30538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0F0150B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40823AD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5F1768E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20210F63"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lastRenderedPageBreak/>
              <w:t>Adding objects to the environment (add objects to the environment in order to facilitate performance of the behaviour)</w:t>
            </w:r>
          </w:p>
        </w:tc>
      </w:tr>
      <w:tr w:rsidR="00C63ACE" w:rsidRPr="00C864BD" w14:paraId="3ADB82D2" w14:textId="77777777" w:rsidTr="0052052E">
        <w:trPr>
          <w:cnfStyle w:val="000000100000" w:firstRow="0" w:lastRow="0" w:firstColumn="0" w:lastColumn="0" w:oddVBand="0" w:evenVBand="0" w:oddHBand="1" w:evenHBand="0" w:firstRowFirstColumn="0" w:firstRowLastColumn="0" w:lastRowFirstColumn="0" w:lastRowLastColumn="0"/>
          <w:trHeight w:val="778"/>
        </w:trPr>
        <w:tc>
          <w:tcPr>
            <w:tcW w:w="1759" w:type="dxa"/>
            <w:vMerge w:val="restart"/>
            <w:tcBorders>
              <w:top w:val="single" w:sz="4" w:space="0" w:color="B4C6E7" w:themeColor="accent1" w:themeTint="66"/>
            </w:tcBorders>
            <w:shd w:val="clear" w:color="auto" w:fill="auto"/>
          </w:tcPr>
          <w:p w14:paraId="5E230538"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themeColor="text1"/>
                <w:kern w:val="24"/>
                <w:sz w:val="16"/>
                <w:szCs w:val="16"/>
                <w:lang w:val="en-US"/>
              </w:rPr>
              <w:lastRenderedPageBreak/>
              <w:t xml:space="preserve">Social </w:t>
            </w:r>
            <w:r w:rsidRPr="00C864BD">
              <w:rPr>
                <w:rFonts w:ascii="Arial" w:eastAsiaTheme="minorEastAsia" w:hAnsi="Arial" w:cs="Arial"/>
                <w:color w:val="000000" w:themeColor="text1"/>
                <w:kern w:val="24"/>
                <w:sz w:val="16"/>
                <w:szCs w:val="16"/>
                <w:lang w:val="en-US"/>
              </w:rPr>
              <w:t>influences (social opportunity)</w:t>
            </w:r>
          </w:p>
        </w:tc>
        <w:tc>
          <w:tcPr>
            <w:tcW w:w="1892" w:type="dxa"/>
            <w:gridSpan w:val="2"/>
            <w:tcBorders>
              <w:top w:val="single" w:sz="4" w:space="0" w:color="B4C6E7" w:themeColor="accent1" w:themeTint="66"/>
              <w:bottom w:val="single" w:sz="4" w:space="0" w:color="4472C4" w:themeColor="accent1"/>
            </w:tcBorders>
            <w:shd w:val="clear" w:color="auto" w:fill="auto"/>
          </w:tcPr>
          <w:p w14:paraId="008C2C42" w14:textId="77777777" w:rsidR="00C63ACE" w:rsidRPr="00C864BD" w:rsidRDefault="00C63ACE" w:rsidP="0052052E">
            <w:pPr>
              <w:spacing w:before="120" w:after="120" w:line="276" w:lineRule="auto"/>
              <w:ind w:left="140" w:right="197"/>
              <w:jc w:val="left"/>
              <w:rPr>
                <w:rFonts w:ascii="Arial" w:hAnsi="Arial" w:cs="Arial"/>
                <w:color w:val="0070C0"/>
                <w:kern w:val="24"/>
                <w:sz w:val="16"/>
                <w:szCs w:val="16"/>
              </w:rPr>
            </w:pPr>
            <w:r w:rsidRPr="00C864BD">
              <w:rPr>
                <w:rFonts w:ascii="Arial" w:hAnsi="Arial" w:cs="Arial"/>
                <w:color w:val="0070C0"/>
                <w:kern w:val="24"/>
                <w:sz w:val="16"/>
                <w:szCs w:val="16"/>
              </w:rPr>
              <w:t>Family history of illness</w:t>
            </w:r>
          </w:p>
        </w:tc>
        <w:tc>
          <w:tcPr>
            <w:tcW w:w="1398" w:type="dxa"/>
            <w:tcBorders>
              <w:top w:val="single" w:sz="4" w:space="0" w:color="B4C6E7" w:themeColor="accent1" w:themeTint="66"/>
              <w:bottom w:val="single" w:sz="4" w:space="0" w:color="4472C4" w:themeColor="accent1"/>
            </w:tcBorders>
            <w:shd w:val="clear" w:color="auto" w:fill="auto"/>
          </w:tcPr>
          <w:p w14:paraId="1C8A9D92"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Restriction</w:t>
            </w:r>
          </w:p>
          <w:p w14:paraId="0CCBA95C"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Environmental restructuring</w:t>
            </w:r>
          </w:p>
          <w:p w14:paraId="7C2CD9B1"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Modelling</w:t>
            </w:r>
          </w:p>
          <w:p w14:paraId="5FA84463"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Enablement</w:t>
            </w:r>
          </w:p>
        </w:tc>
        <w:tc>
          <w:tcPr>
            <w:tcW w:w="4210" w:type="dxa"/>
            <w:tcBorders>
              <w:top w:val="single" w:sz="4" w:space="0" w:color="B4C6E7" w:themeColor="accent1" w:themeTint="66"/>
              <w:bottom w:val="single" w:sz="4" w:space="0" w:color="4472C4" w:themeColor="accent1"/>
            </w:tcBorders>
            <w:shd w:val="clear" w:color="auto" w:fill="auto"/>
          </w:tcPr>
          <w:p w14:paraId="55546D8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(modelling only)</w:t>
            </w:r>
          </w:p>
          <w:p w14:paraId="22FB56B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1F39C56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(not modelling or restriction)</w:t>
            </w:r>
          </w:p>
          <w:p w14:paraId="0656D8F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4CCF09D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3DB99C8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Environmental/ Social planning (not modelling or restriction)</w:t>
            </w:r>
          </w:p>
          <w:p w14:paraId="14B7BB7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Service provision </w:t>
            </w:r>
            <w:r w:rsidRPr="00C864BD">
              <w:rPr>
                <w:rFonts w:ascii="Arial" w:hAnsi="Arial" w:cs="Arial"/>
                <w:color w:val="262626" w:themeColor="text1" w:themeTint="D9"/>
                <w:sz w:val="16"/>
                <w:szCs w:val="16"/>
                <w:lang w:val="en-US"/>
              </w:rPr>
              <w:t>(not restriction or environmental restructuring)</w:t>
            </w:r>
          </w:p>
        </w:tc>
        <w:tc>
          <w:tcPr>
            <w:tcW w:w="4775" w:type="dxa"/>
            <w:gridSpan w:val="2"/>
            <w:tcBorders>
              <w:top w:val="single" w:sz="4" w:space="0" w:color="B4C6E7" w:themeColor="accent1" w:themeTint="66"/>
              <w:bottom w:val="single" w:sz="4" w:space="0" w:color="4472C4" w:themeColor="accent1"/>
            </w:tcBorders>
            <w:shd w:val="clear" w:color="auto" w:fill="auto"/>
          </w:tcPr>
          <w:p w14:paraId="679EBF4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support – unspecified (advise on, arrange or provide social support (e.g. from friends, relatives, colleagues,’ buddies’ or staff ) or non-contingent praise or reward for performance of the behaviour. It includes encouragement and counselling, but only when it is directed at the behaviour)</w:t>
            </w:r>
          </w:p>
          <w:p w14:paraId="501E0AB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2B8D361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635FF72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others’ approval (provide information about what other people think about the behaviour. The information clarifies whether others will like, approve or disapprove of what the person is doing or will do)</w:t>
            </w:r>
          </w:p>
          <w:p w14:paraId="7398755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reward (arrange verbal or non-verbal reward if and only if there has been eff ort and/or progress in performing the behaviour (includes ‘Positive reinforcement’))</w:t>
            </w:r>
          </w:p>
        </w:tc>
      </w:tr>
      <w:tr w:rsidR="00C63ACE" w:rsidRPr="00C864BD" w14:paraId="21C4B004" w14:textId="77777777" w:rsidTr="0052052E">
        <w:trPr>
          <w:trHeight w:val="224"/>
        </w:trPr>
        <w:tc>
          <w:tcPr>
            <w:tcW w:w="1759" w:type="dxa"/>
            <w:vMerge/>
            <w:tcBorders>
              <w:bottom w:val="single" w:sz="4" w:space="0" w:color="4472C4" w:themeColor="accent1"/>
            </w:tcBorders>
            <w:shd w:val="clear" w:color="auto" w:fill="auto"/>
          </w:tcPr>
          <w:p w14:paraId="12368CE1"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51C75E5E" w14:textId="77777777" w:rsidR="00C63ACE" w:rsidRPr="00C864BD" w:rsidRDefault="00C63ACE" w:rsidP="0052052E">
            <w:pPr>
              <w:spacing w:before="120" w:after="120" w:line="276" w:lineRule="auto"/>
              <w:ind w:left="140" w:right="197"/>
              <w:jc w:val="left"/>
              <w:rPr>
                <w:rFonts w:ascii="Arial" w:hAnsi="Arial" w:cs="Arial"/>
                <w:color w:val="FF0000"/>
                <w:kern w:val="24"/>
                <w:sz w:val="16"/>
                <w:szCs w:val="16"/>
              </w:rPr>
            </w:pPr>
            <w:r w:rsidRPr="00C864BD">
              <w:rPr>
                <w:rFonts w:ascii="Arial" w:hAnsi="Arial" w:cs="Arial"/>
                <w:color w:val="FF0000"/>
                <w:kern w:val="24"/>
                <w:sz w:val="16"/>
                <w:szCs w:val="16"/>
              </w:rPr>
              <w:t>Interactions with GP/ being told to change</w:t>
            </w:r>
          </w:p>
        </w:tc>
        <w:tc>
          <w:tcPr>
            <w:tcW w:w="1398" w:type="dxa"/>
            <w:tcBorders>
              <w:top w:val="single" w:sz="4" w:space="0" w:color="4472C4" w:themeColor="accent1"/>
              <w:bottom w:val="single" w:sz="4" w:space="0" w:color="4472C4" w:themeColor="accent1"/>
            </w:tcBorders>
            <w:shd w:val="clear" w:color="auto" w:fill="auto"/>
          </w:tcPr>
          <w:p w14:paraId="687C12B0"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Restriction</w:t>
            </w:r>
          </w:p>
          <w:p w14:paraId="7AE5E245"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Environmental restructuring</w:t>
            </w:r>
          </w:p>
          <w:p w14:paraId="60266654"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Modelling</w:t>
            </w:r>
          </w:p>
          <w:p w14:paraId="3C3088B2"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Enablement</w:t>
            </w:r>
          </w:p>
        </w:tc>
        <w:tc>
          <w:tcPr>
            <w:tcW w:w="4210" w:type="dxa"/>
            <w:tcBorders>
              <w:top w:val="single" w:sz="4" w:space="0" w:color="4472C4" w:themeColor="accent1"/>
              <w:bottom w:val="single" w:sz="4" w:space="0" w:color="4472C4" w:themeColor="accent1"/>
            </w:tcBorders>
          </w:tcPr>
          <w:p w14:paraId="2CF8E8E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(modelling only)</w:t>
            </w:r>
          </w:p>
          <w:p w14:paraId="640B063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15FB075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(not modelling or restriction)</w:t>
            </w:r>
          </w:p>
          <w:p w14:paraId="5A562CE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3705D45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75AFE47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Environmental/ Social planning (not modelling or restriction)</w:t>
            </w:r>
          </w:p>
          <w:p w14:paraId="77DBD74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Service provision </w:t>
            </w:r>
            <w:r w:rsidRPr="00C864BD">
              <w:rPr>
                <w:rFonts w:ascii="Arial" w:hAnsi="Arial" w:cs="Arial"/>
                <w:color w:val="262626" w:themeColor="text1" w:themeTint="D9"/>
                <w:sz w:val="16"/>
                <w:szCs w:val="16"/>
                <w:lang w:val="en-US"/>
              </w:rPr>
              <w:t>(not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47DDE3E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support – unspecified (advise on, arrange or provide social support (e.g. from friends, relatives, colleagues,’ buddies’ or staff ) or non-contingent praise or reward for performance of the behaviour. It includes encouragement and counselling, but only when it is directed at the behaviour)</w:t>
            </w:r>
          </w:p>
          <w:p w14:paraId="267D088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25BD2DA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658D879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Information about others’ approval (provide information about what other people think about the behaviour. The information </w:t>
            </w:r>
            <w:r w:rsidRPr="00C864BD">
              <w:rPr>
                <w:rFonts w:ascii="Arial" w:hAnsi="Arial" w:cs="Arial"/>
                <w:color w:val="262626" w:themeColor="text1" w:themeTint="D9"/>
                <w:kern w:val="24"/>
                <w:sz w:val="16"/>
                <w:szCs w:val="16"/>
              </w:rPr>
              <w:lastRenderedPageBreak/>
              <w:t>clarifies whether others will like, approve or disapprove of what the person is doing or will do)</w:t>
            </w:r>
          </w:p>
          <w:p w14:paraId="01973B25"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Social reward (arrange verbal or non-verbal reward if and only if there has been eff ort and/or progress in performing the behaviour (includes ‘Positive reinforcement’))</w:t>
            </w:r>
          </w:p>
        </w:tc>
      </w:tr>
      <w:tr w:rsidR="00C63ACE" w:rsidRPr="00C864BD" w14:paraId="22C53179" w14:textId="77777777" w:rsidTr="0052052E">
        <w:trPr>
          <w:cnfStyle w:val="000000100000" w:firstRow="0" w:lastRow="0" w:firstColumn="0" w:lastColumn="0" w:oddVBand="0" w:evenVBand="0" w:oddHBand="1" w:evenHBand="0" w:firstRowFirstColumn="0" w:firstRowLastColumn="0" w:lastRowFirstColumn="0" w:lastRowLastColumn="0"/>
          <w:trHeight w:val="585"/>
        </w:trPr>
        <w:tc>
          <w:tcPr>
            <w:tcW w:w="1759" w:type="dxa"/>
            <w:vMerge w:val="restart"/>
            <w:tcBorders>
              <w:top w:val="single" w:sz="4" w:space="0" w:color="4472C4" w:themeColor="accent1"/>
            </w:tcBorders>
            <w:shd w:val="clear" w:color="auto" w:fill="auto"/>
          </w:tcPr>
          <w:p w14:paraId="11A15E6D"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themeColor="dark1"/>
                <w:kern w:val="24"/>
                <w:sz w:val="16"/>
                <w:szCs w:val="16"/>
                <w:lang w:val="en-US"/>
              </w:rPr>
              <w:lastRenderedPageBreak/>
              <w:t>Beliefs about consequences (reflective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76B039D3" w14:textId="77777777" w:rsidR="00C63ACE" w:rsidRPr="00C864BD" w:rsidRDefault="00C63ACE" w:rsidP="0052052E">
            <w:pPr>
              <w:spacing w:before="120" w:after="120" w:line="276" w:lineRule="auto"/>
              <w:ind w:left="140" w:right="197"/>
              <w:jc w:val="left"/>
              <w:rPr>
                <w:rFonts w:ascii="Arial" w:hAnsi="Arial" w:cs="Arial"/>
                <w:color w:val="0070C0"/>
                <w:kern w:val="24"/>
                <w:sz w:val="16"/>
                <w:szCs w:val="16"/>
              </w:rPr>
            </w:pPr>
            <w:r w:rsidRPr="00C864BD">
              <w:rPr>
                <w:rFonts w:ascii="Arial" w:hAnsi="Arial" w:cs="Arial"/>
                <w:color w:val="0070C0"/>
                <w:kern w:val="24"/>
                <w:sz w:val="16"/>
                <w:szCs w:val="16"/>
              </w:rPr>
              <w:t>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w:t>
            </w:r>
            <w:r w:rsidRPr="00C864BD">
              <w:rPr>
                <w:rFonts w:ascii="Arial" w:hAnsi="Arial" w:cs="Arial"/>
                <w:color w:val="0070C0"/>
                <w:kern w:val="24"/>
                <w:sz w:val="16"/>
                <w:szCs w:val="16"/>
              </w:rPr>
              <w:t>s not always perceived beneficial for early detection</w:t>
            </w:r>
          </w:p>
        </w:tc>
        <w:tc>
          <w:tcPr>
            <w:tcW w:w="1398" w:type="dxa"/>
            <w:tcBorders>
              <w:top w:val="single" w:sz="4" w:space="0" w:color="4472C4" w:themeColor="accent1"/>
              <w:bottom w:val="single" w:sz="4" w:space="0" w:color="4472C4" w:themeColor="accent1"/>
            </w:tcBorders>
            <w:shd w:val="clear" w:color="auto" w:fill="auto"/>
          </w:tcPr>
          <w:p w14:paraId="61A73B04"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678FE523"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16566402"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Modelling</w:t>
            </w:r>
          </w:p>
        </w:tc>
        <w:tc>
          <w:tcPr>
            <w:tcW w:w="4210" w:type="dxa"/>
            <w:tcBorders>
              <w:top w:val="single" w:sz="4" w:space="0" w:color="4472C4" w:themeColor="accent1"/>
              <w:bottom w:val="single" w:sz="4" w:space="0" w:color="4472C4" w:themeColor="accent1"/>
            </w:tcBorders>
            <w:shd w:val="clear" w:color="auto" w:fill="auto"/>
          </w:tcPr>
          <w:p w14:paraId="0B47509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49EC26C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039832F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00E776E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4AC8977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0C668DA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5554855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Salience of consequences (use methods specifically designed to emphasise the consequences of performing the behaviour with the aim of making them more memorable (goes beyond informing about consequences))</w:t>
            </w:r>
          </w:p>
          <w:p w14:paraId="268D819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social and environmental consequences (provide information (e.g. written, verbal, visual) about social and environmental consequences of performing the behaviour)</w:t>
            </w:r>
          </w:p>
          <w:p w14:paraId="1DB0CC1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2292EA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7932375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1681585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7B2634A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03BED5F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Incentive – outcome (inform that a reward will be delivered if and only if there has been eff ort and/or progress in achieving the behavioural outcome (includes ‘positive reinforcement’))</w:t>
            </w:r>
          </w:p>
          <w:p w14:paraId="4B2342C4"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2B63DF70" w14:textId="77777777" w:rsidTr="0052052E">
        <w:trPr>
          <w:trHeight w:val="345"/>
        </w:trPr>
        <w:tc>
          <w:tcPr>
            <w:tcW w:w="1759" w:type="dxa"/>
            <w:vMerge/>
            <w:tcBorders>
              <w:bottom w:val="single" w:sz="4" w:space="0" w:color="4472C4" w:themeColor="accent1"/>
            </w:tcBorders>
            <w:shd w:val="clear" w:color="auto" w:fill="auto"/>
          </w:tcPr>
          <w:p w14:paraId="0207A163"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79C70FCE" w14:textId="77777777" w:rsidR="00C63ACE" w:rsidRPr="00C864BD" w:rsidRDefault="00C63ACE" w:rsidP="0052052E">
            <w:pPr>
              <w:spacing w:before="120" w:after="120" w:line="276" w:lineRule="auto"/>
              <w:ind w:left="140" w:right="197"/>
              <w:jc w:val="left"/>
              <w:rPr>
                <w:rFonts w:ascii="Arial" w:hAnsi="Arial" w:cs="Arial"/>
                <w:color w:val="00B050"/>
                <w:kern w:val="24"/>
                <w:sz w:val="16"/>
                <w:szCs w:val="16"/>
              </w:rPr>
            </w:pPr>
            <w:r w:rsidRPr="00C864BD">
              <w:rPr>
                <w:rFonts w:ascii="Arial" w:hAnsi="Arial" w:cs="Arial"/>
                <w:color w:val="00B050"/>
                <w:kern w:val="24"/>
                <w:sz w:val="16"/>
                <w:szCs w:val="16"/>
              </w:rPr>
              <w:t>NHS H</w:t>
            </w:r>
            <w:r>
              <w:rPr>
                <w:rFonts w:ascii="Arial" w:hAnsi="Arial" w:cs="Arial"/>
                <w:color w:val="00B050"/>
                <w:kern w:val="24"/>
                <w:sz w:val="16"/>
                <w:szCs w:val="16"/>
              </w:rPr>
              <w:t xml:space="preserve">ealth </w:t>
            </w:r>
            <w:r w:rsidRPr="00C864BD">
              <w:rPr>
                <w:rFonts w:ascii="Arial" w:hAnsi="Arial" w:cs="Arial"/>
                <w:color w:val="00B050"/>
                <w:kern w:val="24"/>
                <w:sz w:val="16"/>
                <w:szCs w:val="16"/>
              </w:rPr>
              <w:t>C</w:t>
            </w:r>
            <w:r>
              <w:rPr>
                <w:rFonts w:ascii="Arial" w:hAnsi="Arial" w:cs="Arial"/>
                <w:color w:val="00B050"/>
                <w:kern w:val="24"/>
                <w:sz w:val="16"/>
                <w:szCs w:val="16"/>
              </w:rPr>
              <w:t>heck</w:t>
            </w:r>
            <w:r w:rsidRPr="00C864BD">
              <w:rPr>
                <w:rFonts w:ascii="Arial" w:hAnsi="Arial" w:cs="Arial"/>
                <w:color w:val="00B050"/>
                <w:kern w:val="24"/>
                <w:sz w:val="16"/>
                <w:szCs w:val="16"/>
              </w:rPr>
              <w:t xml:space="preserve">s provided opportunity to be proactive about health </w:t>
            </w:r>
          </w:p>
        </w:tc>
        <w:tc>
          <w:tcPr>
            <w:tcW w:w="1398" w:type="dxa"/>
            <w:tcBorders>
              <w:top w:val="single" w:sz="4" w:space="0" w:color="4472C4" w:themeColor="accent1"/>
              <w:bottom w:val="single" w:sz="4" w:space="0" w:color="4472C4" w:themeColor="accent1"/>
            </w:tcBorders>
            <w:shd w:val="clear" w:color="auto" w:fill="auto"/>
          </w:tcPr>
          <w:p w14:paraId="64B63E8F"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3E8AD3EF"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6EF14573"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Modelling</w:t>
            </w:r>
          </w:p>
        </w:tc>
        <w:tc>
          <w:tcPr>
            <w:tcW w:w="4210" w:type="dxa"/>
            <w:tcBorders>
              <w:top w:val="single" w:sz="4" w:space="0" w:color="4472C4" w:themeColor="accent1"/>
              <w:bottom w:val="single" w:sz="4" w:space="0" w:color="4472C4" w:themeColor="accent1"/>
            </w:tcBorders>
          </w:tcPr>
          <w:p w14:paraId="39022D8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2398C14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363A72B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7B50A93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60791DD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217AA00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785A7EC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Salience of consequences (use methods specifically designed to emphasise the consequences of performing the behaviour with the aim of making them more memorable (goes beyond informing about consequences))</w:t>
            </w:r>
          </w:p>
          <w:p w14:paraId="42BEFF7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social and environmental consequences (provide information (e.g. written, verbal, visual) about social and environmental consequences of performing the behaviour)</w:t>
            </w:r>
          </w:p>
          <w:p w14:paraId="345AA03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13C0413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51934E9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1B3A249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209A576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5C17B3C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Incentive – outcome (inform that a reward will be delivered if and only if there has been eff ort and/or progress in achieving the behavioural outcome (includes ‘positive reinforcement’))</w:t>
            </w:r>
          </w:p>
          <w:p w14:paraId="1458BD5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76B155DC" w14:textId="77777777" w:rsidTr="0052052E">
        <w:trPr>
          <w:cnfStyle w:val="000000100000" w:firstRow="0" w:lastRow="0" w:firstColumn="0" w:lastColumn="0" w:oddVBand="0" w:evenVBand="0" w:oddHBand="1" w:evenHBand="0" w:firstRowFirstColumn="0" w:firstRowLastColumn="0" w:lastRowFirstColumn="0" w:lastRowLastColumn="0"/>
          <w:trHeight w:val="60"/>
        </w:trPr>
        <w:tc>
          <w:tcPr>
            <w:tcW w:w="1759" w:type="dxa"/>
            <w:vMerge w:val="restart"/>
            <w:tcBorders>
              <w:top w:val="single" w:sz="4" w:space="0" w:color="4472C4" w:themeColor="accent1"/>
            </w:tcBorders>
            <w:shd w:val="clear" w:color="auto" w:fill="auto"/>
          </w:tcPr>
          <w:p w14:paraId="317F8DB3"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themeColor="dark1"/>
                <w:kern w:val="24"/>
                <w:sz w:val="16"/>
                <w:szCs w:val="16"/>
                <w:lang w:val="en-US"/>
              </w:rPr>
              <w:lastRenderedPageBreak/>
              <w:t>Emotion (automatic motivation)</w:t>
            </w:r>
          </w:p>
        </w:tc>
        <w:tc>
          <w:tcPr>
            <w:tcW w:w="1892" w:type="dxa"/>
            <w:gridSpan w:val="2"/>
            <w:tcBorders>
              <w:top w:val="single" w:sz="4" w:space="0" w:color="4472C4" w:themeColor="accent1"/>
              <w:bottom w:val="single" w:sz="4" w:space="0" w:color="4472C4" w:themeColor="accent1"/>
            </w:tcBorders>
            <w:shd w:val="clear" w:color="auto" w:fill="auto"/>
          </w:tcPr>
          <w:p w14:paraId="056BE6D8" w14:textId="77777777" w:rsidR="00C63ACE" w:rsidRPr="00C864BD" w:rsidRDefault="00C63ACE" w:rsidP="0052052E">
            <w:pPr>
              <w:spacing w:before="120" w:after="120" w:line="276" w:lineRule="auto"/>
              <w:ind w:left="140" w:right="197"/>
              <w:jc w:val="left"/>
              <w:rPr>
                <w:rFonts w:ascii="Arial" w:hAnsi="Arial" w:cs="Arial"/>
                <w:color w:val="00B050"/>
                <w:kern w:val="24"/>
                <w:sz w:val="16"/>
                <w:szCs w:val="16"/>
              </w:rPr>
            </w:pPr>
            <w:r w:rsidRPr="00C864BD">
              <w:rPr>
                <w:rFonts w:ascii="Arial" w:hAnsi="Arial" w:cs="Arial"/>
                <w:color w:val="00B050"/>
                <w:kern w:val="24"/>
                <w:sz w:val="16"/>
                <w:szCs w:val="16"/>
              </w:rPr>
              <w:t>Anxiety at receiving high risk result</w:t>
            </w:r>
          </w:p>
        </w:tc>
        <w:tc>
          <w:tcPr>
            <w:tcW w:w="1398" w:type="dxa"/>
            <w:tcBorders>
              <w:top w:val="single" w:sz="4" w:space="0" w:color="4472C4" w:themeColor="accent1"/>
              <w:bottom w:val="single" w:sz="4" w:space="0" w:color="4472C4" w:themeColor="accent1"/>
            </w:tcBorders>
            <w:shd w:val="clear" w:color="auto" w:fill="auto"/>
          </w:tcPr>
          <w:p w14:paraId="1783A5A4"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30764EC2"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 xml:space="preserve">Incentivisation </w:t>
            </w:r>
          </w:p>
          <w:p w14:paraId="45B83B92"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Coercion</w:t>
            </w:r>
          </w:p>
          <w:p w14:paraId="47D23ABD"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Modelling</w:t>
            </w:r>
          </w:p>
          <w:p w14:paraId="6724314F"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US" w:eastAsia="ar-SA"/>
              </w:rPr>
              <w:t>Enablement</w:t>
            </w:r>
          </w:p>
        </w:tc>
        <w:tc>
          <w:tcPr>
            <w:tcW w:w="4210" w:type="dxa"/>
            <w:tcBorders>
              <w:top w:val="single" w:sz="4" w:space="0" w:color="4472C4" w:themeColor="accent1"/>
              <w:bottom w:val="single" w:sz="4" w:space="0" w:color="4472C4" w:themeColor="accent1"/>
            </w:tcBorders>
            <w:shd w:val="clear" w:color="auto" w:fill="auto"/>
          </w:tcPr>
          <w:p w14:paraId="72849CE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(not enablement)</w:t>
            </w:r>
          </w:p>
          <w:p w14:paraId="6485529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69BF507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(not persuasion or modelling)</w:t>
            </w:r>
          </w:p>
          <w:p w14:paraId="6B7FA41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1AC83BD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0EAD57D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Environmental/ Social planning (enablement only)</w:t>
            </w:r>
          </w:p>
          <w:p w14:paraId="2B0FA2A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11E0C34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Reduce negative emotions (advise on ways of reducing negative emotions to facilitate performance of the behaviour (includes ‘stress management’))</w:t>
            </w:r>
          </w:p>
        </w:tc>
      </w:tr>
      <w:tr w:rsidR="00C63ACE" w:rsidRPr="00C864BD" w14:paraId="57B26B4F" w14:textId="77777777" w:rsidTr="0052052E">
        <w:trPr>
          <w:trHeight w:val="15"/>
        </w:trPr>
        <w:tc>
          <w:tcPr>
            <w:tcW w:w="1759" w:type="dxa"/>
            <w:vMerge/>
            <w:shd w:val="clear" w:color="auto" w:fill="auto"/>
          </w:tcPr>
          <w:p w14:paraId="0C37C08D"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tcBorders>
            <w:shd w:val="clear" w:color="auto" w:fill="auto"/>
          </w:tcPr>
          <w:p w14:paraId="51E29CCA" w14:textId="77777777" w:rsidR="00C63ACE" w:rsidRPr="00C864BD" w:rsidRDefault="00C63ACE" w:rsidP="0052052E">
            <w:pPr>
              <w:spacing w:before="120" w:after="120" w:line="276" w:lineRule="auto"/>
              <w:ind w:left="140" w:right="197"/>
              <w:jc w:val="left"/>
              <w:rPr>
                <w:rFonts w:ascii="Arial" w:hAnsi="Arial" w:cs="Arial"/>
                <w:color w:val="00B050"/>
                <w:kern w:val="24"/>
                <w:sz w:val="16"/>
                <w:szCs w:val="16"/>
              </w:rPr>
            </w:pPr>
            <w:r w:rsidRPr="00C864BD">
              <w:rPr>
                <w:rFonts w:ascii="Arial" w:hAnsi="Arial" w:cs="Arial"/>
                <w:color w:val="00B050"/>
                <w:kern w:val="24"/>
                <w:sz w:val="16"/>
                <w:szCs w:val="16"/>
              </w:rPr>
              <w:t>Reassurance as a motivation to attend</w:t>
            </w:r>
          </w:p>
        </w:tc>
        <w:tc>
          <w:tcPr>
            <w:tcW w:w="1398" w:type="dxa"/>
            <w:tcBorders>
              <w:top w:val="single" w:sz="4" w:space="0" w:color="4472C4" w:themeColor="accent1"/>
            </w:tcBorders>
            <w:shd w:val="clear" w:color="auto" w:fill="auto"/>
          </w:tcPr>
          <w:p w14:paraId="7DA5DABB"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5EC5209B"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 xml:space="preserve">Incentivisation </w:t>
            </w:r>
          </w:p>
          <w:p w14:paraId="4B80D112"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Coercion</w:t>
            </w:r>
          </w:p>
          <w:p w14:paraId="27E1758F"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Modelling</w:t>
            </w:r>
          </w:p>
          <w:p w14:paraId="0F67B682"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US" w:eastAsia="ar-SA"/>
              </w:rPr>
              <w:t>Enablement</w:t>
            </w:r>
          </w:p>
        </w:tc>
        <w:tc>
          <w:tcPr>
            <w:tcW w:w="4210" w:type="dxa"/>
            <w:tcBorders>
              <w:top w:val="single" w:sz="4" w:space="0" w:color="4472C4" w:themeColor="accent1"/>
            </w:tcBorders>
          </w:tcPr>
          <w:p w14:paraId="18D15E9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(not enablement)</w:t>
            </w:r>
          </w:p>
          <w:p w14:paraId="3327682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09D3861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(not persuasion or modelling)</w:t>
            </w:r>
          </w:p>
          <w:p w14:paraId="12CB3B9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19B96AD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79449E4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Environmental/ Social planning (enablement only)</w:t>
            </w:r>
          </w:p>
          <w:p w14:paraId="58792AB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tcBorders>
            <w:shd w:val="clear" w:color="auto" w:fill="auto"/>
          </w:tcPr>
          <w:p w14:paraId="3B6974CB"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Reduce negative emotions (advise on ways of reducing negative emotions to facilitate performance of the behaviour (includes ‘stress management’))</w:t>
            </w:r>
          </w:p>
        </w:tc>
      </w:tr>
      <w:tr w:rsidR="00C63ACE" w:rsidRPr="00C864BD" w14:paraId="27AB35A6" w14:textId="77777777" w:rsidTr="0052052E">
        <w:trPr>
          <w:cnfStyle w:val="000000100000" w:firstRow="0" w:lastRow="0" w:firstColumn="0" w:lastColumn="0" w:oddVBand="0" w:evenVBand="0" w:oddHBand="1" w:evenHBand="0" w:firstRowFirstColumn="0" w:firstRowLastColumn="0" w:lastRowFirstColumn="0" w:lastRowLastColumn="0"/>
          <w:trHeight w:val="15"/>
        </w:trPr>
        <w:tc>
          <w:tcPr>
            <w:tcW w:w="9259" w:type="dxa"/>
            <w:gridSpan w:val="5"/>
          </w:tcPr>
          <w:p w14:paraId="72CB8E30" w14:textId="77777777" w:rsidR="00C63ACE" w:rsidRPr="00C864BD" w:rsidRDefault="00C63ACE" w:rsidP="0052052E">
            <w:pPr>
              <w:spacing w:before="120" w:after="120" w:line="276" w:lineRule="auto"/>
              <w:jc w:val="left"/>
              <w:rPr>
                <w:rFonts w:ascii="Arial" w:hAnsi="Arial" w:cs="Arial"/>
                <w:b/>
                <w:sz w:val="16"/>
                <w:szCs w:val="16"/>
                <w:lang w:val="en-NZ"/>
              </w:rPr>
            </w:pPr>
          </w:p>
          <w:p w14:paraId="061AB523"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b/>
                <w:sz w:val="16"/>
                <w:szCs w:val="16"/>
                <w:lang w:val="en-NZ"/>
              </w:rPr>
              <w:t>HCP delivering NHS H</w:t>
            </w:r>
            <w:r>
              <w:rPr>
                <w:rFonts w:ascii="Arial" w:hAnsi="Arial" w:cs="Arial"/>
                <w:b/>
                <w:sz w:val="16"/>
                <w:szCs w:val="16"/>
                <w:lang w:val="en-NZ"/>
              </w:rPr>
              <w:t xml:space="preserve">ealth </w:t>
            </w:r>
            <w:r w:rsidRPr="00C864BD">
              <w:rPr>
                <w:rFonts w:ascii="Arial" w:hAnsi="Arial" w:cs="Arial"/>
                <w:b/>
                <w:sz w:val="16"/>
                <w:szCs w:val="16"/>
                <w:lang w:val="en-NZ"/>
              </w:rPr>
              <w:t>C</w:t>
            </w:r>
            <w:r>
              <w:rPr>
                <w:rFonts w:ascii="Arial" w:hAnsi="Arial" w:cs="Arial"/>
                <w:b/>
                <w:sz w:val="16"/>
                <w:szCs w:val="16"/>
                <w:lang w:val="en-NZ"/>
              </w:rPr>
              <w:t>heck</w:t>
            </w:r>
          </w:p>
        </w:tc>
        <w:tc>
          <w:tcPr>
            <w:tcW w:w="4775" w:type="dxa"/>
            <w:gridSpan w:val="2"/>
          </w:tcPr>
          <w:p w14:paraId="49A3B031"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NZ"/>
              </w:rPr>
            </w:pPr>
          </w:p>
        </w:tc>
      </w:tr>
      <w:tr w:rsidR="00C63ACE" w:rsidRPr="00C864BD" w14:paraId="0FC3D6DA" w14:textId="77777777" w:rsidTr="0052052E">
        <w:trPr>
          <w:trHeight w:val="716"/>
        </w:trPr>
        <w:tc>
          <w:tcPr>
            <w:tcW w:w="1759" w:type="dxa"/>
            <w:vMerge w:val="restart"/>
            <w:shd w:val="clear" w:color="auto" w:fill="auto"/>
          </w:tcPr>
          <w:p w14:paraId="6E35DFB8"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Knowledge </w:t>
            </w:r>
            <w:r w:rsidRPr="00C864BD">
              <w:rPr>
                <w:rFonts w:ascii="Arial" w:hAnsi="Arial" w:cs="Arial"/>
                <w:color w:val="000000" w:themeColor="text1"/>
                <w:kern w:val="24"/>
                <w:sz w:val="16"/>
                <w:szCs w:val="16"/>
              </w:rPr>
              <w:t>(psychological capability)</w:t>
            </w:r>
          </w:p>
        </w:tc>
        <w:tc>
          <w:tcPr>
            <w:tcW w:w="1892" w:type="dxa"/>
            <w:gridSpan w:val="2"/>
            <w:tcBorders>
              <w:bottom w:val="single" w:sz="4" w:space="0" w:color="4472C4" w:themeColor="accent1"/>
            </w:tcBorders>
            <w:shd w:val="clear" w:color="auto" w:fill="auto"/>
          </w:tcPr>
          <w:p w14:paraId="23D47B73" w14:textId="77777777" w:rsidR="00C63ACE" w:rsidRPr="00C864BD" w:rsidRDefault="00C63ACE" w:rsidP="0052052E">
            <w:pPr>
              <w:spacing w:before="120" w:after="120" w:line="276" w:lineRule="auto"/>
              <w:ind w:right="197"/>
              <w:jc w:val="left"/>
              <w:rPr>
                <w:rFonts w:ascii="Arial" w:hAnsi="Arial" w:cs="Arial"/>
                <w:sz w:val="16"/>
                <w:szCs w:val="16"/>
                <w:lang w:val="en-NZ"/>
              </w:rPr>
            </w:pPr>
            <w:r w:rsidRPr="00C864BD">
              <w:rPr>
                <w:rFonts w:ascii="Arial" w:hAnsi="Arial" w:cs="Arial"/>
                <w:color w:val="0070C0"/>
                <w:kern w:val="24"/>
                <w:sz w:val="16"/>
                <w:szCs w:val="16"/>
              </w:rPr>
              <w:t>HCPs perceptions of patients understanding of CVD risk</w:t>
            </w:r>
          </w:p>
        </w:tc>
        <w:tc>
          <w:tcPr>
            <w:tcW w:w="1398" w:type="dxa"/>
            <w:tcBorders>
              <w:bottom w:val="single" w:sz="4" w:space="0" w:color="4472C4" w:themeColor="accent1"/>
            </w:tcBorders>
            <w:shd w:val="clear" w:color="auto" w:fill="auto"/>
          </w:tcPr>
          <w:p w14:paraId="2990A9F2" w14:textId="77777777" w:rsidR="00C63ACE" w:rsidRPr="00C864BD" w:rsidRDefault="00C63ACE" w:rsidP="0052052E">
            <w:pPr>
              <w:pStyle w:val="NormalWeb"/>
              <w:snapToGrid w:val="0"/>
              <w:spacing w:before="120" w:beforeAutospacing="0" w:after="120" w:afterAutospacing="0" w:line="276" w:lineRule="auto"/>
              <w:rPr>
                <w:rFonts w:ascii="Arial" w:hAnsi="Arial" w:cs="Arial"/>
                <w:i/>
                <w:sz w:val="16"/>
                <w:szCs w:val="16"/>
                <w:lang w:val="en-NZ"/>
              </w:rPr>
            </w:pPr>
            <w:r w:rsidRPr="00C864BD">
              <w:rPr>
                <w:rFonts w:ascii="Arial" w:hAnsi="Arial" w:cs="Arial"/>
                <w:i/>
                <w:sz w:val="16"/>
                <w:szCs w:val="16"/>
                <w:lang w:val="en-NZ"/>
              </w:rPr>
              <w:t>Education</w:t>
            </w:r>
          </w:p>
          <w:p w14:paraId="2DD4611D" w14:textId="77777777" w:rsidR="00C63ACE" w:rsidRPr="00C864BD" w:rsidRDefault="00C63ACE" w:rsidP="0052052E">
            <w:pPr>
              <w:pStyle w:val="NormalWeb"/>
              <w:snapToGrid w:val="0"/>
              <w:spacing w:before="120" w:beforeAutospacing="0" w:after="120" w:afterAutospacing="0" w:line="276" w:lineRule="auto"/>
              <w:rPr>
                <w:rFonts w:ascii="Arial" w:hAnsi="Arial" w:cs="Arial"/>
                <w:i/>
                <w:color w:val="00B050"/>
                <w:kern w:val="24"/>
                <w:sz w:val="16"/>
                <w:szCs w:val="16"/>
                <w:lang w:val="en-NZ"/>
              </w:rPr>
            </w:pPr>
          </w:p>
          <w:p w14:paraId="479E51DA" w14:textId="77777777" w:rsidR="00C63ACE" w:rsidRPr="00C864BD" w:rsidRDefault="00C63ACE" w:rsidP="0052052E">
            <w:pPr>
              <w:pStyle w:val="NormalWeb"/>
              <w:snapToGrid w:val="0"/>
              <w:spacing w:before="120" w:beforeAutospacing="0" w:after="120" w:afterAutospacing="0" w:line="276" w:lineRule="auto"/>
              <w:rPr>
                <w:rFonts w:ascii="Arial" w:hAnsi="Arial" w:cs="Arial"/>
                <w:i/>
                <w:color w:val="00B050"/>
                <w:kern w:val="24"/>
                <w:sz w:val="16"/>
                <w:szCs w:val="16"/>
                <w:lang w:val="en-NZ"/>
              </w:rPr>
            </w:pPr>
          </w:p>
          <w:p w14:paraId="1FB6FA81" w14:textId="77777777" w:rsidR="00C63ACE" w:rsidRPr="00C864BD" w:rsidRDefault="00C63ACE" w:rsidP="0052052E">
            <w:pPr>
              <w:pStyle w:val="NormalWeb"/>
              <w:snapToGrid w:val="0"/>
              <w:spacing w:before="120" w:beforeAutospacing="0" w:after="120" w:afterAutospacing="0" w:line="276" w:lineRule="auto"/>
              <w:rPr>
                <w:rFonts w:ascii="Arial" w:hAnsi="Arial" w:cs="Arial"/>
                <w:i/>
                <w:color w:val="00B050"/>
                <w:kern w:val="24"/>
                <w:sz w:val="16"/>
                <w:szCs w:val="16"/>
                <w:lang w:val="en-NZ"/>
              </w:rPr>
            </w:pPr>
          </w:p>
          <w:p w14:paraId="49B4E654" w14:textId="77777777" w:rsidR="00C63ACE" w:rsidRPr="00C864BD" w:rsidRDefault="00C63ACE" w:rsidP="0052052E">
            <w:pPr>
              <w:pStyle w:val="NormalWeb"/>
              <w:snapToGrid w:val="0"/>
              <w:spacing w:before="120" w:beforeAutospacing="0" w:after="120" w:afterAutospacing="0" w:line="276" w:lineRule="auto"/>
              <w:rPr>
                <w:rFonts w:ascii="Arial" w:hAnsi="Arial" w:cs="Arial"/>
                <w:i/>
                <w:color w:val="00B050"/>
                <w:kern w:val="24"/>
                <w:sz w:val="16"/>
                <w:szCs w:val="16"/>
              </w:rPr>
            </w:pPr>
          </w:p>
        </w:tc>
        <w:tc>
          <w:tcPr>
            <w:tcW w:w="4210" w:type="dxa"/>
            <w:tcBorders>
              <w:bottom w:val="single" w:sz="4" w:space="0" w:color="4472C4" w:themeColor="accent1"/>
            </w:tcBorders>
          </w:tcPr>
          <w:p w14:paraId="3BF4F89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Communication/ marketing</w:t>
            </w:r>
          </w:p>
          <w:p w14:paraId="3FF164B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2AB097B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53BA2BC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282DCC9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w:t>
            </w:r>
          </w:p>
        </w:tc>
        <w:tc>
          <w:tcPr>
            <w:tcW w:w="4775" w:type="dxa"/>
            <w:gridSpan w:val="2"/>
            <w:tcBorders>
              <w:bottom w:val="single" w:sz="4" w:space="0" w:color="4472C4" w:themeColor="accent1"/>
            </w:tcBorders>
            <w:shd w:val="clear" w:color="auto" w:fill="auto"/>
          </w:tcPr>
          <w:p w14:paraId="000E237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Biofeedback (provide feedback about the body (e.g. physiological or biochemical state) using an external monitoring device as part of a behaviour change strategy)</w:t>
            </w:r>
          </w:p>
          <w:p w14:paraId="3973033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Instruction on how to perform behaviour (advise or agree on how to perform the behaviour (includes ‘Skills training’))</w:t>
            </w:r>
          </w:p>
          <w:p w14:paraId="0C501CC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antecedents (provide information about antecedents)</w:t>
            </w:r>
          </w:p>
          <w:p w14:paraId="786D72D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health consequences (provide information (e.g. written, verbal, visual) about health consequences of performing the behaviour)</w:t>
            </w:r>
          </w:p>
          <w:p w14:paraId="19DC36F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Salience of consequences (use methods specifically designed to emphasise the consequences of performing the behaviour with the aim of making them more memorable (goes beyond informing about consequences))</w:t>
            </w:r>
          </w:p>
          <w:p w14:paraId="303581DD"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Information about social and environmental consequences (provide information (e.g. written, verbal, visual) about social and environmental consequences of performing the behaviour)</w:t>
            </w:r>
          </w:p>
        </w:tc>
      </w:tr>
      <w:tr w:rsidR="00C63ACE" w:rsidRPr="00C864BD" w14:paraId="5D1E5A8B" w14:textId="77777777" w:rsidTr="0052052E">
        <w:trPr>
          <w:cnfStyle w:val="000000100000" w:firstRow="0" w:lastRow="0" w:firstColumn="0" w:lastColumn="0" w:oddVBand="0" w:evenVBand="0" w:oddHBand="1" w:evenHBand="0" w:firstRowFirstColumn="0" w:firstRowLastColumn="0" w:lastRowFirstColumn="0" w:lastRowLastColumn="0"/>
          <w:trHeight w:val="567"/>
        </w:trPr>
        <w:tc>
          <w:tcPr>
            <w:tcW w:w="1759" w:type="dxa"/>
            <w:vMerge/>
            <w:tcBorders>
              <w:bottom w:val="single" w:sz="4" w:space="0" w:color="4472C4" w:themeColor="accent1"/>
            </w:tcBorders>
            <w:shd w:val="clear" w:color="auto" w:fill="auto"/>
          </w:tcPr>
          <w:p w14:paraId="67161B52"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5623067C"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HCPs familiarity with guidelines and associated tools</w:t>
            </w:r>
          </w:p>
        </w:tc>
        <w:tc>
          <w:tcPr>
            <w:tcW w:w="1398" w:type="dxa"/>
            <w:tcBorders>
              <w:top w:val="single" w:sz="4" w:space="0" w:color="4472C4" w:themeColor="accent1"/>
              <w:bottom w:val="single" w:sz="4" w:space="0" w:color="4472C4" w:themeColor="accent1"/>
            </w:tcBorders>
            <w:shd w:val="clear" w:color="auto" w:fill="auto"/>
          </w:tcPr>
          <w:p w14:paraId="18BC99E4"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Education</w:t>
            </w:r>
          </w:p>
        </w:tc>
        <w:tc>
          <w:tcPr>
            <w:tcW w:w="4210" w:type="dxa"/>
            <w:tcBorders>
              <w:top w:val="single" w:sz="4" w:space="0" w:color="4472C4" w:themeColor="accent1"/>
              <w:bottom w:val="single" w:sz="4" w:space="0" w:color="4472C4" w:themeColor="accent1"/>
            </w:tcBorders>
            <w:shd w:val="clear" w:color="auto" w:fill="auto"/>
          </w:tcPr>
          <w:p w14:paraId="1668875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Communication/ marketing</w:t>
            </w:r>
          </w:p>
          <w:p w14:paraId="431BC67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1B9A1BE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022E124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3C7F72E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0067C43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Biofeedback (provide feedback about the body (e.g. physiological or biochemical state) using an external monitoring device as part of a behaviour change strategy)</w:t>
            </w:r>
          </w:p>
          <w:p w14:paraId="27E02B1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Instruction on how to perform behaviour (advise or agree on how to perform the behaviour (includes ‘Skills training’))</w:t>
            </w:r>
          </w:p>
          <w:p w14:paraId="5DE2879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antecedents (provide information about antecedents)</w:t>
            </w:r>
          </w:p>
          <w:p w14:paraId="5677CF5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health consequences (provide information (e.g. written, verbal, visual) about health consequences of performing the behaviour)</w:t>
            </w:r>
          </w:p>
          <w:p w14:paraId="4D594A1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 xml:space="preserve">Salience of consequences (use methods specifically designed to emphasise the consequences of performing the behaviour </w:t>
            </w:r>
            <w:r w:rsidRPr="00C864BD">
              <w:rPr>
                <w:rFonts w:ascii="Arial" w:hAnsi="Arial" w:cs="Arial"/>
                <w:color w:val="262626" w:themeColor="text1" w:themeTint="D9"/>
                <w:sz w:val="16"/>
                <w:szCs w:val="16"/>
                <w:lang w:val="en-US"/>
              </w:rPr>
              <w:lastRenderedPageBreak/>
              <w:t>with the aim of making them more memorable (goes beyond informing about consequences))</w:t>
            </w:r>
          </w:p>
          <w:p w14:paraId="757D25C1"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Information about social and environmental consequences (provide information (e.g. written, verbal, visual) about social and environmental consequences of performing the behaviour)</w:t>
            </w:r>
          </w:p>
        </w:tc>
      </w:tr>
      <w:tr w:rsidR="00C63ACE" w:rsidRPr="00C864BD" w14:paraId="7C892412" w14:textId="77777777" w:rsidTr="0052052E">
        <w:trPr>
          <w:trHeight w:val="740"/>
        </w:trPr>
        <w:tc>
          <w:tcPr>
            <w:tcW w:w="1759" w:type="dxa"/>
            <w:vMerge w:val="restart"/>
            <w:tcBorders>
              <w:top w:val="single" w:sz="4" w:space="0" w:color="4472C4" w:themeColor="accent1"/>
            </w:tcBorders>
            <w:shd w:val="clear" w:color="auto" w:fill="auto"/>
          </w:tcPr>
          <w:p w14:paraId="70846308"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Cognitive and interpersonal skills </w:t>
            </w:r>
            <w:r w:rsidRPr="00C864BD">
              <w:rPr>
                <w:rFonts w:ascii="Arial" w:hAnsi="Arial" w:cs="Arial"/>
                <w:color w:val="000000" w:themeColor="text1"/>
                <w:kern w:val="24"/>
                <w:sz w:val="16"/>
                <w:szCs w:val="16"/>
              </w:rPr>
              <w:t>(psychological capability)</w:t>
            </w:r>
          </w:p>
        </w:tc>
        <w:tc>
          <w:tcPr>
            <w:tcW w:w="1892" w:type="dxa"/>
            <w:gridSpan w:val="2"/>
            <w:tcBorders>
              <w:top w:val="single" w:sz="4" w:space="0" w:color="4472C4" w:themeColor="accent1"/>
              <w:bottom w:val="single" w:sz="4" w:space="0" w:color="4472C4" w:themeColor="accent1"/>
            </w:tcBorders>
            <w:shd w:val="clear" w:color="auto" w:fill="auto"/>
          </w:tcPr>
          <w:p w14:paraId="21D81043" w14:textId="77777777" w:rsidR="00C63ACE" w:rsidRPr="00C864BD" w:rsidRDefault="00C63ACE" w:rsidP="0052052E">
            <w:pPr>
              <w:spacing w:before="120" w:after="120" w:line="276" w:lineRule="auto"/>
              <w:ind w:left="140" w:right="197"/>
              <w:jc w:val="left"/>
              <w:rPr>
                <w:rFonts w:ascii="Arial" w:hAnsi="Arial" w:cs="Arial"/>
                <w:color w:val="0070C0"/>
                <w:kern w:val="24"/>
                <w:sz w:val="16"/>
                <w:szCs w:val="16"/>
              </w:rPr>
            </w:pPr>
            <w:r w:rsidRPr="00C864BD">
              <w:rPr>
                <w:rFonts w:ascii="Arial" w:hAnsi="Arial" w:cs="Arial"/>
                <w:color w:val="0070C0"/>
                <w:kern w:val="24"/>
                <w:sz w:val="16"/>
                <w:szCs w:val="16"/>
              </w:rPr>
              <w:t>HCPs perceived need for training to deliver behavioural support</w:t>
            </w:r>
          </w:p>
        </w:tc>
        <w:tc>
          <w:tcPr>
            <w:tcW w:w="1398" w:type="dxa"/>
            <w:tcBorders>
              <w:top w:val="single" w:sz="4" w:space="0" w:color="4472C4" w:themeColor="accent1"/>
              <w:bottom w:val="single" w:sz="4" w:space="0" w:color="4472C4" w:themeColor="accent1"/>
            </w:tcBorders>
            <w:shd w:val="clear" w:color="auto" w:fill="auto"/>
          </w:tcPr>
          <w:p w14:paraId="78F4929C"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Training</w:t>
            </w:r>
          </w:p>
        </w:tc>
        <w:tc>
          <w:tcPr>
            <w:tcW w:w="4210" w:type="dxa"/>
            <w:tcBorders>
              <w:top w:val="single" w:sz="4" w:space="0" w:color="4472C4" w:themeColor="accent1"/>
              <w:bottom w:val="single" w:sz="4" w:space="0" w:color="4472C4" w:themeColor="accent1"/>
            </w:tcBorders>
          </w:tcPr>
          <w:p w14:paraId="59A9545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w:t>
            </w:r>
          </w:p>
          <w:p w14:paraId="5014AC2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w:t>
            </w:r>
          </w:p>
          <w:p w14:paraId="441C156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046DD8B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052015E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sz w:val="16"/>
                <w:szCs w:val="16"/>
                <w:lang w:val="en-US"/>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3AF56A4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Instruction on how to perform behaviour </w:t>
            </w:r>
            <w:r w:rsidRPr="00C864BD">
              <w:rPr>
                <w:rFonts w:ascii="Arial" w:hAnsi="Arial" w:cs="Arial"/>
                <w:color w:val="262626" w:themeColor="text1" w:themeTint="D9"/>
                <w:sz w:val="16"/>
                <w:szCs w:val="16"/>
                <w:lang w:val="en-US"/>
              </w:rPr>
              <w:t>(advise or agree on how to perform the behaviour (includes ‘Skills training’))</w:t>
            </w:r>
          </w:p>
          <w:p w14:paraId="73FB0F7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Behavioural practice/rehearsal (prompt practice or rehearsal of the performance of the behaviour one or more times in a context or at a time when the performance may not be necessary, in order to increase habit and skill)</w:t>
            </w:r>
          </w:p>
          <w:p w14:paraId="018C403D"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Graded tasks (set easy-to-perform tasks, making them increasingly difficult, but achievable, until behaviour is performed)</w:t>
            </w:r>
          </w:p>
        </w:tc>
      </w:tr>
      <w:tr w:rsidR="00C63ACE" w:rsidRPr="00C864BD" w14:paraId="7353B8EB" w14:textId="77777777" w:rsidTr="0052052E">
        <w:trPr>
          <w:cnfStyle w:val="000000100000" w:firstRow="0" w:lastRow="0" w:firstColumn="0" w:lastColumn="0" w:oddVBand="0" w:evenVBand="0" w:oddHBand="1" w:evenHBand="0" w:firstRowFirstColumn="0" w:firstRowLastColumn="0" w:lastRowFirstColumn="0" w:lastRowLastColumn="0"/>
          <w:trHeight w:val="585"/>
        </w:trPr>
        <w:tc>
          <w:tcPr>
            <w:tcW w:w="1759" w:type="dxa"/>
            <w:vMerge/>
            <w:tcBorders>
              <w:bottom w:val="single" w:sz="4" w:space="0" w:color="4472C4" w:themeColor="accent1"/>
            </w:tcBorders>
            <w:shd w:val="clear" w:color="auto" w:fill="auto"/>
          </w:tcPr>
          <w:p w14:paraId="3439C46C"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2731283F"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HCP training to communicate risk</w:t>
            </w:r>
          </w:p>
        </w:tc>
        <w:tc>
          <w:tcPr>
            <w:tcW w:w="1398" w:type="dxa"/>
            <w:tcBorders>
              <w:top w:val="single" w:sz="4" w:space="0" w:color="4472C4" w:themeColor="accent1"/>
              <w:bottom w:val="single" w:sz="4" w:space="0" w:color="4472C4" w:themeColor="accent1"/>
            </w:tcBorders>
            <w:shd w:val="clear" w:color="auto" w:fill="auto"/>
          </w:tcPr>
          <w:p w14:paraId="23E1B787"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Training</w:t>
            </w:r>
          </w:p>
        </w:tc>
        <w:tc>
          <w:tcPr>
            <w:tcW w:w="4210" w:type="dxa"/>
            <w:tcBorders>
              <w:top w:val="single" w:sz="4" w:space="0" w:color="4472C4" w:themeColor="accent1"/>
              <w:bottom w:val="single" w:sz="4" w:space="0" w:color="4472C4" w:themeColor="accent1"/>
            </w:tcBorders>
            <w:shd w:val="clear" w:color="auto" w:fill="auto"/>
          </w:tcPr>
          <w:p w14:paraId="254A8A3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w:t>
            </w:r>
          </w:p>
          <w:p w14:paraId="37A42C9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w:t>
            </w:r>
          </w:p>
          <w:p w14:paraId="304FEFA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05A8CB9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3797C42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sz w:val="16"/>
                <w:szCs w:val="16"/>
                <w:lang w:val="en-US"/>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544D445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Instruction on how to perform behaviour</w:t>
            </w:r>
            <w:r w:rsidRPr="00C864BD">
              <w:rPr>
                <w:rFonts w:ascii="Arial" w:hAnsi="Arial" w:cs="Arial"/>
                <w:color w:val="262626" w:themeColor="text1" w:themeTint="D9"/>
                <w:sz w:val="16"/>
                <w:szCs w:val="16"/>
                <w:lang w:val="en-US"/>
              </w:rPr>
              <w:t xml:space="preserve"> (advise or agree on how to perform the behaviour (includes ‘Skills training’))</w:t>
            </w:r>
          </w:p>
          <w:p w14:paraId="3343A99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Behavioural practice/rehearsal (prompt practice or rehearsal of the performance of the behaviour one or more times in a context or at a time when the performance may not be necessary, in order to increase habit and skill)</w:t>
            </w:r>
          </w:p>
          <w:p w14:paraId="45CD62CA"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Graded tasks (set easy-to-perform tasks, making them increasingly difficult, but achievable, until behaviour is performed)</w:t>
            </w:r>
          </w:p>
        </w:tc>
      </w:tr>
      <w:tr w:rsidR="00C63ACE" w:rsidRPr="00C864BD" w14:paraId="15A07283" w14:textId="77777777" w:rsidTr="0052052E">
        <w:trPr>
          <w:trHeight w:val="68"/>
        </w:trPr>
        <w:tc>
          <w:tcPr>
            <w:tcW w:w="1759" w:type="dxa"/>
            <w:tcBorders>
              <w:top w:val="single" w:sz="4" w:space="0" w:color="4472C4" w:themeColor="accent1"/>
              <w:bottom w:val="single" w:sz="4" w:space="0" w:color="4472C4" w:themeColor="accent1"/>
            </w:tcBorders>
            <w:shd w:val="clear" w:color="auto" w:fill="auto"/>
          </w:tcPr>
          <w:p w14:paraId="6DEA11E5" w14:textId="77777777" w:rsidR="00C63ACE" w:rsidRPr="00C864BD" w:rsidRDefault="00C63ACE" w:rsidP="0052052E">
            <w:pPr>
              <w:spacing w:before="120" w:after="120" w:line="276" w:lineRule="auto"/>
              <w:jc w:val="left"/>
              <w:rPr>
                <w:rFonts w:ascii="Arial" w:hAnsi="Arial" w:cs="Arial"/>
                <w:color w:val="0070C0"/>
                <w:sz w:val="16"/>
                <w:szCs w:val="16"/>
                <w:lang w:val="en-NZ"/>
              </w:rPr>
            </w:pPr>
            <w:r w:rsidRPr="00C864BD">
              <w:rPr>
                <w:rFonts w:ascii="Arial" w:hAnsi="Arial" w:cs="Arial"/>
                <w:color w:val="000000" w:themeColor="text1"/>
                <w:kern w:val="24"/>
                <w:sz w:val="16"/>
                <w:szCs w:val="16"/>
              </w:rPr>
              <w:t>Memory attention decision processes (psychological capability)</w:t>
            </w:r>
          </w:p>
        </w:tc>
        <w:tc>
          <w:tcPr>
            <w:tcW w:w="1892" w:type="dxa"/>
            <w:gridSpan w:val="2"/>
            <w:tcBorders>
              <w:top w:val="single" w:sz="4" w:space="0" w:color="4472C4" w:themeColor="accent1"/>
              <w:bottom w:val="single" w:sz="4" w:space="0" w:color="4472C4" w:themeColor="accent1"/>
            </w:tcBorders>
            <w:shd w:val="clear" w:color="auto" w:fill="auto"/>
          </w:tcPr>
          <w:p w14:paraId="47BD6837" w14:textId="77777777" w:rsidR="00C63ACE" w:rsidRPr="00C864BD" w:rsidRDefault="00C63ACE" w:rsidP="0052052E">
            <w:pPr>
              <w:spacing w:before="120" w:after="120" w:line="276" w:lineRule="auto"/>
              <w:ind w:left="140" w:right="197"/>
              <w:jc w:val="left"/>
              <w:rPr>
                <w:rFonts w:ascii="Arial" w:hAnsi="Arial" w:cs="Arial"/>
                <w:color w:val="0070C0"/>
                <w:sz w:val="16"/>
                <w:szCs w:val="16"/>
                <w:lang w:val="en-NZ"/>
              </w:rPr>
            </w:pPr>
            <w:r w:rsidRPr="00C864BD">
              <w:rPr>
                <w:rFonts w:ascii="Arial" w:hAnsi="Arial" w:cs="Arial"/>
                <w:color w:val="0070C0"/>
                <w:kern w:val="24"/>
                <w:sz w:val="16"/>
                <w:szCs w:val="16"/>
              </w:rPr>
              <w:t>Behavioural intervention before pharmacological intervention</w:t>
            </w:r>
          </w:p>
        </w:tc>
        <w:tc>
          <w:tcPr>
            <w:tcW w:w="1398" w:type="dxa"/>
            <w:tcBorders>
              <w:top w:val="single" w:sz="4" w:space="0" w:color="4472C4" w:themeColor="accent1"/>
              <w:bottom w:val="single" w:sz="4" w:space="0" w:color="4472C4" w:themeColor="accent1"/>
            </w:tcBorders>
            <w:shd w:val="clear" w:color="auto" w:fill="auto"/>
          </w:tcPr>
          <w:p w14:paraId="4853E0B8"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54E0CB68"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Environmental restructuring </w:t>
            </w:r>
          </w:p>
          <w:p w14:paraId="4EE84972"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tcPr>
          <w:p w14:paraId="40566D2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w:t>
            </w:r>
          </w:p>
          <w:p w14:paraId="4EA59F9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w:t>
            </w:r>
          </w:p>
          <w:p w14:paraId="42E7854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46F1859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3A9F72B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Environmental/social planning (not training)</w:t>
            </w:r>
          </w:p>
          <w:p w14:paraId="12007D1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sz w:val="16"/>
                <w:szCs w:val="16"/>
                <w:lang w:val="en-US"/>
              </w:rPr>
              <w:lastRenderedPageBreak/>
              <w:t>Service provision (not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37CAE3E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Prompts/cues</w:t>
            </w:r>
            <w:r w:rsidRPr="00C864BD">
              <w:rPr>
                <w:rFonts w:ascii="Arial" w:hAnsi="Arial" w:cs="Arial"/>
                <w:color w:val="262626" w:themeColor="text1" w:themeTint="D9"/>
                <w:sz w:val="16"/>
                <w:szCs w:val="16"/>
                <w:lang w:val="en-US"/>
              </w:rPr>
              <w:t xml:space="preserve"> (introduce or define environmental or social stimulus with the purpose of prompting or cueing the behaviour normally occurring at the time or place of performance)</w:t>
            </w:r>
          </w:p>
          <w:p w14:paraId="7D969A0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Conserving mental resources (advise on ways of minimising demands on mental resources to facilitate behaviour change)</w:t>
            </w:r>
          </w:p>
        </w:tc>
      </w:tr>
      <w:tr w:rsidR="00C63ACE" w:rsidRPr="00C864BD" w14:paraId="7D84E3FE" w14:textId="77777777" w:rsidTr="0052052E">
        <w:trPr>
          <w:cnfStyle w:val="000000100000" w:firstRow="0" w:lastRow="0" w:firstColumn="0" w:lastColumn="0" w:oddVBand="0" w:evenVBand="0" w:oddHBand="1" w:evenHBand="0" w:firstRowFirstColumn="0" w:firstRowLastColumn="0" w:lastRowFirstColumn="0" w:lastRowLastColumn="0"/>
          <w:trHeight w:val="253"/>
        </w:trPr>
        <w:tc>
          <w:tcPr>
            <w:tcW w:w="1759" w:type="dxa"/>
            <w:vMerge w:val="restart"/>
            <w:tcBorders>
              <w:top w:val="single" w:sz="4" w:space="0" w:color="4472C4" w:themeColor="accent1"/>
            </w:tcBorders>
            <w:shd w:val="clear" w:color="auto" w:fill="auto"/>
          </w:tcPr>
          <w:p w14:paraId="4755CF40"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t xml:space="preserve">Environmental context and resources </w:t>
            </w:r>
            <w:r w:rsidRPr="00C864BD">
              <w:rPr>
                <w:rFonts w:ascii="Arial" w:hAnsi="Arial" w:cs="Arial"/>
                <w:color w:val="000000" w:themeColor="text1"/>
                <w:kern w:val="24"/>
                <w:sz w:val="16"/>
                <w:szCs w:val="16"/>
                <w:lang w:val="en-US"/>
              </w:rPr>
              <w:t>(physical opportunity)</w:t>
            </w:r>
          </w:p>
        </w:tc>
        <w:tc>
          <w:tcPr>
            <w:tcW w:w="1892" w:type="dxa"/>
            <w:gridSpan w:val="2"/>
            <w:tcBorders>
              <w:top w:val="single" w:sz="4" w:space="0" w:color="4472C4" w:themeColor="accent1"/>
              <w:bottom w:val="single" w:sz="4" w:space="0" w:color="4472C4" w:themeColor="accent1"/>
            </w:tcBorders>
            <w:shd w:val="clear" w:color="auto" w:fill="auto"/>
          </w:tcPr>
          <w:p w14:paraId="41FCA4EA"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8721E8">
              <w:rPr>
                <w:rFonts w:ascii="Arial" w:hAnsi="Arial" w:cs="Arial"/>
                <w:color w:val="FF0000"/>
                <w:kern w:val="24"/>
                <w:sz w:val="16"/>
                <w:szCs w:val="16"/>
              </w:rPr>
              <w:t>Limited time/ resources to deliver NHS Health Checks</w:t>
            </w:r>
          </w:p>
        </w:tc>
        <w:tc>
          <w:tcPr>
            <w:tcW w:w="1398" w:type="dxa"/>
            <w:tcBorders>
              <w:top w:val="single" w:sz="4" w:space="0" w:color="4472C4" w:themeColor="accent1"/>
              <w:bottom w:val="single" w:sz="4" w:space="0" w:color="4472C4" w:themeColor="accent1"/>
            </w:tcBorders>
            <w:shd w:val="clear" w:color="auto" w:fill="auto"/>
          </w:tcPr>
          <w:p w14:paraId="144F769C"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4785EABB"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778ADA47"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24E4C789"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shd w:val="clear" w:color="auto" w:fill="auto"/>
          </w:tcPr>
          <w:p w14:paraId="77C7A26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40AEBFE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0B05FE6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7FFC9EC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196567A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624666A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41DC1D1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34548C5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2A99AE8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64C9CD6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2CD9F07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3FEBBFD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522C033C"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1AC719D0" w14:textId="77777777" w:rsidTr="0052052E">
        <w:trPr>
          <w:trHeight w:val="139"/>
        </w:trPr>
        <w:tc>
          <w:tcPr>
            <w:tcW w:w="1759" w:type="dxa"/>
            <w:vMerge/>
            <w:shd w:val="clear" w:color="auto" w:fill="auto"/>
          </w:tcPr>
          <w:p w14:paraId="6E2B8740"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16F08562"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Appropriate space to deliver NHS H</w:t>
            </w:r>
            <w:r>
              <w:rPr>
                <w:rFonts w:ascii="Arial" w:hAnsi="Arial" w:cs="Arial"/>
                <w:color w:val="FF0000"/>
                <w:kern w:val="24"/>
                <w:sz w:val="16"/>
                <w:szCs w:val="16"/>
              </w:rPr>
              <w:t>ealth Checks</w:t>
            </w:r>
          </w:p>
        </w:tc>
        <w:tc>
          <w:tcPr>
            <w:tcW w:w="1398" w:type="dxa"/>
            <w:tcBorders>
              <w:top w:val="single" w:sz="4" w:space="0" w:color="4472C4" w:themeColor="accent1"/>
              <w:bottom w:val="single" w:sz="4" w:space="0" w:color="4472C4" w:themeColor="accent1"/>
            </w:tcBorders>
            <w:shd w:val="clear" w:color="auto" w:fill="auto"/>
          </w:tcPr>
          <w:p w14:paraId="2439C011"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568A203F"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0C03E316"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0C2B8070"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tcPr>
          <w:p w14:paraId="7BEAFA1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00882C8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0321F71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490FF27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03D663F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lastRenderedPageBreak/>
              <w:t>Environmental/ Social planning (not training or restriction)</w:t>
            </w:r>
          </w:p>
          <w:p w14:paraId="52C4B41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5F3DE89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lastRenderedPageBreak/>
              <w:t>Social support – practical (advise on, arrange, or provide practical help (e.g. from friends, relatives, colleagues, ‘buddies’ or staff) for performance of the behaviour)</w:t>
            </w:r>
          </w:p>
          <w:p w14:paraId="6511BE7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74C445C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lastRenderedPageBreak/>
              <w:t>Remove aversive stimulus (advise or arrange for the removal of an aversive stimulus to facilitate behaviour change)</w:t>
            </w:r>
          </w:p>
          <w:p w14:paraId="28B6A54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01EEC27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3FA677B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704B7B53"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3E2A1DD0" w14:textId="77777777" w:rsidTr="0052052E">
        <w:trPr>
          <w:cnfStyle w:val="000000100000" w:firstRow="0" w:lastRow="0" w:firstColumn="0" w:lastColumn="0" w:oddVBand="0" w:evenVBand="0" w:oddHBand="1" w:evenHBand="0" w:firstRowFirstColumn="0" w:firstRowLastColumn="0" w:lastRowFirstColumn="0" w:lastRowLastColumn="0"/>
          <w:trHeight w:val="309"/>
        </w:trPr>
        <w:tc>
          <w:tcPr>
            <w:tcW w:w="1759" w:type="dxa"/>
            <w:vMerge/>
            <w:tcBorders>
              <w:bottom w:val="single" w:sz="4" w:space="0" w:color="4472C4" w:themeColor="accent1"/>
            </w:tcBorders>
            <w:shd w:val="clear" w:color="auto" w:fill="auto"/>
          </w:tcPr>
          <w:p w14:paraId="63360160"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29DF9E49"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Computer systems supporting NHS H</w:t>
            </w:r>
            <w:r>
              <w:rPr>
                <w:rFonts w:ascii="Arial" w:hAnsi="Arial" w:cs="Arial"/>
                <w:color w:val="FF0000"/>
                <w:kern w:val="24"/>
                <w:sz w:val="16"/>
                <w:szCs w:val="16"/>
              </w:rPr>
              <w:t xml:space="preserve">ealth </w:t>
            </w:r>
            <w:r w:rsidRPr="00C864BD">
              <w:rPr>
                <w:rFonts w:ascii="Arial" w:hAnsi="Arial" w:cs="Arial"/>
                <w:color w:val="FF0000"/>
                <w:kern w:val="24"/>
                <w:sz w:val="16"/>
                <w:szCs w:val="16"/>
              </w:rPr>
              <w:t>C</w:t>
            </w:r>
            <w:r>
              <w:rPr>
                <w:rFonts w:ascii="Arial" w:hAnsi="Arial" w:cs="Arial"/>
                <w:color w:val="FF0000"/>
                <w:kern w:val="24"/>
                <w:sz w:val="16"/>
                <w:szCs w:val="16"/>
              </w:rPr>
              <w:t>heck</w:t>
            </w:r>
            <w:r w:rsidRPr="00C864BD">
              <w:rPr>
                <w:rFonts w:ascii="Arial" w:hAnsi="Arial" w:cs="Arial"/>
                <w:color w:val="FF0000"/>
                <w:kern w:val="24"/>
                <w:sz w:val="16"/>
                <w:szCs w:val="16"/>
              </w:rPr>
              <w:t xml:space="preserve"> delivery</w:t>
            </w:r>
          </w:p>
        </w:tc>
        <w:tc>
          <w:tcPr>
            <w:tcW w:w="1398" w:type="dxa"/>
            <w:tcBorders>
              <w:top w:val="single" w:sz="4" w:space="0" w:color="4472C4" w:themeColor="accent1"/>
              <w:bottom w:val="single" w:sz="4" w:space="0" w:color="4472C4" w:themeColor="accent1"/>
            </w:tcBorders>
            <w:shd w:val="clear" w:color="auto" w:fill="auto"/>
          </w:tcPr>
          <w:p w14:paraId="02C82B44"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543093E3"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66A6508B"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156CD69D"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shd w:val="clear" w:color="auto" w:fill="auto"/>
          </w:tcPr>
          <w:p w14:paraId="0B72110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320380F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4B77A4F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4800E07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64B0004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4F08B0B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1B6F2F8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137FDF0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2B9B1EB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78F5A41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02A5429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lastRenderedPageBreak/>
              <w:t>Restructuring the social environment (change, or advise to change the social environment in order to facilitate performance of the wanted behaviour or create barriers to the unwanted behaviour (other than prompts/cues, rewards and punishments)</w:t>
            </w:r>
          </w:p>
          <w:p w14:paraId="18F7E60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79409892"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4A782D42" w14:textId="77777777" w:rsidTr="0052052E">
        <w:trPr>
          <w:trHeight w:val="759"/>
        </w:trPr>
        <w:tc>
          <w:tcPr>
            <w:tcW w:w="1759" w:type="dxa"/>
            <w:tcBorders>
              <w:top w:val="single" w:sz="4" w:space="0" w:color="4472C4" w:themeColor="accent1"/>
              <w:bottom w:val="single" w:sz="4" w:space="0" w:color="4472C4" w:themeColor="accent1"/>
            </w:tcBorders>
            <w:shd w:val="clear" w:color="auto" w:fill="auto"/>
          </w:tcPr>
          <w:p w14:paraId="70C6894E"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Social influences </w:t>
            </w:r>
            <w:r w:rsidRPr="00C864BD">
              <w:rPr>
                <w:rFonts w:ascii="Arial" w:eastAsiaTheme="minorEastAsia" w:hAnsi="Arial" w:cs="Arial"/>
                <w:color w:val="000000" w:themeColor="text1"/>
                <w:kern w:val="24"/>
                <w:sz w:val="16"/>
                <w:szCs w:val="16"/>
                <w:lang w:val="en-US"/>
              </w:rPr>
              <w:t>(social opportunity)</w:t>
            </w:r>
          </w:p>
        </w:tc>
        <w:tc>
          <w:tcPr>
            <w:tcW w:w="1892" w:type="dxa"/>
            <w:gridSpan w:val="2"/>
            <w:tcBorders>
              <w:top w:val="single" w:sz="4" w:space="0" w:color="4472C4" w:themeColor="accent1"/>
              <w:bottom w:val="single" w:sz="4" w:space="0" w:color="4472C4" w:themeColor="accent1"/>
            </w:tcBorders>
            <w:shd w:val="clear" w:color="auto" w:fill="auto"/>
          </w:tcPr>
          <w:p w14:paraId="0B8E5FE3"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 xml:space="preserve">Taking account of patients' social context </w:t>
            </w:r>
          </w:p>
        </w:tc>
        <w:tc>
          <w:tcPr>
            <w:tcW w:w="1398" w:type="dxa"/>
            <w:tcBorders>
              <w:top w:val="single" w:sz="4" w:space="0" w:color="4472C4" w:themeColor="accent1"/>
              <w:bottom w:val="single" w:sz="4" w:space="0" w:color="4472C4" w:themeColor="accent1"/>
            </w:tcBorders>
            <w:shd w:val="clear" w:color="auto" w:fill="auto"/>
          </w:tcPr>
          <w:p w14:paraId="70014654"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Restriction</w:t>
            </w:r>
          </w:p>
          <w:p w14:paraId="7BF3ED90"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Environmental restructuring</w:t>
            </w:r>
          </w:p>
          <w:p w14:paraId="57EDA0A0"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Modelling</w:t>
            </w:r>
          </w:p>
          <w:p w14:paraId="523808F1" w14:textId="77777777" w:rsidR="00C63ACE" w:rsidRPr="00C864BD" w:rsidRDefault="00C63ACE" w:rsidP="0052052E">
            <w:pPr>
              <w:snapToGrid w:val="0"/>
              <w:spacing w:before="120" w:after="120" w:line="276" w:lineRule="auto"/>
              <w:jc w:val="left"/>
              <w:rPr>
                <w:rFonts w:ascii="Arial" w:hAnsi="Arial" w:cs="Arial"/>
                <w:i/>
                <w:color w:val="FF0000"/>
                <w:kern w:val="24"/>
                <w:sz w:val="16"/>
                <w:szCs w:val="16"/>
              </w:rPr>
            </w:pPr>
            <w:r w:rsidRPr="00C864BD">
              <w:rPr>
                <w:rFonts w:ascii="Arial" w:hAnsi="Arial" w:cs="Arial"/>
                <w:i/>
                <w:sz w:val="16"/>
                <w:szCs w:val="16"/>
                <w:lang w:val="en-NZ"/>
              </w:rPr>
              <w:t>Enablement</w:t>
            </w:r>
          </w:p>
        </w:tc>
        <w:tc>
          <w:tcPr>
            <w:tcW w:w="4210" w:type="dxa"/>
            <w:tcBorders>
              <w:top w:val="single" w:sz="4" w:space="0" w:color="4472C4" w:themeColor="accent1"/>
              <w:bottom w:val="single" w:sz="4" w:space="0" w:color="4472C4" w:themeColor="accent1"/>
            </w:tcBorders>
          </w:tcPr>
          <w:p w14:paraId="4ABBF83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(modelling only)</w:t>
            </w:r>
          </w:p>
          <w:p w14:paraId="282D463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6BEAB03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(not modelling or restriction)</w:t>
            </w:r>
          </w:p>
          <w:p w14:paraId="25766BA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4B0D628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5B8A967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Environmental/ Social planning (not modelling or restriction)</w:t>
            </w:r>
          </w:p>
          <w:p w14:paraId="6EBBF60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Service provision </w:t>
            </w:r>
            <w:r w:rsidRPr="00C864BD">
              <w:rPr>
                <w:rFonts w:ascii="Arial" w:hAnsi="Arial" w:cs="Arial"/>
                <w:color w:val="262626" w:themeColor="text1" w:themeTint="D9"/>
                <w:sz w:val="16"/>
                <w:szCs w:val="16"/>
                <w:lang w:val="en-US"/>
              </w:rPr>
              <w:t>(not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3BDA425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support – unspecified (advise on, arrange or provide social support (e.g. from friends, relatives, colleagues,’ buddies’ or staff ) or non-contingent praise or reward for performance of the behaviour. It includes encouragement and counselling, but only when it is directed at the behaviour)</w:t>
            </w:r>
          </w:p>
          <w:p w14:paraId="3F3098C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46616CC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2296AC0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others’ approval (provide information about what other people think about the behaviour. The information clarifies whether others will like, approve or disapprove of what the person is doing or will do)</w:t>
            </w:r>
          </w:p>
          <w:p w14:paraId="0952D9BF"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Social reward (arrange verbal or non-verbal reward if and only if there has been eff ort and/or progress in performing the behaviour (includes ‘Positive reinforcement’))</w:t>
            </w:r>
          </w:p>
        </w:tc>
      </w:tr>
      <w:tr w:rsidR="00C63ACE" w:rsidRPr="00C864BD" w14:paraId="485A057B" w14:textId="77777777" w:rsidTr="0052052E">
        <w:trPr>
          <w:cnfStyle w:val="000000100000" w:firstRow="0" w:lastRow="0" w:firstColumn="0" w:lastColumn="0" w:oddVBand="0" w:evenVBand="0" w:oddHBand="1" w:evenHBand="0" w:firstRowFirstColumn="0" w:firstRowLastColumn="0" w:lastRowFirstColumn="0" w:lastRowLastColumn="0"/>
          <w:trHeight w:val="240"/>
        </w:trPr>
        <w:tc>
          <w:tcPr>
            <w:tcW w:w="1759" w:type="dxa"/>
            <w:vMerge w:val="restart"/>
            <w:tcBorders>
              <w:top w:val="single" w:sz="4" w:space="0" w:color="4472C4" w:themeColor="accent1"/>
            </w:tcBorders>
            <w:shd w:val="clear" w:color="auto" w:fill="auto"/>
          </w:tcPr>
          <w:p w14:paraId="7F6D11A4"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t xml:space="preserve">Social/professional role and identity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164ACA86"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B050"/>
                <w:kern w:val="24"/>
                <w:sz w:val="16"/>
                <w:szCs w:val="16"/>
              </w:rPr>
              <w:t>Role clarity in delivering NHS H</w:t>
            </w:r>
            <w:r>
              <w:rPr>
                <w:rFonts w:ascii="Arial" w:hAnsi="Arial" w:cs="Arial"/>
                <w:color w:val="00B050"/>
                <w:kern w:val="24"/>
                <w:sz w:val="16"/>
                <w:szCs w:val="16"/>
              </w:rPr>
              <w:t xml:space="preserve">ealth </w:t>
            </w:r>
            <w:r w:rsidRPr="00C864BD">
              <w:rPr>
                <w:rFonts w:ascii="Arial" w:hAnsi="Arial" w:cs="Arial"/>
                <w:color w:val="00B050"/>
                <w:kern w:val="24"/>
                <w:sz w:val="16"/>
                <w:szCs w:val="16"/>
              </w:rPr>
              <w:t>C</w:t>
            </w:r>
            <w:r>
              <w:rPr>
                <w:rFonts w:ascii="Arial" w:hAnsi="Arial" w:cs="Arial"/>
                <w:color w:val="00B050"/>
                <w:kern w:val="24"/>
                <w:sz w:val="16"/>
                <w:szCs w:val="16"/>
              </w:rPr>
              <w:t>heck</w:t>
            </w:r>
            <w:r w:rsidRPr="00C864BD">
              <w:rPr>
                <w:rFonts w:ascii="Arial" w:hAnsi="Arial" w:cs="Arial"/>
                <w:color w:val="00B050"/>
                <w:kern w:val="24"/>
                <w:sz w:val="16"/>
                <w:szCs w:val="16"/>
              </w:rPr>
              <w:t>s</w:t>
            </w:r>
          </w:p>
        </w:tc>
        <w:tc>
          <w:tcPr>
            <w:tcW w:w="1398" w:type="dxa"/>
            <w:tcBorders>
              <w:top w:val="single" w:sz="4" w:space="0" w:color="4472C4" w:themeColor="accent1"/>
              <w:bottom w:val="single" w:sz="4" w:space="0" w:color="4472C4" w:themeColor="accent1"/>
            </w:tcBorders>
            <w:shd w:val="clear" w:color="auto" w:fill="auto"/>
          </w:tcPr>
          <w:p w14:paraId="4E483997"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43D63790"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0C1E63C3"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US" w:eastAsia="ar-SA"/>
              </w:rPr>
              <w:lastRenderedPageBreak/>
              <w:t>Modelling</w:t>
            </w:r>
          </w:p>
        </w:tc>
        <w:tc>
          <w:tcPr>
            <w:tcW w:w="4210" w:type="dxa"/>
            <w:tcBorders>
              <w:top w:val="single" w:sz="4" w:space="0" w:color="4472C4" w:themeColor="accent1"/>
              <w:bottom w:val="single" w:sz="4" w:space="0" w:color="4472C4" w:themeColor="accent1"/>
            </w:tcBorders>
            <w:shd w:val="clear" w:color="auto" w:fill="auto"/>
          </w:tcPr>
          <w:p w14:paraId="04E5D82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Communication/ marketing</w:t>
            </w:r>
          </w:p>
          <w:p w14:paraId="00A21F5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669A32C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Regulation (not modelling)</w:t>
            </w:r>
          </w:p>
          <w:p w14:paraId="449A45F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6D7B2C4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295FBE2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 xml:space="preserve">Social support – unspecified (advise on, arrange or provide social support (e.g. from friends, relatives, colleagues,’ buddies’ or staff ) or non-contingent praise or reward for performance of </w:t>
            </w:r>
            <w:r w:rsidRPr="00C864BD">
              <w:rPr>
                <w:rFonts w:ascii="Arial" w:hAnsi="Arial" w:cs="Arial"/>
                <w:color w:val="262626" w:themeColor="text1" w:themeTint="D9"/>
                <w:kern w:val="24"/>
                <w:sz w:val="16"/>
                <w:szCs w:val="16"/>
              </w:rPr>
              <w:lastRenderedPageBreak/>
              <w:t>the behaviour. It includes encouragement and counselling, but only when it is directed at the behaviour)**</w:t>
            </w:r>
          </w:p>
          <w:p w14:paraId="590E7D9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1BF3DB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Credible source (present verbal or visual communication from a credible source in favour of or against the behaviour)**</w:t>
            </w:r>
          </w:p>
          <w:p w14:paraId="752FDDB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Identity associated with changed behaviour (advise the person to construct a new self-identity as someone who ‘used to engage with the unwanted behaviour’)**</w:t>
            </w:r>
          </w:p>
        </w:tc>
      </w:tr>
      <w:tr w:rsidR="00C63ACE" w:rsidRPr="00C864BD" w14:paraId="58B0B7ED" w14:textId="77777777" w:rsidTr="0052052E">
        <w:trPr>
          <w:trHeight w:val="139"/>
        </w:trPr>
        <w:tc>
          <w:tcPr>
            <w:tcW w:w="1759" w:type="dxa"/>
            <w:vMerge/>
            <w:tcBorders>
              <w:bottom w:val="single" w:sz="4" w:space="0" w:color="4472C4" w:themeColor="accent1"/>
            </w:tcBorders>
            <w:shd w:val="clear" w:color="auto" w:fill="auto"/>
          </w:tcPr>
          <w:p w14:paraId="40912284"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1AE5EBD6"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B050"/>
                <w:kern w:val="24"/>
                <w:sz w:val="16"/>
                <w:szCs w:val="16"/>
              </w:rPr>
              <w:t xml:space="preserve">Diversification of pharmacy staff role </w:t>
            </w:r>
          </w:p>
        </w:tc>
        <w:tc>
          <w:tcPr>
            <w:tcW w:w="1398" w:type="dxa"/>
            <w:tcBorders>
              <w:top w:val="single" w:sz="4" w:space="0" w:color="4472C4" w:themeColor="accent1"/>
              <w:bottom w:val="single" w:sz="4" w:space="0" w:color="4472C4" w:themeColor="accent1"/>
            </w:tcBorders>
            <w:shd w:val="clear" w:color="auto" w:fill="auto"/>
          </w:tcPr>
          <w:p w14:paraId="019527F8"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522B038C"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57340360"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US" w:eastAsia="ar-SA"/>
              </w:rPr>
              <w:t>Modelling</w:t>
            </w:r>
          </w:p>
        </w:tc>
        <w:tc>
          <w:tcPr>
            <w:tcW w:w="4210" w:type="dxa"/>
            <w:tcBorders>
              <w:top w:val="single" w:sz="4" w:space="0" w:color="4472C4" w:themeColor="accent1"/>
              <w:bottom w:val="single" w:sz="4" w:space="0" w:color="4472C4" w:themeColor="accent1"/>
            </w:tcBorders>
          </w:tcPr>
          <w:p w14:paraId="0172664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1CCB451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3D25F77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749293F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364327B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4957B8A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support – unspecified (advise on, arrange or provide social support (e.g. from friends, relatives, colleagues,’ buddies’ or staff ) or non-contingent praise or reward for performance of the behaviour. It includes encouragement and counselling, but only when it is directed at the behaviour)**</w:t>
            </w:r>
          </w:p>
          <w:p w14:paraId="4553AD5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362DD82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Credible source (present verbal or visual communication from a credible source in favour of or against the behaviour)**</w:t>
            </w:r>
          </w:p>
          <w:p w14:paraId="17CAC33D"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Identity associated with changed behaviour (advise the person to construct a new self-identity as someone who ‘used to engage with the unwanted behaviour’)**</w:t>
            </w:r>
          </w:p>
        </w:tc>
      </w:tr>
      <w:tr w:rsidR="00C63ACE" w:rsidRPr="00C864BD" w14:paraId="04ADB177" w14:textId="77777777" w:rsidTr="0052052E">
        <w:trPr>
          <w:cnfStyle w:val="000000100000" w:firstRow="0" w:lastRow="0" w:firstColumn="0" w:lastColumn="0" w:oddVBand="0" w:evenVBand="0" w:oddHBand="1" w:evenHBand="0" w:firstRowFirstColumn="0" w:firstRowLastColumn="0" w:lastRowFirstColumn="0" w:lastRowLastColumn="0"/>
          <w:trHeight w:val="98"/>
        </w:trPr>
        <w:tc>
          <w:tcPr>
            <w:tcW w:w="1759" w:type="dxa"/>
            <w:tcBorders>
              <w:top w:val="single" w:sz="4" w:space="0" w:color="4472C4" w:themeColor="accent1"/>
            </w:tcBorders>
            <w:shd w:val="clear" w:color="auto" w:fill="auto"/>
          </w:tcPr>
          <w:p w14:paraId="0E8CE4DB"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t xml:space="preserve">Beliefs about consequences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4E344C4C"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Belief that 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w:t>
            </w:r>
            <w:r w:rsidRPr="00C864BD">
              <w:rPr>
                <w:rFonts w:ascii="Arial" w:hAnsi="Arial" w:cs="Arial"/>
                <w:color w:val="0070C0"/>
                <w:kern w:val="24"/>
                <w:sz w:val="16"/>
                <w:szCs w:val="16"/>
              </w:rPr>
              <w:t xml:space="preserve">s were beneficial in terms of preventive healthcare </w:t>
            </w:r>
          </w:p>
        </w:tc>
        <w:tc>
          <w:tcPr>
            <w:tcW w:w="1398" w:type="dxa"/>
            <w:tcBorders>
              <w:top w:val="single" w:sz="4" w:space="0" w:color="4472C4" w:themeColor="accent1"/>
              <w:bottom w:val="single" w:sz="4" w:space="0" w:color="4472C4" w:themeColor="accent1"/>
            </w:tcBorders>
            <w:shd w:val="clear" w:color="auto" w:fill="auto"/>
          </w:tcPr>
          <w:p w14:paraId="475FD5ED"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429EC887"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607FBE4E"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Modelling</w:t>
            </w:r>
          </w:p>
        </w:tc>
        <w:tc>
          <w:tcPr>
            <w:tcW w:w="4210" w:type="dxa"/>
            <w:tcBorders>
              <w:top w:val="single" w:sz="4" w:space="0" w:color="4472C4" w:themeColor="accent1"/>
              <w:bottom w:val="single" w:sz="4" w:space="0" w:color="4472C4" w:themeColor="accent1"/>
            </w:tcBorders>
            <w:shd w:val="clear" w:color="auto" w:fill="auto"/>
          </w:tcPr>
          <w:p w14:paraId="1FB4995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6E6A903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092C6FD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08CC6D4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2589A15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2BFEC72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682A8FA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Salience of consequences (use methods specifically designed to emphasise the consequences of performing the behaviour with the aim of making them more memorable (goes beyond informing about consequences))</w:t>
            </w:r>
          </w:p>
          <w:p w14:paraId="43D7241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Information about social and environmental consequences (provide information (e.g. written, verbal, visual) about social and environmental consequences of performing the behaviour)</w:t>
            </w:r>
          </w:p>
          <w:p w14:paraId="2F902EF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4966A4C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01CD3BF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3982575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585E3C1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32341CC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p w14:paraId="14405FF3"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190C71CD" w14:textId="77777777" w:rsidTr="0052052E">
        <w:trPr>
          <w:trHeight w:val="654"/>
        </w:trPr>
        <w:tc>
          <w:tcPr>
            <w:tcW w:w="1759" w:type="dxa"/>
            <w:tcBorders>
              <w:bottom w:val="single" w:sz="4" w:space="0" w:color="4472C4" w:themeColor="accent1"/>
            </w:tcBorders>
            <w:shd w:val="clear" w:color="auto" w:fill="auto"/>
          </w:tcPr>
          <w:p w14:paraId="167DE0F3"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762B7F06"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Message framing</w:t>
            </w:r>
          </w:p>
        </w:tc>
        <w:tc>
          <w:tcPr>
            <w:tcW w:w="1398" w:type="dxa"/>
            <w:tcBorders>
              <w:top w:val="single" w:sz="4" w:space="0" w:color="4472C4" w:themeColor="accent1"/>
              <w:bottom w:val="single" w:sz="4" w:space="0" w:color="4472C4" w:themeColor="accent1"/>
            </w:tcBorders>
            <w:shd w:val="clear" w:color="auto" w:fill="auto"/>
          </w:tcPr>
          <w:p w14:paraId="7DB50495"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247DCEA1"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096CABC4"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Modelling</w:t>
            </w:r>
          </w:p>
        </w:tc>
        <w:tc>
          <w:tcPr>
            <w:tcW w:w="4210" w:type="dxa"/>
            <w:tcBorders>
              <w:top w:val="single" w:sz="4" w:space="0" w:color="4472C4" w:themeColor="accent1"/>
              <w:bottom w:val="single" w:sz="4" w:space="0" w:color="4472C4" w:themeColor="accent1"/>
            </w:tcBorders>
          </w:tcPr>
          <w:p w14:paraId="2906374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6E84482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63D20A4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0BE1A33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6A3EF86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0CCD551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3C458DD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Salience of consequences (use methods specifically designed to emphasise the consequences of performing the behaviour with the aim of making them more memorable (goes beyond informing about consequences))</w:t>
            </w:r>
          </w:p>
          <w:p w14:paraId="535E9BE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Information about social and environmental consequences (provide information (e.g. written, verbal, visual) about social and environmental consequences of performing the behaviour)</w:t>
            </w:r>
          </w:p>
          <w:p w14:paraId="6F9025B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0802CE4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6EB0E8B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13DD7E2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333DF37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6AB2E14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p w14:paraId="6B78EC41"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2590BCA7" w14:textId="77777777" w:rsidTr="0052052E">
        <w:trPr>
          <w:cnfStyle w:val="000000100000" w:firstRow="0" w:lastRow="0" w:firstColumn="0" w:lastColumn="0" w:oddVBand="0" w:evenVBand="0" w:oddHBand="1" w:evenHBand="0" w:firstRowFirstColumn="0" w:firstRowLastColumn="0" w:lastRowFirstColumn="0" w:lastRowLastColumn="0"/>
          <w:trHeight w:val="382"/>
        </w:trPr>
        <w:tc>
          <w:tcPr>
            <w:tcW w:w="1759" w:type="dxa"/>
            <w:tcBorders>
              <w:top w:val="single" w:sz="4" w:space="0" w:color="4472C4" w:themeColor="accent1"/>
              <w:bottom w:val="single" w:sz="4" w:space="0" w:color="4472C4" w:themeColor="accent1"/>
            </w:tcBorders>
            <w:shd w:val="clear" w:color="auto" w:fill="auto"/>
          </w:tcPr>
          <w:p w14:paraId="0D768670" w14:textId="77777777" w:rsidR="00C63ACE" w:rsidRPr="00C864BD" w:rsidRDefault="00C63ACE" w:rsidP="0052052E">
            <w:pPr>
              <w:spacing w:before="120" w:after="120" w:line="276" w:lineRule="auto"/>
              <w:jc w:val="left"/>
              <w:rPr>
                <w:rFonts w:ascii="Arial" w:hAnsi="Arial" w:cs="Arial"/>
                <w:color w:val="000000"/>
                <w:kern w:val="24"/>
                <w:sz w:val="16"/>
                <w:szCs w:val="16"/>
              </w:rPr>
            </w:pPr>
            <w:r w:rsidRPr="00C864BD">
              <w:rPr>
                <w:rFonts w:ascii="Arial" w:hAnsi="Arial" w:cs="Arial"/>
                <w:color w:val="000000"/>
                <w:kern w:val="24"/>
                <w:sz w:val="16"/>
                <w:szCs w:val="16"/>
              </w:rPr>
              <w:lastRenderedPageBreak/>
              <w:t xml:space="preserve">Beliefs about capabilities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17103CAC" w14:textId="77777777" w:rsidR="00C63ACE" w:rsidRPr="00C864BD" w:rsidRDefault="00C63ACE" w:rsidP="0052052E">
            <w:pPr>
              <w:spacing w:before="120" w:after="120" w:line="276" w:lineRule="auto"/>
              <w:ind w:left="140" w:right="197"/>
              <w:jc w:val="left"/>
              <w:rPr>
                <w:rFonts w:ascii="Arial" w:hAnsi="Arial" w:cs="Arial"/>
                <w:color w:val="0070C0"/>
                <w:kern w:val="24"/>
                <w:sz w:val="16"/>
                <w:szCs w:val="16"/>
              </w:rPr>
            </w:pPr>
            <w:r w:rsidRPr="00C864BD">
              <w:rPr>
                <w:rFonts w:ascii="Arial" w:hAnsi="Arial" w:cs="Arial"/>
                <w:color w:val="0070C0"/>
                <w:kern w:val="24"/>
                <w:sz w:val="16"/>
                <w:szCs w:val="16"/>
              </w:rPr>
              <w:t>HCP confidence in discussing and initiating behaviour change</w:t>
            </w:r>
          </w:p>
        </w:tc>
        <w:tc>
          <w:tcPr>
            <w:tcW w:w="1398" w:type="dxa"/>
            <w:tcBorders>
              <w:top w:val="single" w:sz="4" w:space="0" w:color="4472C4" w:themeColor="accent1"/>
              <w:bottom w:val="single" w:sz="4" w:space="0" w:color="4472C4" w:themeColor="accent1"/>
            </w:tcBorders>
            <w:shd w:val="clear" w:color="auto" w:fill="auto"/>
          </w:tcPr>
          <w:p w14:paraId="64F45EFC"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0DECD4D9"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51AE4081"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Modelling</w:t>
            </w:r>
          </w:p>
          <w:p w14:paraId="24ED6D21" w14:textId="77777777" w:rsidR="00C63ACE" w:rsidRPr="00C864BD" w:rsidRDefault="00C63ACE" w:rsidP="0052052E">
            <w:pPr>
              <w:snapToGrid w:val="0"/>
              <w:spacing w:before="120" w:after="120" w:line="276" w:lineRule="auto"/>
              <w:jc w:val="left"/>
              <w:rPr>
                <w:rFonts w:ascii="Arial" w:hAnsi="Arial" w:cs="Arial"/>
                <w:i/>
                <w:color w:val="00B050"/>
                <w:kern w:val="24"/>
                <w:sz w:val="16"/>
                <w:szCs w:val="16"/>
              </w:rPr>
            </w:pPr>
            <w:r w:rsidRPr="00C864BD">
              <w:rPr>
                <w:rFonts w:ascii="Arial" w:hAnsi="Arial" w:cs="Arial"/>
                <w:i/>
                <w:sz w:val="16"/>
                <w:szCs w:val="16"/>
                <w:lang w:val="en-US" w:eastAsia="ar-SA"/>
              </w:rPr>
              <w:t>Enablement</w:t>
            </w:r>
          </w:p>
        </w:tc>
        <w:tc>
          <w:tcPr>
            <w:tcW w:w="4210" w:type="dxa"/>
            <w:tcBorders>
              <w:top w:val="single" w:sz="4" w:space="0" w:color="4472C4" w:themeColor="accent1"/>
              <w:bottom w:val="single" w:sz="4" w:space="0" w:color="4472C4" w:themeColor="accent1"/>
            </w:tcBorders>
            <w:shd w:val="clear" w:color="auto" w:fill="auto"/>
          </w:tcPr>
          <w:p w14:paraId="438063C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(not enablement)</w:t>
            </w:r>
          </w:p>
          <w:p w14:paraId="2F80AC8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766670D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(enablement only)</w:t>
            </w:r>
          </w:p>
          <w:p w14:paraId="530470E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6C6C24C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0BCB145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 xml:space="preserve">Environmental /social planning (enablement only) </w:t>
            </w:r>
          </w:p>
          <w:p w14:paraId="08D772B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4C58CA0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Problem solving (analyse, or prompt the person to analyse, factors influencing the behaviour and generate or select strategies that include overcoming barriers and/or increasing facilitators (includes ‘relapse prevention’ and ‘coping planning’))</w:t>
            </w:r>
          </w:p>
          <w:p w14:paraId="054AFF1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kern w:val="24"/>
                <w:sz w:val="16"/>
                <w:szCs w:val="16"/>
              </w:rPr>
              <w:t xml:space="preserve">Instruction on how to perform behaviour </w:t>
            </w:r>
            <w:r w:rsidRPr="00C864BD">
              <w:rPr>
                <w:rFonts w:ascii="Arial" w:hAnsi="Arial" w:cs="Arial"/>
                <w:color w:val="262626" w:themeColor="text1" w:themeTint="D9"/>
                <w:sz w:val="16"/>
                <w:szCs w:val="16"/>
                <w:lang w:val="en-US"/>
              </w:rPr>
              <w:t>(advise or agree on how to perform the behaviour (includes ‘Skills training’))</w:t>
            </w:r>
          </w:p>
          <w:p w14:paraId="292967C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Demonstration of the behaviour (provide an observable sample of the performance of the behaviour, directly in person or indirectly e.g. via film, pictures, for the person to aspire to or imitate (includes ‘modelling’))</w:t>
            </w:r>
          </w:p>
          <w:p w14:paraId="347E32C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Behavioural practice/rehearsal (prompt practice or rehearsal of the performance of the behaviour one or more times in a context or at a time when the performance may not be necessary, in order to increase habit and skill)</w:t>
            </w:r>
          </w:p>
          <w:p w14:paraId="686DCF3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Graded tasks (set easy-to-perform tasks, making them increasingly difficult, but achievable, until behaviour is performed)</w:t>
            </w:r>
          </w:p>
          <w:p w14:paraId="57B30DD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Verbal persuasion about capability (tell the person that they can successfully perform the wanted behaviour, arguing against self-doubts and asserting that they can and will succeed)</w:t>
            </w:r>
          </w:p>
          <w:p w14:paraId="0B26553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Focus on past success (advise to think about or list previous successes in performing the behaviour (or parts of it))</w:t>
            </w:r>
          </w:p>
          <w:p w14:paraId="58A0A2C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Self-talk (prompt positive self-talk (aloud or silently) before and during the behaviour)</w:t>
            </w:r>
          </w:p>
        </w:tc>
      </w:tr>
      <w:tr w:rsidR="00C63ACE" w:rsidRPr="00C864BD" w14:paraId="216D4FF4" w14:textId="77777777" w:rsidTr="0052052E">
        <w:trPr>
          <w:trHeight w:val="665"/>
        </w:trPr>
        <w:tc>
          <w:tcPr>
            <w:tcW w:w="1759" w:type="dxa"/>
            <w:tcBorders>
              <w:top w:val="single" w:sz="4" w:space="0" w:color="4472C4" w:themeColor="accent1"/>
            </w:tcBorders>
            <w:shd w:val="clear" w:color="auto" w:fill="auto"/>
          </w:tcPr>
          <w:p w14:paraId="3CA213C8"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Optimism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tcBorders>
            <w:shd w:val="clear" w:color="auto" w:fill="auto"/>
          </w:tcPr>
          <w:p w14:paraId="30DDB394"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HCPs varyingly optimistic about patient behaviour change after 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hecks</w:t>
            </w:r>
          </w:p>
        </w:tc>
        <w:tc>
          <w:tcPr>
            <w:tcW w:w="1398" w:type="dxa"/>
            <w:tcBorders>
              <w:top w:val="single" w:sz="4" w:space="0" w:color="4472C4" w:themeColor="accent1"/>
            </w:tcBorders>
            <w:shd w:val="clear" w:color="auto" w:fill="auto"/>
          </w:tcPr>
          <w:p w14:paraId="443EF906"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3EE4473A"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568D5310"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Modelling</w:t>
            </w:r>
          </w:p>
          <w:p w14:paraId="06B8623C"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US" w:eastAsia="ar-SA"/>
              </w:rPr>
              <w:t>Enablement</w:t>
            </w:r>
          </w:p>
        </w:tc>
        <w:tc>
          <w:tcPr>
            <w:tcW w:w="4210" w:type="dxa"/>
            <w:tcBorders>
              <w:top w:val="single" w:sz="4" w:space="0" w:color="4472C4" w:themeColor="accent1"/>
            </w:tcBorders>
          </w:tcPr>
          <w:p w14:paraId="6A9D4DF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(not enablement)</w:t>
            </w:r>
          </w:p>
          <w:p w14:paraId="2FC5097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350838E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(enablement only)</w:t>
            </w:r>
          </w:p>
          <w:p w14:paraId="177BAB4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7E66362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3237757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Environmental /social planning (enablement only) </w:t>
            </w:r>
          </w:p>
          <w:p w14:paraId="14A147C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tcBorders>
            <w:shd w:val="clear" w:color="auto" w:fill="auto"/>
          </w:tcPr>
          <w:p w14:paraId="0A4C052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Review outcome goal(s) (review outcome goal(s) jointly with the person and consider modifying goal(s) in light of achievement. This may lead to re-setting the same goal, a small change in that goal or setting a new goal instead of, or in addition to the first)**</w:t>
            </w:r>
          </w:p>
        </w:tc>
      </w:tr>
      <w:tr w:rsidR="00C63ACE" w:rsidRPr="00C864BD" w14:paraId="7F881926" w14:textId="77777777" w:rsidTr="0052052E">
        <w:trPr>
          <w:cnfStyle w:val="000000100000" w:firstRow="0" w:lastRow="0" w:firstColumn="0" w:lastColumn="0" w:oddVBand="0" w:evenVBand="0" w:oddHBand="1" w:evenHBand="0" w:firstRowFirstColumn="0" w:firstRowLastColumn="0" w:lastRowFirstColumn="0" w:lastRowLastColumn="0"/>
          <w:trHeight w:val="91"/>
        </w:trPr>
        <w:tc>
          <w:tcPr>
            <w:tcW w:w="3585" w:type="dxa"/>
            <w:gridSpan w:val="2"/>
            <w:vAlign w:val="bottom"/>
          </w:tcPr>
          <w:p w14:paraId="79A1075F" w14:textId="77777777" w:rsidR="00C63ACE" w:rsidRPr="00C864BD" w:rsidRDefault="00C63ACE" w:rsidP="0052052E">
            <w:pPr>
              <w:spacing w:before="120" w:after="120" w:line="276" w:lineRule="auto"/>
              <w:jc w:val="left"/>
              <w:rPr>
                <w:rFonts w:ascii="Arial" w:hAnsi="Arial" w:cs="Arial"/>
                <w:b/>
                <w:sz w:val="16"/>
                <w:szCs w:val="16"/>
                <w:lang w:val="en-NZ"/>
              </w:rPr>
            </w:pPr>
            <w:r w:rsidRPr="00C864BD">
              <w:rPr>
                <w:rFonts w:ascii="Arial" w:hAnsi="Arial" w:cs="Arial"/>
                <w:b/>
                <w:sz w:val="16"/>
                <w:szCs w:val="16"/>
                <w:lang w:val="en-NZ"/>
              </w:rPr>
              <w:t>HCP making referral to specialist service</w:t>
            </w:r>
          </w:p>
        </w:tc>
        <w:tc>
          <w:tcPr>
            <w:tcW w:w="5674" w:type="dxa"/>
            <w:gridSpan w:val="3"/>
            <w:vAlign w:val="bottom"/>
          </w:tcPr>
          <w:p w14:paraId="31A4CF82" w14:textId="77777777" w:rsidR="00C63ACE" w:rsidRPr="00C864BD" w:rsidRDefault="00C63ACE" w:rsidP="0052052E">
            <w:pPr>
              <w:spacing w:before="120" w:after="120" w:line="276" w:lineRule="auto"/>
              <w:jc w:val="left"/>
              <w:rPr>
                <w:rFonts w:ascii="Arial" w:hAnsi="Arial" w:cs="Arial"/>
                <w:b/>
                <w:sz w:val="16"/>
                <w:szCs w:val="16"/>
                <w:lang w:val="en-NZ"/>
              </w:rPr>
            </w:pPr>
          </w:p>
          <w:p w14:paraId="1AB97BC8" w14:textId="77777777" w:rsidR="00C63ACE" w:rsidRPr="00C864BD" w:rsidRDefault="00C63ACE" w:rsidP="0052052E">
            <w:pPr>
              <w:snapToGrid w:val="0"/>
              <w:spacing w:before="120" w:after="120" w:line="276" w:lineRule="auto"/>
              <w:jc w:val="left"/>
              <w:rPr>
                <w:rFonts w:ascii="Arial" w:hAnsi="Arial" w:cs="Arial"/>
                <w:b/>
                <w:i/>
                <w:sz w:val="16"/>
                <w:szCs w:val="16"/>
                <w:lang w:val="en-NZ"/>
              </w:rPr>
            </w:pPr>
          </w:p>
        </w:tc>
        <w:tc>
          <w:tcPr>
            <w:tcW w:w="4775" w:type="dxa"/>
            <w:gridSpan w:val="2"/>
            <w:vAlign w:val="bottom"/>
          </w:tcPr>
          <w:p w14:paraId="58CE5B0E"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NZ"/>
              </w:rPr>
            </w:pPr>
          </w:p>
        </w:tc>
      </w:tr>
      <w:tr w:rsidR="00C63ACE" w:rsidRPr="00C864BD" w14:paraId="550A82C2" w14:textId="77777777" w:rsidTr="0052052E">
        <w:trPr>
          <w:trHeight w:val="587"/>
        </w:trPr>
        <w:tc>
          <w:tcPr>
            <w:tcW w:w="1759" w:type="dxa"/>
            <w:shd w:val="clear" w:color="auto" w:fill="auto"/>
          </w:tcPr>
          <w:p w14:paraId="2339CAAE"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bCs/>
                <w:color w:val="000000" w:themeColor="text1"/>
                <w:kern w:val="24"/>
                <w:sz w:val="16"/>
                <w:szCs w:val="16"/>
                <w:lang w:val="en-US"/>
              </w:rPr>
              <w:lastRenderedPageBreak/>
              <w:t>Environmental context and resources (physical opportunity)</w:t>
            </w:r>
          </w:p>
        </w:tc>
        <w:tc>
          <w:tcPr>
            <w:tcW w:w="1892" w:type="dxa"/>
            <w:gridSpan w:val="2"/>
            <w:shd w:val="clear" w:color="auto" w:fill="auto"/>
          </w:tcPr>
          <w:p w14:paraId="7B21430F"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 xml:space="preserve">Lack of funded services to refer patients to  </w:t>
            </w:r>
          </w:p>
        </w:tc>
        <w:tc>
          <w:tcPr>
            <w:tcW w:w="1398" w:type="dxa"/>
            <w:shd w:val="clear" w:color="auto" w:fill="auto"/>
          </w:tcPr>
          <w:p w14:paraId="46168C16"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6A0908B9"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77A08E26"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657A4C0D"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Pr>
          <w:p w14:paraId="1FC47F7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505BC66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6BD7887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469BA476"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5C010B5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2F1C3B6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shd w:val="clear" w:color="auto" w:fill="auto"/>
          </w:tcPr>
          <w:p w14:paraId="6920C15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28A6841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172663D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36D1D24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2A7CC21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0F2EAD1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0CB3492A" w14:textId="77777777" w:rsidR="00C63ACE" w:rsidRPr="00C864BD" w:rsidRDefault="00C63ACE" w:rsidP="0052052E">
            <w:pPr>
              <w:spacing w:before="120" w:after="120" w:line="276" w:lineRule="auto"/>
              <w:jc w:val="left"/>
              <w:rPr>
                <w:rFonts w:ascii="Arial" w:hAnsi="Arial" w:cs="Arial"/>
                <w:bCs/>
                <w:i/>
                <w:color w:val="262626" w:themeColor="text1" w:themeTint="D9"/>
                <w:kern w:val="24"/>
                <w:sz w:val="16"/>
                <w:szCs w:val="16"/>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683F8F62" w14:textId="77777777" w:rsidTr="0052052E">
        <w:trPr>
          <w:cnfStyle w:val="000000100000" w:firstRow="0" w:lastRow="0" w:firstColumn="0" w:lastColumn="0" w:oddVBand="0" w:evenVBand="0" w:oddHBand="1" w:evenHBand="0" w:firstRowFirstColumn="0" w:firstRowLastColumn="0" w:lastRowFirstColumn="0" w:lastRowLastColumn="0"/>
          <w:trHeight w:val="202"/>
        </w:trPr>
        <w:tc>
          <w:tcPr>
            <w:tcW w:w="9259" w:type="dxa"/>
            <w:gridSpan w:val="5"/>
          </w:tcPr>
          <w:p w14:paraId="0F4736A7" w14:textId="77777777" w:rsidR="00C63ACE" w:rsidRPr="00C864BD" w:rsidRDefault="00C63ACE" w:rsidP="0052052E">
            <w:pPr>
              <w:spacing w:before="120" w:after="120" w:line="276" w:lineRule="auto"/>
              <w:jc w:val="left"/>
              <w:rPr>
                <w:rFonts w:ascii="Arial" w:hAnsi="Arial" w:cs="Arial"/>
                <w:b/>
                <w:sz w:val="16"/>
                <w:szCs w:val="16"/>
                <w:lang w:val="en-NZ"/>
              </w:rPr>
            </w:pPr>
          </w:p>
          <w:p w14:paraId="3A0866E8" w14:textId="77777777" w:rsidR="00C63ACE" w:rsidRPr="00C864BD" w:rsidRDefault="00C63ACE" w:rsidP="0052052E">
            <w:pPr>
              <w:snapToGrid w:val="0"/>
              <w:spacing w:before="120" w:after="120" w:line="276" w:lineRule="auto"/>
              <w:jc w:val="left"/>
              <w:rPr>
                <w:rFonts w:ascii="Arial" w:hAnsi="Arial" w:cs="Arial"/>
                <w:b/>
                <w:i/>
                <w:sz w:val="16"/>
                <w:szCs w:val="16"/>
                <w:lang w:val="en-NZ"/>
              </w:rPr>
            </w:pPr>
            <w:r w:rsidRPr="00C864BD">
              <w:rPr>
                <w:rFonts w:ascii="Arial" w:hAnsi="Arial" w:cs="Arial"/>
                <w:b/>
                <w:sz w:val="16"/>
                <w:szCs w:val="16"/>
                <w:lang w:val="en-NZ"/>
              </w:rPr>
              <w:t>Patient attending referral</w:t>
            </w:r>
          </w:p>
        </w:tc>
        <w:tc>
          <w:tcPr>
            <w:tcW w:w="4775" w:type="dxa"/>
            <w:gridSpan w:val="2"/>
          </w:tcPr>
          <w:p w14:paraId="6F609BA2"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NZ"/>
              </w:rPr>
            </w:pPr>
          </w:p>
        </w:tc>
      </w:tr>
      <w:tr w:rsidR="00C63ACE" w:rsidRPr="00C864BD" w14:paraId="73BE8DEE" w14:textId="77777777" w:rsidTr="0052052E">
        <w:trPr>
          <w:trHeight w:val="136"/>
        </w:trPr>
        <w:tc>
          <w:tcPr>
            <w:tcW w:w="1759" w:type="dxa"/>
            <w:shd w:val="clear" w:color="auto" w:fill="auto"/>
          </w:tcPr>
          <w:p w14:paraId="696C946A"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bCs/>
                <w:color w:val="000000" w:themeColor="text1"/>
                <w:kern w:val="24"/>
                <w:sz w:val="16"/>
                <w:szCs w:val="16"/>
                <w:lang w:val="en-US"/>
              </w:rPr>
              <w:t xml:space="preserve">Beliefs about consequences </w:t>
            </w:r>
            <w:r w:rsidRPr="00C864BD">
              <w:rPr>
                <w:rFonts w:ascii="Arial" w:hAnsi="Arial" w:cs="Arial"/>
                <w:color w:val="000000" w:themeColor="text1"/>
                <w:kern w:val="24"/>
                <w:sz w:val="16"/>
                <w:szCs w:val="16"/>
                <w:lang w:val="en-US"/>
              </w:rPr>
              <w:t>(reflective motivation)</w:t>
            </w:r>
          </w:p>
        </w:tc>
        <w:tc>
          <w:tcPr>
            <w:tcW w:w="1892" w:type="dxa"/>
            <w:gridSpan w:val="2"/>
            <w:shd w:val="clear" w:color="auto" w:fill="auto"/>
          </w:tcPr>
          <w:p w14:paraId="0586A358"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B050"/>
                <w:kern w:val="24"/>
                <w:sz w:val="16"/>
                <w:szCs w:val="16"/>
              </w:rPr>
              <w:t>Regular attendance is important</w:t>
            </w:r>
          </w:p>
        </w:tc>
        <w:tc>
          <w:tcPr>
            <w:tcW w:w="1398" w:type="dxa"/>
            <w:shd w:val="clear" w:color="auto" w:fill="auto"/>
          </w:tcPr>
          <w:p w14:paraId="19350B9D"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230B32B2"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7FA49407"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Modelling</w:t>
            </w:r>
          </w:p>
        </w:tc>
        <w:tc>
          <w:tcPr>
            <w:tcW w:w="4210" w:type="dxa"/>
          </w:tcPr>
          <w:p w14:paraId="67CFC7A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292C30D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1F5B28D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0739729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Legislation (not modelling)</w:t>
            </w:r>
          </w:p>
          <w:p w14:paraId="41ED686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shd w:val="clear" w:color="auto" w:fill="auto"/>
          </w:tcPr>
          <w:p w14:paraId="4BCA88E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lastRenderedPageBreak/>
              <w:t>Information about health consequences (provide information (e.g. written, verbal, visual) about health consequences of performing the behaviour)</w:t>
            </w:r>
          </w:p>
          <w:p w14:paraId="33F24E0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Salience of consequences (use methods specifically designed to emphasise the consequences of performing the behaviour </w:t>
            </w:r>
            <w:r w:rsidRPr="00C864BD">
              <w:rPr>
                <w:rFonts w:ascii="Arial" w:hAnsi="Arial" w:cs="Arial"/>
                <w:color w:val="262626" w:themeColor="text1" w:themeTint="D9"/>
                <w:kern w:val="24"/>
                <w:sz w:val="16"/>
                <w:szCs w:val="16"/>
              </w:rPr>
              <w:lastRenderedPageBreak/>
              <w:t>with the aim of making them more memorable (goes beyond informing about consequences))</w:t>
            </w:r>
          </w:p>
          <w:p w14:paraId="71A802A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social and environmental consequences (provide information (e.g. written, verbal, visual) about social and environmental consequences of performing the behaviour)</w:t>
            </w:r>
          </w:p>
          <w:p w14:paraId="557BF0D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0ED3D00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6EDFBD6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18713E9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4B7A95D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38D376C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p w14:paraId="237FAA8C"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2C363780" w14:textId="77777777" w:rsidTr="0052052E">
        <w:trPr>
          <w:cnfStyle w:val="000000100000" w:firstRow="0" w:lastRow="0" w:firstColumn="0" w:lastColumn="0" w:oddVBand="0" w:evenVBand="0" w:oddHBand="1" w:evenHBand="0" w:firstRowFirstColumn="0" w:firstRowLastColumn="0" w:lastRowFirstColumn="0" w:lastRowLastColumn="0"/>
          <w:trHeight w:val="297"/>
        </w:trPr>
        <w:tc>
          <w:tcPr>
            <w:tcW w:w="9259" w:type="dxa"/>
            <w:gridSpan w:val="5"/>
          </w:tcPr>
          <w:p w14:paraId="7057D1D4" w14:textId="77777777" w:rsidR="00C63ACE" w:rsidRPr="00C864BD" w:rsidRDefault="00C63ACE" w:rsidP="0052052E">
            <w:pPr>
              <w:spacing w:before="120" w:after="120" w:line="276" w:lineRule="auto"/>
              <w:jc w:val="left"/>
              <w:rPr>
                <w:rFonts w:ascii="Arial" w:hAnsi="Arial" w:cs="Arial"/>
                <w:b/>
                <w:sz w:val="16"/>
                <w:szCs w:val="16"/>
                <w:lang w:val="en-NZ"/>
              </w:rPr>
            </w:pPr>
          </w:p>
          <w:p w14:paraId="7419A148" w14:textId="77777777" w:rsidR="00C63ACE" w:rsidRPr="00C864BD" w:rsidRDefault="00C63ACE" w:rsidP="0052052E">
            <w:pPr>
              <w:snapToGrid w:val="0"/>
              <w:spacing w:before="120" w:after="120" w:line="276" w:lineRule="auto"/>
              <w:jc w:val="left"/>
              <w:rPr>
                <w:rFonts w:ascii="Arial" w:hAnsi="Arial" w:cs="Arial"/>
                <w:b/>
                <w:i/>
                <w:sz w:val="16"/>
                <w:szCs w:val="16"/>
                <w:lang w:val="en-NZ"/>
              </w:rPr>
            </w:pPr>
            <w:r w:rsidRPr="00C864BD">
              <w:rPr>
                <w:rFonts w:ascii="Arial" w:hAnsi="Arial" w:cs="Arial"/>
                <w:b/>
                <w:sz w:val="16"/>
                <w:szCs w:val="16"/>
                <w:lang w:val="en-NZ"/>
              </w:rPr>
              <w:t>Patient changing behaviour</w:t>
            </w:r>
          </w:p>
        </w:tc>
        <w:tc>
          <w:tcPr>
            <w:tcW w:w="4775" w:type="dxa"/>
            <w:gridSpan w:val="2"/>
          </w:tcPr>
          <w:p w14:paraId="164D3D52"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NZ"/>
              </w:rPr>
            </w:pPr>
          </w:p>
        </w:tc>
      </w:tr>
      <w:tr w:rsidR="00C63ACE" w:rsidRPr="00C864BD" w14:paraId="46426E04" w14:textId="77777777" w:rsidTr="0052052E">
        <w:trPr>
          <w:trHeight w:val="484"/>
        </w:trPr>
        <w:tc>
          <w:tcPr>
            <w:tcW w:w="1759" w:type="dxa"/>
            <w:tcBorders>
              <w:bottom w:val="single" w:sz="4" w:space="0" w:color="4472C4" w:themeColor="accent1"/>
            </w:tcBorders>
            <w:shd w:val="clear" w:color="auto" w:fill="auto"/>
          </w:tcPr>
          <w:p w14:paraId="36FBF2A2"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Knowledge </w:t>
            </w:r>
            <w:r w:rsidRPr="00C864BD">
              <w:rPr>
                <w:rFonts w:ascii="Arial" w:hAnsi="Arial" w:cs="Arial"/>
                <w:color w:val="000000" w:themeColor="text1"/>
                <w:kern w:val="24"/>
                <w:sz w:val="16"/>
                <w:szCs w:val="16"/>
              </w:rPr>
              <w:t>(psychological capability)</w:t>
            </w:r>
          </w:p>
        </w:tc>
        <w:tc>
          <w:tcPr>
            <w:tcW w:w="1892" w:type="dxa"/>
            <w:gridSpan w:val="2"/>
            <w:tcBorders>
              <w:bottom w:val="single" w:sz="4" w:space="0" w:color="4472C4" w:themeColor="accent1"/>
            </w:tcBorders>
            <w:shd w:val="clear" w:color="auto" w:fill="auto"/>
          </w:tcPr>
          <w:p w14:paraId="7A97EF1D"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Patient understanding of CVD risk and its implications after 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w:t>
            </w:r>
          </w:p>
        </w:tc>
        <w:tc>
          <w:tcPr>
            <w:tcW w:w="1398" w:type="dxa"/>
            <w:tcBorders>
              <w:bottom w:val="single" w:sz="4" w:space="0" w:color="4472C4" w:themeColor="accent1"/>
            </w:tcBorders>
            <w:shd w:val="clear" w:color="auto" w:fill="auto"/>
          </w:tcPr>
          <w:p w14:paraId="31BD2991"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Education</w:t>
            </w:r>
          </w:p>
        </w:tc>
        <w:tc>
          <w:tcPr>
            <w:tcW w:w="4210" w:type="dxa"/>
            <w:tcBorders>
              <w:bottom w:val="single" w:sz="4" w:space="0" w:color="4472C4" w:themeColor="accent1"/>
            </w:tcBorders>
          </w:tcPr>
          <w:p w14:paraId="40F0673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Communication/ marketing</w:t>
            </w:r>
          </w:p>
          <w:p w14:paraId="61B52E2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7EB97C3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2CDE49B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66BE596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w:t>
            </w:r>
          </w:p>
        </w:tc>
        <w:tc>
          <w:tcPr>
            <w:tcW w:w="4775" w:type="dxa"/>
            <w:gridSpan w:val="2"/>
            <w:tcBorders>
              <w:bottom w:val="single" w:sz="4" w:space="0" w:color="4472C4" w:themeColor="accent1"/>
            </w:tcBorders>
            <w:shd w:val="clear" w:color="auto" w:fill="auto"/>
          </w:tcPr>
          <w:p w14:paraId="2F799F0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Biofeedback (provide feedback about the body (e.g. physiological or biochemical state) using an external monitoring device as part of a behaviour change strategy)</w:t>
            </w:r>
          </w:p>
          <w:p w14:paraId="67D7007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Instruction on how to perform behaviour (advise or agree on how to perform the behaviour (includes ‘Skills training’))</w:t>
            </w:r>
          </w:p>
          <w:p w14:paraId="3E390FF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antecedents (provide information about antecedents)</w:t>
            </w:r>
          </w:p>
          <w:p w14:paraId="2E2789C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Information about health consequences (provide information (e.g. written, verbal, visual) about health consequences of performing the behaviour)</w:t>
            </w:r>
          </w:p>
          <w:p w14:paraId="3DDD262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Salience of consequences (use methods specifically designed to emphasise the consequences of performing the behaviour with the aim of making them more memorable (goes beyond informing about consequences))</w:t>
            </w:r>
          </w:p>
          <w:p w14:paraId="680C987A"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Information about social and environmental consequences (provide information (e.g. written, verbal, visual) about social and environmental consequences of performing the behaviour)</w:t>
            </w:r>
          </w:p>
        </w:tc>
      </w:tr>
      <w:tr w:rsidR="00C63ACE" w:rsidRPr="00C864BD" w14:paraId="7AC99801" w14:textId="77777777" w:rsidTr="0052052E">
        <w:trPr>
          <w:cnfStyle w:val="000000100000" w:firstRow="0" w:lastRow="0" w:firstColumn="0" w:lastColumn="0" w:oddVBand="0" w:evenVBand="0" w:oddHBand="1" w:evenHBand="0" w:firstRowFirstColumn="0" w:firstRowLastColumn="0" w:lastRowFirstColumn="0" w:lastRowLastColumn="0"/>
          <w:trHeight w:val="98"/>
        </w:trPr>
        <w:tc>
          <w:tcPr>
            <w:tcW w:w="1759" w:type="dxa"/>
            <w:vMerge w:val="restart"/>
            <w:tcBorders>
              <w:top w:val="single" w:sz="4" w:space="0" w:color="4472C4" w:themeColor="accent1"/>
            </w:tcBorders>
            <w:shd w:val="clear" w:color="auto" w:fill="auto"/>
          </w:tcPr>
          <w:p w14:paraId="7D83664B"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t xml:space="preserve">Environmental context and resources </w:t>
            </w:r>
            <w:r w:rsidRPr="00C864BD">
              <w:rPr>
                <w:rFonts w:ascii="Arial" w:hAnsi="Arial" w:cs="Arial"/>
                <w:color w:val="000000" w:themeColor="text1"/>
                <w:kern w:val="24"/>
                <w:sz w:val="16"/>
                <w:szCs w:val="16"/>
                <w:lang w:val="en-US"/>
              </w:rPr>
              <w:t>(physical opportunity)</w:t>
            </w:r>
          </w:p>
        </w:tc>
        <w:tc>
          <w:tcPr>
            <w:tcW w:w="1892" w:type="dxa"/>
            <w:gridSpan w:val="2"/>
            <w:tcBorders>
              <w:top w:val="single" w:sz="4" w:space="0" w:color="4472C4" w:themeColor="accent1"/>
              <w:bottom w:val="single" w:sz="4" w:space="0" w:color="4472C4" w:themeColor="accent1"/>
            </w:tcBorders>
            <w:shd w:val="clear" w:color="auto" w:fill="auto"/>
          </w:tcPr>
          <w:p w14:paraId="34F83918"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Time and cost as a barrier to adherence</w:t>
            </w:r>
          </w:p>
        </w:tc>
        <w:tc>
          <w:tcPr>
            <w:tcW w:w="1398" w:type="dxa"/>
            <w:tcBorders>
              <w:top w:val="single" w:sz="4" w:space="0" w:color="4472C4" w:themeColor="accent1"/>
              <w:bottom w:val="single" w:sz="4" w:space="0" w:color="4472C4" w:themeColor="accent1"/>
            </w:tcBorders>
            <w:shd w:val="clear" w:color="auto" w:fill="auto"/>
          </w:tcPr>
          <w:p w14:paraId="31B30C49"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3CEB19B2"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22459EF4"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63EFAF96"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shd w:val="clear" w:color="auto" w:fill="auto"/>
          </w:tcPr>
          <w:p w14:paraId="7D2FE92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320F767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163FDD24"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2B136CD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234462B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118C70DC"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53D261F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49061E5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0AC7045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0FFE467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28E0FF7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lastRenderedPageBreak/>
              <w:t>Restructuring the social environment (change, or advise to change the social environment in order to facilitate performance of the wanted behaviour or create barriers to the unwanted behaviour (other than prompts/cues, rewards and punishments)</w:t>
            </w:r>
          </w:p>
          <w:p w14:paraId="5AB47A33"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58C0E2CC"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738FE943" w14:textId="77777777" w:rsidTr="0052052E">
        <w:trPr>
          <w:trHeight w:val="11"/>
        </w:trPr>
        <w:tc>
          <w:tcPr>
            <w:tcW w:w="1759" w:type="dxa"/>
            <w:vMerge/>
            <w:tcBorders>
              <w:bottom w:val="single" w:sz="4" w:space="0" w:color="4472C4" w:themeColor="accent1"/>
            </w:tcBorders>
            <w:shd w:val="clear" w:color="auto" w:fill="auto"/>
          </w:tcPr>
          <w:p w14:paraId="22D94DC9" w14:textId="77777777" w:rsidR="00C63ACE" w:rsidRPr="00C864BD" w:rsidRDefault="00C63ACE" w:rsidP="0052052E">
            <w:pPr>
              <w:spacing w:before="120" w:after="120" w:line="276" w:lineRule="auto"/>
              <w:jc w:val="left"/>
              <w:rPr>
                <w:rFonts w:ascii="Arial" w:hAnsi="Arial" w:cs="Arial"/>
                <w:color w:val="00B050"/>
                <w:kern w:val="24"/>
                <w:sz w:val="16"/>
                <w:szCs w:val="16"/>
              </w:rPr>
            </w:pPr>
          </w:p>
        </w:tc>
        <w:tc>
          <w:tcPr>
            <w:tcW w:w="1892" w:type="dxa"/>
            <w:gridSpan w:val="2"/>
            <w:tcBorders>
              <w:top w:val="single" w:sz="4" w:space="0" w:color="4472C4" w:themeColor="accent1"/>
              <w:bottom w:val="single" w:sz="4" w:space="0" w:color="4472C4" w:themeColor="accent1"/>
            </w:tcBorders>
            <w:shd w:val="clear" w:color="auto" w:fill="auto"/>
          </w:tcPr>
          <w:p w14:paraId="0589CF65" w14:textId="77777777" w:rsidR="00C63ACE" w:rsidRPr="00C864BD" w:rsidRDefault="00C63ACE" w:rsidP="0052052E">
            <w:pPr>
              <w:spacing w:before="120" w:after="120" w:line="276" w:lineRule="auto"/>
              <w:ind w:left="140" w:right="197"/>
              <w:jc w:val="left"/>
              <w:rPr>
                <w:rFonts w:ascii="Arial" w:hAnsi="Arial" w:cs="Arial"/>
                <w:color w:val="00B050"/>
                <w:kern w:val="24"/>
                <w:sz w:val="16"/>
                <w:szCs w:val="16"/>
              </w:rPr>
            </w:pPr>
            <w:r w:rsidRPr="00C864BD">
              <w:rPr>
                <w:rFonts w:ascii="Arial" w:hAnsi="Arial" w:cs="Arial"/>
                <w:color w:val="00B050"/>
                <w:kern w:val="24"/>
                <w:sz w:val="16"/>
                <w:szCs w:val="16"/>
              </w:rPr>
              <w:t>Adherence to behavioural support influenced by mode of communication of risk</w:t>
            </w:r>
          </w:p>
        </w:tc>
        <w:tc>
          <w:tcPr>
            <w:tcW w:w="1398" w:type="dxa"/>
            <w:tcBorders>
              <w:top w:val="single" w:sz="4" w:space="0" w:color="4472C4" w:themeColor="accent1"/>
              <w:bottom w:val="single" w:sz="4" w:space="0" w:color="4472C4" w:themeColor="accent1"/>
            </w:tcBorders>
            <w:shd w:val="clear" w:color="auto" w:fill="auto"/>
          </w:tcPr>
          <w:p w14:paraId="12E61216"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1F5098E8"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7206B79F"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06BF4993" w14:textId="77777777" w:rsidR="00C63ACE" w:rsidRPr="00C864BD" w:rsidRDefault="00C63ACE" w:rsidP="0052052E">
            <w:pPr>
              <w:snapToGrid w:val="0"/>
              <w:spacing w:before="120" w:after="120" w:line="276" w:lineRule="auto"/>
              <w:jc w:val="left"/>
              <w:rPr>
                <w:rFonts w:ascii="Arial" w:hAnsi="Arial" w:cs="Arial"/>
                <w:i/>
                <w:color w:val="FF0000"/>
                <w:kern w:val="24"/>
                <w:sz w:val="16"/>
                <w:szCs w:val="16"/>
              </w:rPr>
            </w:pPr>
            <w:r w:rsidRPr="00C864BD">
              <w:rPr>
                <w:rFonts w:ascii="Arial" w:hAnsi="Arial" w:cs="Arial"/>
                <w:i/>
                <w:color w:val="000000" w:themeColor="text1"/>
                <w:sz w:val="16"/>
                <w:szCs w:val="16"/>
                <w:lang w:val="en-NZ"/>
              </w:rPr>
              <w:t>Enablement</w:t>
            </w:r>
          </w:p>
        </w:tc>
        <w:tc>
          <w:tcPr>
            <w:tcW w:w="4210" w:type="dxa"/>
            <w:tcBorders>
              <w:top w:val="single" w:sz="4" w:space="0" w:color="4472C4" w:themeColor="accent1"/>
              <w:bottom w:val="single" w:sz="4" w:space="0" w:color="4472C4" w:themeColor="accent1"/>
            </w:tcBorders>
          </w:tcPr>
          <w:p w14:paraId="737634C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18D3FF8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17FF99D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43BEA4B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03C24D9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5026468F"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676DAD1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7596670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25FC6F2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6041411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426B47AE"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28A9B1C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11152743"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sz w:val="16"/>
                <w:szCs w:val="16"/>
                <w:lang w:val="en-US"/>
              </w:rPr>
              <w:lastRenderedPageBreak/>
              <w:t>Adding objects to the environment (add objects to the environment in order to facilitate performance of the behaviour)</w:t>
            </w:r>
          </w:p>
        </w:tc>
      </w:tr>
      <w:tr w:rsidR="00C63ACE" w:rsidRPr="00C864BD" w14:paraId="10CEEE19" w14:textId="77777777" w:rsidTr="0052052E">
        <w:trPr>
          <w:cnfStyle w:val="000000100000" w:firstRow="0" w:lastRow="0" w:firstColumn="0" w:lastColumn="0" w:oddVBand="0" w:evenVBand="0" w:oddHBand="1" w:evenHBand="0" w:firstRowFirstColumn="0" w:firstRowLastColumn="0" w:lastRowFirstColumn="0" w:lastRowLastColumn="0"/>
          <w:trHeight w:val="324"/>
        </w:trPr>
        <w:tc>
          <w:tcPr>
            <w:tcW w:w="1759" w:type="dxa"/>
            <w:tcBorders>
              <w:top w:val="single" w:sz="4" w:space="0" w:color="4472C4" w:themeColor="accent1"/>
              <w:bottom w:val="single" w:sz="4" w:space="0" w:color="4472C4" w:themeColor="accent1"/>
            </w:tcBorders>
            <w:shd w:val="clear" w:color="auto" w:fill="auto"/>
          </w:tcPr>
          <w:p w14:paraId="72F4AAD2"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Social influences </w:t>
            </w:r>
            <w:r w:rsidRPr="00C864BD">
              <w:rPr>
                <w:rFonts w:ascii="Arial" w:eastAsiaTheme="minorEastAsia" w:hAnsi="Arial" w:cs="Arial"/>
                <w:color w:val="000000" w:themeColor="text1"/>
                <w:kern w:val="24"/>
                <w:sz w:val="16"/>
                <w:szCs w:val="16"/>
                <w:lang w:val="en-US"/>
              </w:rPr>
              <w:t>(social opportunity)</w:t>
            </w:r>
          </w:p>
        </w:tc>
        <w:tc>
          <w:tcPr>
            <w:tcW w:w="1892" w:type="dxa"/>
            <w:gridSpan w:val="2"/>
            <w:tcBorders>
              <w:top w:val="single" w:sz="4" w:space="0" w:color="4472C4" w:themeColor="accent1"/>
              <w:bottom w:val="single" w:sz="4" w:space="0" w:color="4472C4" w:themeColor="accent1"/>
            </w:tcBorders>
            <w:shd w:val="clear" w:color="auto" w:fill="auto"/>
          </w:tcPr>
          <w:p w14:paraId="2F4A2151"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B050"/>
                <w:kern w:val="24"/>
                <w:sz w:val="16"/>
                <w:szCs w:val="16"/>
              </w:rPr>
              <w:t>Support from others to change</w:t>
            </w:r>
          </w:p>
        </w:tc>
        <w:tc>
          <w:tcPr>
            <w:tcW w:w="1398" w:type="dxa"/>
            <w:tcBorders>
              <w:top w:val="single" w:sz="4" w:space="0" w:color="4472C4" w:themeColor="accent1"/>
              <w:bottom w:val="single" w:sz="4" w:space="0" w:color="4472C4" w:themeColor="accent1"/>
            </w:tcBorders>
            <w:shd w:val="clear" w:color="auto" w:fill="auto"/>
          </w:tcPr>
          <w:p w14:paraId="49ECF0F9"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Restriction</w:t>
            </w:r>
          </w:p>
          <w:p w14:paraId="21E5646A"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Environmental restructuring</w:t>
            </w:r>
          </w:p>
          <w:p w14:paraId="7849F5D2"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Modelling</w:t>
            </w:r>
          </w:p>
          <w:p w14:paraId="486865C9"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NZ"/>
              </w:rPr>
              <w:t>Enablement</w:t>
            </w:r>
          </w:p>
        </w:tc>
        <w:tc>
          <w:tcPr>
            <w:tcW w:w="4210" w:type="dxa"/>
            <w:tcBorders>
              <w:top w:val="single" w:sz="4" w:space="0" w:color="4472C4" w:themeColor="accent1"/>
              <w:bottom w:val="single" w:sz="4" w:space="0" w:color="4472C4" w:themeColor="accent1"/>
            </w:tcBorders>
            <w:shd w:val="clear" w:color="auto" w:fill="auto"/>
          </w:tcPr>
          <w:p w14:paraId="6815AA7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(modelling only)</w:t>
            </w:r>
          </w:p>
          <w:p w14:paraId="22392D9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0695A5B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(not modelling or restriction)</w:t>
            </w:r>
          </w:p>
          <w:p w14:paraId="3603EE8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4FE23A4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34E1DCE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Environmental/ Social planning (not modelling or restriction)</w:t>
            </w:r>
          </w:p>
          <w:p w14:paraId="57E55FF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Service provision </w:t>
            </w:r>
            <w:r w:rsidRPr="00C864BD">
              <w:rPr>
                <w:rFonts w:ascii="Arial" w:hAnsi="Arial" w:cs="Arial"/>
                <w:color w:val="262626" w:themeColor="text1" w:themeTint="D9"/>
                <w:sz w:val="16"/>
                <w:szCs w:val="16"/>
                <w:lang w:val="en-US"/>
              </w:rPr>
              <w:t>(not restriction or environmental restructuring)</w:t>
            </w:r>
          </w:p>
        </w:tc>
        <w:tc>
          <w:tcPr>
            <w:tcW w:w="4775" w:type="dxa"/>
            <w:gridSpan w:val="2"/>
            <w:tcBorders>
              <w:top w:val="single" w:sz="4" w:space="0" w:color="4472C4" w:themeColor="accent1"/>
              <w:bottom w:val="single" w:sz="4" w:space="0" w:color="4472C4" w:themeColor="accent1"/>
            </w:tcBorders>
            <w:shd w:val="clear" w:color="auto" w:fill="auto"/>
          </w:tcPr>
          <w:p w14:paraId="159F67D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support – unspecified (advise on, arrange or provide social support (e.g. from friends, relatives, colleagues,’ buddies’ or staff ) or non-contingent praise or reward for performance of the behaviour. It includes encouragement and counselling, but only when it is directed at the behaviour)</w:t>
            </w:r>
          </w:p>
          <w:p w14:paraId="1F5F662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29DF48E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75FC921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others’ approval (provide information about what other people think about the behaviour. The information clarifies whether others will like, approve or disapprove of what the person is doing or will do)</w:t>
            </w:r>
          </w:p>
          <w:p w14:paraId="757E7EAF"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Social reward (arrange verbal or non-verbal reward if and only if there has been eff ort and/or progress in performing the behaviour (includes ‘Positive reinforcement’))</w:t>
            </w:r>
          </w:p>
        </w:tc>
      </w:tr>
      <w:tr w:rsidR="00C63ACE" w:rsidRPr="00C864BD" w14:paraId="1F3D95C8" w14:textId="77777777" w:rsidTr="0052052E">
        <w:trPr>
          <w:trHeight w:val="938"/>
        </w:trPr>
        <w:tc>
          <w:tcPr>
            <w:tcW w:w="1759" w:type="dxa"/>
            <w:tcBorders>
              <w:top w:val="single" w:sz="4" w:space="0" w:color="4472C4" w:themeColor="accent1"/>
              <w:bottom w:val="single" w:sz="4" w:space="0" w:color="4472C4" w:themeColor="accent1"/>
            </w:tcBorders>
            <w:shd w:val="clear" w:color="auto" w:fill="auto"/>
          </w:tcPr>
          <w:p w14:paraId="6D90E58F"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sz w:val="16"/>
                <w:szCs w:val="16"/>
                <w:lang w:val="en-NZ"/>
              </w:rPr>
              <w:t>Social/professional role and identity (reflective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6AC38CCB" w14:textId="77777777" w:rsidR="00C63ACE" w:rsidRPr="00C864BD" w:rsidRDefault="00C63ACE" w:rsidP="0052052E">
            <w:pPr>
              <w:spacing w:before="120" w:after="120" w:line="276" w:lineRule="auto"/>
              <w:ind w:left="140" w:right="197"/>
              <w:jc w:val="left"/>
              <w:rPr>
                <w:rFonts w:ascii="Arial" w:hAnsi="Arial" w:cs="Arial"/>
                <w:color w:val="0070C0"/>
                <w:sz w:val="16"/>
                <w:szCs w:val="16"/>
                <w:lang w:val="en-NZ"/>
              </w:rPr>
            </w:pPr>
            <w:r w:rsidRPr="00C864BD">
              <w:rPr>
                <w:rFonts w:ascii="Arial" w:hAnsi="Arial" w:cs="Arial"/>
                <w:color w:val="0070C0"/>
                <w:sz w:val="16"/>
                <w:szCs w:val="16"/>
                <w:lang w:val="en-NZ"/>
              </w:rPr>
              <w:t>Patient engagement is influenced by HCP role</w:t>
            </w:r>
          </w:p>
        </w:tc>
        <w:tc>
          <w:tcPr>
            <w:tcW w:w="1398" w:type="dxa"/>
            <w:tcBorders>
              <w:top w:val="single" w:sz="4" w:space="0" w:color="4472C4" w:themeColor="accent1"/>
              <w:bottom w:val="single" w:sz="4" w:space="0" w:color="4472C4" w:themeColor="accent1"/>
            </w:tcBorders>
            <w:shd w:val="clear" w:color="auto" w:fill="auto"/>
          </w:tcPr>
          <w:p w14:paraId="6AFD2CAC"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0DA7B607"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75FEE19D" w14:textId="77777777" w:rsidR="00C63ACE" w:rsidRPr="00C864BD" w:rsidRDefault="00C63ACE" w:rsidP="0052052E">
            <w:pPr>
              <w:snapToGrid w:val="0"/>
              <w:spacing w:before="120" w:after="120" w:line="276" w:lineRule="auto"/>
              <w:jc w:val="left"/>
              <w:rPr>
                <w:rFonts w:ascii="Arial" w:hAnsi="Arial" w:cs="Arial"/>
                <w:i/>
                <w:color w:val="0070C0"/>
                <w:sz w:val="16"/>
                <w:szCs w:val="16"/>
                <w:lang w:val="en-NZ"/>
              </w:rPr>
            </w:pPr>
            <w:r w:rsidRPr="00C864BD">
              <w:rPr>
                <w:rFonts w:ascii="Arial" w:hAnsi="Arial" w:cs="Arial"/>
                <w:i/>
                <w:sz w:val="16"/>
                <w:szCs w:val="16"/>
                <w:lang w:val="en-US" w:eastAsia="ar-SA"/>
              </w:rPr>
              <w:t>Modelling</w:t>
            </w:r>
          </w:p>
        </w:tc>
        <w:tc>
          <w:tcPr>
            <w:tcW w:w="4210" w:type="dxa"/>
            <w:tcBorders>
              <w:top w:val="single" w:sz="4" w:space="0" w:color="4472C4" w:themeColor="accent1"/>
              <w:bottom w:val="single" w:sz="4" w:space="0" w:color="4472C4" w:themeColor="accent1"/>
            </w:tcBorders>
          </w:tcPr>
          <w:p w14:paraId="4E22314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10C96AB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1A0F432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5690C9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0B86578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3BD97CE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support – unspecified (advise on, arrange or provide social support (e.g. from friends, relatives, colleagues,’ buddies’ or staff ) or non-contingent praise or reward for performance of the behaviour. It includes encouragement and counselling, but only when it is directed at the behaviour)**</w:t>
            </w:r>
          </w:p>
          <w:p w14:paraId="2198E0F1"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Social comparison (draw attention to others’ performance to allow comparison with the person’s own performance)**</w:t>
            </w:r>
          </w:p>
          <w:p w14:paraId="00FA342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Credible source (present verbal or visual communication from a credible source in favour of or against the behaviour)**</w:t>
            </w:r>
          </w:p>
          <w:p w14:paraId="19B065C9"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lastRenderedPageBreak/>
              <w:t>Identity associated with changed behaviour (advise the person to construct a new self-identity as someone who ‘used to engage with the unwanted behaviour’)**</w:t>
            </w:r>
          </w:p>
        </w:tc>
      </w:tr>
      <w:tr w:rsidR="00C63ACE" w:rsidRPr="00C864BD" w14:paraId="26D64599" w14:textId="77777777" w:rsidTr="0052052E">
        <w:trPr>
          <w:cnfStyle w:val="000000100000" w:firstRow="0" w:lastRow="0" w:firstColumn="0" w:lastColumn="0" w:oddVBand="0" w:evenVBand="0" w:oddHBand="1" w:evenHBand="0" w:firstRowFirstColumn="0" w:firstRowLastColumn="0" w:lastRowFirstColumn="0" w:lastRowLastColumn="0"/>
          <w:trHeight w:val="436"/>
        </w:trPr>
        <w:tc>
          <w:tcPr>
            <w:tcW w:w="1759" w:type="dxa"/>
            <w:tcBorders>
              <w:top w:val="single" w:sz="4" w:space="0" w:color="4472C4" w:themeColor="accent1"/>
              <w:bottom w:val="single" w:sz="4" w:space="0" w:color="4472C4" w:themeColor="accent1"/>
            </w:tcBorders>
            <w:shd w:val="clear" w:color="auto" w:fill="auto"/>
          </w:tcPr>
          <w:p w14:paraId="18A7DCC2"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Beliefs about capabilities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7ACCB80E"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B050"/>
                <w:kern w:val="24"/>
                <w:sz w:val="16"/>
                <w:szCs w:val="16"/>
              </w:rPr>
              <w:t>Changes perceived to be achievable</w:t>
            </w:r>
          </w:p>
        </w:tc>
        <w:tc>
          <w:tcPr>
            <w:tcW w:w="1398" w:type="dxa"/>
            <w:tcBorders>
              <w:top w:val="single" w:sz="4" w:space="0" w:color="4472C4" w:themeColor="accent1"/>
              <w:bottom w:val="single" w:sz="4" w:space="0" w:color="4472C4" w:themeColor="accent1"/>
            </w:tcBorders>
            <w:shd w:val="clear" w:color="auto" w:fill="auto"/>
          </w:tcPr>
          <w:p w14:paraId="1ABDF4C6"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04641F95"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101C4DD4"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Modelling</w:t>
            </w:r>
          </w:p>
          <w:p w14:paraId="28E2886C" w14:textId="77777777" w:rsidR="00C63ACE" w:rsidRPr="00C864BD" w:rsidRDefault="00C63ACE" w:rsidP="0052052E">
            <w:pPr>
              <w:snapToGrid w:val="0"/>
              <w:spacing w:before="120" w:after="120" w:line="276" w:lineRule="auto"/>
              <w:jc w:val="left"/>
              <w:rPr>
                <w:rFonts w:ascii="Arial" w:hAnsi="Arial" w:cs="Arial"/>
                <w:i/>
                <w:color w:val="00B050"/>
                <w:kern w:val="24"/>
                <w:sz w:val="16"/>
                <w:szCs w:val="16"/>
              </w:rPr>
            </w:pPr>
            <w:r w:rsidRPr="00C864BD">
              <w:rPr>
                <w:rFonts w:ascii="Arial" w:hAnsi="Arial" w:cs="Arial"/>
                <w:i/>
                <w:sz w:val="16"/>
                <w:szCs w:val="16"/>
                <w:lang w:val="en-US" w:eastAsia="ar-SA"/>
              </w:rPr>
              <w:t>Enablement</w:t>
            </w:r>
          </w:p>
        </w:tc>
        <w:tc>
          <w:tcPr>
            <w:tcW w:w="4210" w:type="dxa"/>
            <w:tcBorders>
              <w:top w:val="single" w:sz="4" w:space="0" w:color="4472C4" w:themeColor="accent1"/>
              <w:bottom w:val="single" w:sz="4" w:space="0" w:color="4472C4" w:themeColor="accent1"/>
            </w:tcBorders>
            <w:shd w:val="clear" w:color="auto" w:fill="auto"/>
          </w:tcPr>
          <w:p w14:paraId="159858E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(not enablement)</w:t>
            </w:r>
          </w:p>
          <w:p w14:paraId="1096415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6F55C11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(enablement only)</w:t>
            </w:r>
          </w:p>
          <w:p w14:paraId="47DE177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2E37881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236D0CB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Environmental /social planning (enablement only) </w:t>
            </w:r>
          </w:p>
          <w:p w14:paraId="298C7B1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0D5B730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Problem solving (analyse, or prompt the person to analyse, factors influencing the behaviour and generate or select strategies that include overcoming barriers and/or increasing facilitators (includes ‘relapse prevention’ and ‘coping planning’))</w:t>
            </w:r>
          </w:p>
          <w:p w14:paraId="0857D00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Instruction on how to perform behaviour</w:t>
            </w:r>
            <w:r w:rsidRPr="00C864BD">
              <w:rPr>
                <w:rFonts w:ascii="Arial" w:hAnsi="Arial" w:cs="Arial"/>
                <w:color w:val="262626" w:themeColor="text1" w:themeTint="D9"/>
                <w:sz w:val="16"/>
                <w:szCs w:val="16"/>
                <w:lang w:val="en-US"/>
              </w:rPr>
              <w:t xml:space="preserve"> (advise or agree on how to perform the behaviour (includes ‘Skills training’))</w:t>
            </w:r>
          </w:p>
          <w:p w14:paraId="2BD5184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Demonstration of the behaviour (provide an observable sample of the performance of the behaviour, directly in person or indirectly e.g. via film, pictures, for the person to aspire to or imitate (includes ‘modelling’))</w:t>
            </w:r>
          </w:p>
          <w:p w14:paraId="291227C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Behavioural practice/rehearsal (prompt practice or rehearsal of the performance of the behaviour one or more times in a context or at a time when the performance may not be necessary, in order to increase habit and skill)</w:t>
            </w:r>
          </w:p>
          <w:p w14:paraId="388DB78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Graded tasks (set easy-to-perform tasks, making them increasingly difficult, but achievable, until behaviour is performed)</w:t>
            </w:r>
          </w:p>
          <w:p w14:paraId="2FC721B2"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Verbal persuasion about capability (tell the person that they can successfully perform the wanted behaviour, arguing against self-doubts and asserting that they can and will succeed)</w:t>
            </w:r>
          </w:p>
          <w:p w14:paraId="0564671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Focus on past success (advise to think about or list previous successes in performing the behaviour (or parts of it))</w:t>
            </w:r>
          </w:p>
          <w:p w14:paraId="77D44E8C"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Self-talk (prompt positive self-talk (aloud or silently) before and during the behaviour)</w:t>
            </w:r>
          </w:p>
        </w:tc>
      </w:tr>
      <w:tr w:rsidR="00C63ACE" w:rsidRPr="00C864BD" w14:paraId="79AF26BB" w14:textId="77777777" w:rsidTr="0052052E">
        <w:trPr>
          <w:trHeight w:val="193"/>
        </w:trPr>
        <w:tc>
          <w:tcPr>
            <w:tcW w:w="1759" w:type="dxa"/>
            <w:vMerge w:val="restart"/>
            <w:tcBorders>
              <w:top w:val="single" w:sz="4" w:space="0" w:color="4472C4" w:themeColor="accent1"/>
            </w:tcBorders>
            <w:shd w:val="clear" w:color="auto" w:fill="auto"/>
          </w:tcPr>
          <w:p w14:paraId="0538D86D"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Beliefs about consequences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70D378E7"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Contradictory guidelines</w:t>
            </w:r>
          </w:p>
        </w:tc>
        <w:tc>
          <w:tcPr>
            <w:tcW w:w="1398" w:type="dxa"/>
            <w:tcBorders>
              <w:top w:val="single" w:sz="4" w:space="0" w:color="4472C4" w:themeColor="accent1"/>
              <w:bottom w:val="single" w:sz="4" w:space="0" w:color="4472C4" w:themeColor="accent1"/>
            </w:tcBorders>
            <w:shd w:val="clear" w:color="auto" w:fill="auto"/>
          </w:tcPr>
          <w:p w14:paraId="7BD235AB"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4A61D5C9"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265352D1"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Modelling</w:t>
            </w:r>
          </w:p>
        </w:tc>
        <w:tc>
          <w:tcPr>
            <w:tcW w:w="4210" w:type="dxa"/>
            <w:tcBorders>
              <w:top w:val="single" w:sz="4" w:space="0" w:color="4472C4" w:themeColor="accent1"/>
              <w:bottom w:val="single" w:sz="4" w:space="0" w:color="4472C4" w:themeColor="accent1"/>
            </w:tcBorders>
          </w:tcPr>
          <w:p w14:paraId="659CEAC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4FE6A4E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5E5069D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4DF91A9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687F2478"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70A7003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51BFF1A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Salience of consequences (use methods specifically designed to emphasise the consequences of performing the behaviour with the aim of making them more memorable (goes beyond informing about consequences))</w:t>
            </w:r>
          </w:p>
          <w:p w14:paraId="4BA786F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social and environmental consequences (provide information (e.g. written, verbal, visual) about social and environmental consequences of performing the behaviour)</w:t>
            </w:r>
          </w:p>
          <w:p w14:paraId="74F0802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49711F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13C9A8CF"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3A5DC1A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39DADCD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1C56EE49"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p w14:paraId="4E00399D"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21D18125" w14:textId="77777777" w:rsidTr="0052052E">
        <w:trPr>
          <w:cnfStyle w:val="000000100000" w:firstRow="0" w:lastRow="0" w:firstColumn="0" w:lastColumn="0" w:oddVBand="0" w:evenVBand="0" w:oddHBand="1" w:evenHBand="0" w:firstRowFirstColumn="0" w:firstRowLastColumn="0" w:lastRowFirstColumn="0" w:lastRowLastColumn="0"/>
          <w:trHeight w:val="792"/>
        </w:trPr>
        <w:tc>
          <w:tcPr>
            <w:tcW w:w="1759" w:type="dxa"/>
            <w:vMerge/>
            <w:tcBorders>
              <w:bottom w:val="single" w:sz="4" w:space="0" w:color="4472C4" w:themeColor="accent1"/>
            </w:tcBorders>
            <w:shd w:val="clear" w:color="auto" w:fill="auto"/>
          </w:tcPr>
          <w:p w14:paraId="4F6DC6F3" w14:textId="77777777" w:rsidR="00C63ACE" w:rsidRPr="00C864BD" w:rsidRDefault="00C63ACE" w:rsidP="0052052E">
            <w:pPr>
              <w:spacing w:before="120" w:after="120" w:line="276" w:lineRule="auto"/>
              <w:jc w:val="left"/>
              <w:rPr>
                <w:rFonts w:ascii="Arial" w:hAnsi="Arial" w:cs="Arial"/>
                <w:sz w:val="16"/>
                <w:szCs w:val="16"/>
                <w:lang w:val="en-NZ"/>
              </w:rPr>
            </w:pPr>
          </w:p>
        </w:tc>
        <w:tc>
          <w:tcPr>
            <w:tcW w:w="1892" w:type="dxa"/>
            <w:gridSpan w:val="2"/>
            <w:tcBorders>
              <w:top w:val="single" w:sz="4" w:space="0" w:color="4472C4" w:themeColor="accent1"/>
              <w:bottom w:val="single" w:sz="4" w:space="0" w:color="4472C4" w:themeColor="accent1"/>
            </w:tcBorders>
            <w:shd w:val="clear" w:color="auto" w:fill="auto"/>
          </w:tcPr>
          <w:p w14:paraId="41762B39"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Perceptions of what constitutes healthy behaviour</w:t>
            </w:r>
          </w:p>
        </w:tc>
        <w:tc>
          <w:tcPr>
            <w:tcW w:w="1398" w:type="dxa"/>
            <w:tcBorders>
              <w:top w:val="single" w:sz="4" w:space="0" w:color="4472C4" w:themeColor="accent1"/>
              <w:bottom w:val="single" w:sz="4" w:space="0" w:color="4472C4" w:themeColor="accent1"/>
            </w:tcBorders>
            <w:shd w:val="clear" w:color="auto" w:fill="auto"/>
          </w:tcPr>
          <w:p w14:paraId="6D650677"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 xml:space="preserve">Education                                                     </w:t>
            </w:r>
          </w:p>
          <w:p w14:paraId="57B5FE7D"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Persuasion</w:t>
            </w:r>
          </w:p>
          <w:p w14:paraId="7BF0D39A"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Modelling</w:t>
            </w:r>
          </w:p>
        </w:tc>
        <w:tc>
          <w:tcPr>
            <w:tcW w:w="4210" w:type="dxa"/>
            <w:tcBorders>
              <w:top w:val="single" w:sz="4" w:space="0" w:color="4472C4" w:themeColor="accent1"/>
              <w:bottom w:val="single" w:sz="4" w:space="0" w:color="4472C4" w:themeColor="accent1"/>
            </w:tcBorders>
            <w:shd w:val="clear" w:color="auto" w:fill="auto"/>
          </w:tcPr>
          <w:p w14:paraId="60F2C51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5C80C1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52838F2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1C183E5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691B46CC"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5677E1B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501C038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Salience of consequences (use methods specifically designed to emphasise the consequences of performing the behaviour with the aim of making them more memorable (goes beyond informing about consequences))</w:t>
            </w:r>
          </w:p>
          <w:p w14:paraId="5DBF184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social and environmental consequences (provide information (e.g. written, verbal, visual) about social and environmental consequences of performing the behaviour)</w:t>
            </w:r>
          </w:p>
          <w:p w14:paraId="0713EA7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Anticipated regret (induce or raise awareness of expectations of future regret about performance of the unwanted behaviour)</w:t>
            </w:r>
          </w:p>
          <w:p w14:paraId="2215817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emotional consequences (provide information (e.g. written, verbal, visual) about emotional consequences of performing the behaviour)</w:t>
            </w:r>
          </w:p>
          <w:p w14:paraId="2E145D3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Pros and cons (advise the person to identify and compare reasons for wanting (pros) and not wanting to (cons) change the behaviour (includes ‘decisional balance’))</w:t>
            </w:r>
          </w:p>
          <w:p w14:paraId="5E49D10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Comparative imagining of future outcomes (prompt or advise the imagining and comparing of future outcomes of changed versus unchanged behaviour)</w:t>
            </w:r>
          </w:p>
          <w:p w14:paraId="50E54B5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Material incentive - behaviour (inform that money, vouchers or other valued objects will be delivered if and only if there has been eff ort and/or progress in performing the behaviour (includes ‘Positive reinforcement’))</w:t>
            </w:r>
          </w:p>
          <w:p w14:paraId="0788393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p w14:paraId="100819C6"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Reward - outcome (arrange for the delivery of a reward if and only if there has been eff ort and/or progress in achieving the behavioural outcome (includes ‘positive reinforcement’))</w:t>
            </w:r>
          </w:p>
        </w:tc>
      </w:tr>
      <w:tr w:rsidR="00C63ACE" w:rsidRPr="00C864BD" w14:paraId="76DB7DB5" w14:textId="77777777" w:rsidTr="0052052E">
        <w:trPr>
          <w:trHeight w:val="1557"/>
        </w:trPr>
        <w:tc>
          <w:tcPr>
            <w:tcW w:w="1759" w:type="dxa"/>
            <w:tcBorders>
              <w:top w:val="single" w:sz="4" w:space="0" w:color="4472C4" w:themeColor="accent1"/>
              <w:bottom w:val="single" w:sz="4" w:space="0" w:color="4472C4" w:themeColor="accent1"/>
            </w:tcBorders>
            <w:shd w:val="clear" w:color="auto" w:fill="auto"/>
          </w:tcPr>
          <w:p w14:paraId="7D543577"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kern w:val="24"/>
                <w:sz w:val="16"/>
                <w:szCs w:val="16"/>
              </w:rPr>
              <w:lastRenderedPageBreak/>
              <w:t xml:space="preserve">Intentions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bottom w:val="single" w:sz="4" w:space="0" w:color="4472C4" w:themeColor="accent1"/>
            </w:tcBorders>
            <w:shd w:val="clear" w:color="auto" w:fill="auto"/>
          </w:tcPr>
          <w:p w14:paraId="22940BF2"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70C0"/>
                <w:kern w:val="24"/>
                <w:sz w:val="16"/>
                <w:szCs w:val="16"/>
              </w:rPr>
              <w:t>NHS H</w:t>
            </w:r>
            <w:r>
              <w:rPr>
                <w:rFonts w:ascii="Arial" w:hAnsi="Arial" w:cs="Arial"/>
                <w:color w:val="0070C0"/>
                <w:kern w:val="24"/>
                <w:sz w:val="16"/>
                <w:szCs w:val="16"/>
              </w:rPr>
              <w:t xml:space="preserve">ealth </w:t>
            </w:r>
            <w:r w:rsidRPr="00C864BD">
              <w:rPr>
                <w:rFonts w:ascii="Arial" w:hAnsi="Arial" w:cs="Arial"/>
                <w:color w:val="0070C0"/>
                <w:kern w:val="24"/>
                <w:sz w:val="16"/>
                <w:szCs w:val="16"/>
              </w:rPr>
              <w:t>C</w:t>
            </w:r>
            <w:r>
              <w:rPr>
                <w:rFonts w:ascii="Arial" w:hAnsi="Arial" w:cs="Arial"/>
                <w:color w:val="0070C0"/>
                <w:kern w:val="24"/>
                <w:sz w:val="16"/>
                <w:szCs w:val="16"/>
              </w:rPr>
              <w:t>heck</w:t>
            </w:r>
            <w:r w:rsidRPr="00C864BD">
              <w:rPr>
                <w:rFonts w:ascii="Arial" w:hAnsi="Arial" w:cs="Arial"/>
                <w:color w:val="0070C0"/>
                <w:kern w:val="24"/>
                <w:sz w:val="16"/>
                <w:szCs w:val="16"/>
              </w:rPr>
              <w:t xml:space="preserve">s as a 'wake-up call' </w:t>
            </w:r>
          </w:p>
        </w:tc>
        <w:tc>
          <w:tcPr>
            <w:tcW w:w="1398" w:type="dxa"/>
            <w:tcBorders>
              <w:top w:val="single" w:sz="4" w:space="0" w:color="4472C4" w:themeColor="accent1"/>
              <w:bottom w:val="single" w:sz="4" w:space="0" w:color="4472C4" w:themeColor="accent1"/>
            </w:tcBorders>
            <w:shd w:val="clear" w:color="auto" w:fill="auto"/>
          </w:tcPr>
          <w:p w14:paraId="249B042E"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Education</w:t>
            </w:r>
          </w:p>
          <w:p w14:paraId="69FC1434"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Persuasion</w:t>
            </w:r>
          </w:p>
          <w:p w14:paraId="069FF146"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Incentivisation</w:t>
            </w:r>
          </w:p>
          <w:p w14:paraId="40F7D0DD"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Coercion</w:t>
            </w:r>
          </w:p>
          <w:p w14:paraId="7E147E3B" w14:textId="77777777" w:rsidR="00C63ACE" w:rsidRPr="00C864BD" w:rsidRDefault="00C63ACE" w:rsidP="0052052E">
            <w:pPr>
              <w:snapToGrid w:val="0"/>
              <w:spacing w:before="120" w:after="120" w:line="276" w:lineRule="auto"/>
              <w:jc w:val="left"/>
              <w:rPr>
                <w:rFonts w:ascii="Arial" w:hAnsi="Arial" w:cs="Arial"/>
                <w:i/>
                <w:color w:val="FF0000"/>
                <w:kern w:val="24"/>
                <w:sz w:val="16"/>
                <w:szCs w:val="16"/>
              </w:rPr>
            </w:pPr>
            <w:r w:rsidRPr="00C864BD">
              <w:rPr>
                <w:rFonts w:ascii="Arial" w:hAnsi="Arial" w:cs="Arial"/>
                <w:i/>
                <w:color w:val="000000" w:themeColor="text1"/>
                <w:kern w:val="24"/>
                <w:sz w:val="16"/>
                <w:szCs w:val="16"/>
              </w:rPr>
              <w:t>Modelling</w:t>
            </w:r>
          </w:p>
        </w:tc>
        <w:tc>
          <w:tcPr>
            <w:tcW w:w="4210" w:type="dxa"/>
            <w:tcBorders>
              <w:top w:val="single" w:sz="4" w:space="0" w:color="4472C4" w:themeColor="accent1"/>
              <w:bottom w:val="single" w:sz="4" w:space="0" w:color="4472C4" w:themeColor="accent1"/>
            </w:tcBorders>
          </w:tcPr>
          <w:p w14:paraId="733B965D"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5004749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55F949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(incentivisation and coercion only)</w:t>
            </w:r>
          </w:p>
          <w:p w14:paraId="577CF7C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703A054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7CE93DE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bottom w:val="single" w:sz="4" w:space="0" w:color="4472C4" w:themeColor="accent1"/>
            </w:tcBorders>
            <w:shd w:val="clear" w:color="auto" w:fill="auto"/>
          </w:tcPr>
          <w:p w14:paraId="1AF96B5E"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Goal setting - behaviour (set or agree a goal defined in terms of the behaviour to be achieved)</w:t>
            </w:r>
          </w:p>
          <w:p w14:paraId="6D98A68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1439576C"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tc>
      </w:tr>
      <w:tr w:rsidR="00C63ACE" w:rsidRPr="00C864BD" w14:paraId="62CF3BD2" w14:textId="77777777" w:rsidTr="0052052E">
        <w:trPr>
          <w:cnfStyle w:val="000000100000" w:firstRow="0" w:lastRow="0" w:firstColumn="0" w:lastColumn="0" w:oddVBand="0" w:evenVBand="0" w:oddHBand="1" w:evenHBand="0" w:firstRowFirstColumn="0" w:firstRowLastColumn="0" w:lastRowFirstColumn="0" w:lastRowLastColumn="0"/>
          <w:trHeight w:val="240"/>
        </w:trPr>
        <w:tc>
          <w:tcPr>
            <w:tcW w:w="1759" w:type="dxa"/>
            <w:tcBorders>
              <w:top w:val="single" w:sz="4" w:space="0" w:color="4472C4" w:themeColor="accent1"/>
            </w:tcBorders>
            <w:shd w:val="clear" w:color="auto" w:fill="auto"/>
          </w:tcPr>
          <w:p w14:paraId="5D7280CA"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color w:val="000000" w:themeColor="text1"/>
                <w:kern w:val="24"/>
                <w:sz w:val="16"/>
                <w:szCs w:val="16"/>
              </w:rPr>
              <w:t xml:space="preserve">Optimism </w:t>
            </w:r>
            <w:r w:rsidRPr="00C864BD">
              <w:rPr>
                <w:rFonts w:ascii="Arial" w:hAnsi="Arial" w:cs="Arial"/>
                <w:color w:val="000000" w:themeColor="text1"/>
                <w:kern w:val="24"/>
                <w:sz w:val="16"/>
                <w:szCs w:val="16"/>
                <w:lang w:val="en-US"/>
              </w:rPr>
              <w:t>(reflective motivation)</w:t>
            </w:r>
          </w:p>
        </w:tc>
        <w:tc>
          <w:tcPr>
            <w:tcW w:w="1892" w:type="dxa"/>
            <w:gridSpan w:val="2"/>
            <w:tcBorders>
              <w:top w:val="single" w:sz="4" w:space="0" w:color="4472C4" w:themeColor="accent1"/>
            </w:tcBorders>
            <w:shd w:val="clear" w:color="auto" w:fill="auto"/>
          </w:tcPr>
          <w:p w14:paraId="0CC39EED"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FF0000"/>
                <w:kern w:val="24"/>
                <w:sz w:val="16"/>
                <w:szCs w:val="16"/>
              </w:rPr>
              <w:t>Fatalistic views about disease</w:t>
            </w:r>
          </w:p>
        </w:tc>
        <w:tc>
          <w:tcPr>
            <w:tcW w:w="1398" w:type="dxa"/>
            <w:tcBorders>
              <w:top w:val="single" w:sz="4" w:space="0" w:color="4472C4" w:themeColor="accent1"/>
            </w:tcBorders>
            <w:shd w:val="clear" w:color="auto" w:fill="auto"/>
          </w:tcPr>
          <w:p w14:paraId="47B49FE5"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Education</w:t>
            </w:r>
          </w:p>
          <w:p w14:paraId="7766FE10"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Persuasion</w:t>
            </w:r>
          </w:p>
          <w:p w14:paraId="452D9EE7" w14:textId="77777777" w:rsidR="00C63ACE" w:rsidRPr="00C864BD" w:rsidRDefault="00C63ACE" w:rsidP="0052052E">
            <w:pPr>
              <w:snapToGrid w:val="0"/>
              <w:spacing w:before="120" w:after="120" w:line="276" w:lineRule="auto"/>
              <w:jc w:val="left"/>
              <w:rPr>
                <w:rFonts w:ascii="Arial" w:hAnsi="Arial" w:cs="Arial"/>
                <w:i/>
                <w:sz w:val="16"/>
                <w:szCs w:val="16"/>
                <w:lang w:val="en-US" w:eastAsia="ar-SA"/>
              </w:rPr>
            </w:pPr>
            <w:r w:rsidRPr="00C864BD">
              <w:rPr>
                <w:rFonts w:ascii="Arial" w:hAnsi="Arial" w:cs="Arial"/>
                <w:i/>
                <w:sz w:val="16"/>
                <w:szCs w:val="16"/>
                <w:lang w:val="en-US" w:eastAsia="ar-SA"/>
              </w:rPr>
              <w:t>Modelling</w:t>
            </w:r>
          </w:p>
          <w:p w14:paraId="0235DDC3"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sz w:val="16"/>
                <w:szCs w:val="16"/>
                <w:lang w:val="en-US" w:eastAsia="ar-SA"/>
              </w:rPr>
              <w:t>Enablement</w:t>
            </w:r>
          </w:p>
        </w:tc>
        <w:tc>
          <w:tcPr>
            <w:tcW w:w="4210" w:type="dxa"/>
            <w:tcBorders>
              <w:top w:val="single" w:sz="4" w:space="0" w:color="4472C4" w:themeColor="accent1"/>
            </w:tcBorders>
            <w:shd w:val="clear" w:color="auto" w:fill="auto"/>
          </w:tcPr>
          <w:p w14:paraId="67892D2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 (not enablement)</w:t>
            </w:r>
          </w:p>
          <w:p w14:paraId="1495E43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5560376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(enablement only)</w:t>
            </w:r>
          </w:p>
          <w:p w14:paraId="6739E06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3261B60A"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69917E70"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 xml:space="preserve">Environmental /social planning (enablement only) </w:t>
            </w:r>
          </w:p>
          <w:p w14:paraId="0DAC829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tcBorders>
              <w:top w:val="single" w:sz="4" w:space="0" w:color="4472C4" w:themeColor="accent1"/>
            </w:tcBorders>
            <w:shd w:val="clear" w:color="auto" w:fill="auto"/>
          </w:tcPr>
          <w:p w14:paraId="2E1B27B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Review outcome goal(s) (review outcome goal(s) jointly with the person and consider modifying goal(s) in light of achievement. This may lead to re-setting the same goal, a small change in that goal or setting a new goal instead of, or in addition to the f</w:t>
            </w:r>
          </w:p>
        </w:tc>
      </w:tr>
      <w:tr w:rsidR="00C63ACE" w:rsidRPr="00C864BD" w14:paraId="48EF232E" w14:textId="77777777" w:rsidTr="0052052E">
        <w:trPr>
          <w:trHeight w:val="155"/>
        </w:trPr>
        <w:tc>
          <w:tcPr>
            <w:tcW w:w="9259" w:type="dxa"/>
            <w:gridSpan w:val="5"/>
            <w:shd w:val="clear" w:color="auto" w:fill="D9E2F3" w:themeFill="accent1" w:themeFillTint="33"/>
          </w:tcPr>
          <w:p w14:paraId="4336C4CD" w14:textId="77777777" w:rsidR="00C63ACE" w:rsidRPr="00C864BD" w:rsidRDefault="00C63ACE" w:rsidP="0052052E">
            <w:pPr>
              <w:spacing w:before="120" w:after="120" w:line="276" w:lineRule="auto"/>
              <w:jc w:val="left"/>
              <w:rPr>
                <w:rFonts w:ascii="Arial" w:hAnsi="Arial" w:cs="Arial"/>
                <w:b/>
                <w:sz w:val="16"/>
                <w:szCs w:val="16"/>
                <w:lang w:val="en-NZ"/>
              </w:rPr>
            </w:pPr>
          </w:p>
          <w:p w14:paraId="2728BA53"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b/>
                <w:sz w:val="16"/>
                <w:szCs w:val="16"/>
                <w:lang w:val="en-NZ"/>
              </w:rPr>
              <w:t>Patient attending repeat NHS H</w:t>
            </w:r>
            <w:r>
              <w:rPr>
                <w:rFonts w:ascii="Arial" w:hAnsi="Arial" w:cs="Arial"/>
                <w:b/>
                <w:sz w:val="16"/>
                <w:szCs w:val="16"/>
                <w:lang w:val="en-NZ"/>
              </w:rPr>
              <w:t xml:space="preserve">ealth </w:t>
            </w:r>
            <w:r w:rsidRPr="00C864BD">
              <w:rPr>
                <w:rFonts w:ascii="Arial" w:hAnsi="Arial" w:cs="Arial"/>
                <w:b/>
                <w:sz w:val="16"/>
                <w:szCs w:val="16"/>
                <w:lang w:val="en-NZ"/>
              </w:rPr>
              <w:t>C</w:t>
            </w:r>
            <w:r>
              <w:rPr>
                <w:rFonts w:ascii="Arial" w:hAnsi="Arial" w:cs="Arial"/>
                <w:b/>
                <w:sz w:val="16"/>
                <w:szCs w:val="16"/>
                <w:lang w:val="en-NZ"/>
              </w:rPr>
              <w:t>heck</w:t>
            </w:r>
          </w:p>
        </w:tc>
        <w:tc>
          <w:tcPr>
            <w:tcW w:w="4775" w:type="dxa"/>
            <w:gridSpan w:val="2"/>
            <w:shd w:val="clear" w:color="auto" w:fill="D9E2F3" w:themeFill="accent1" w:themeFillTint="33"/>
          </w:tcPr>
          <w:p w14:paraId="6080D16D"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NZ"/>
              </w:rPr>
            </w:pPr>
          </w:p>
        </w:tc>
      </w:tr>
      <w:tr w:rsidR="00C63ACE" w:rsidRPr="00C864BD" w14:paraId="04D5569C" w14:textId="77777777" w:rsidTr="0052052E">
        <w:trPr>
          <w:cnfStyle w:val="000000100000" w:firstRow="0" w:lastRow="0" w:firstColumn="0" w:lastColumn="0" w:oddVBand="0" w:evenVBand="0" w:oddHBand="1" w:evenHBand="0" w:firstRowFirstColumn="0" w:firstRowLastColumn="0" w:lastRowFirstColumn="0" w:lastRowLastColumn="0"/>
          <w:trHeight w:val="26"/>
        </w:trPr>
        <w:tc>
          <w:tcPr>
            <w:tcW w:w="1759" w:type="dxa"/>
            <w:shd w:val="clear" w:color="auto" w:fill="auto"/>
          </w:tcPr>
          <w:p w14:paraId="19257AB9"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bCs/>
                <w:color w:val="000000" w:themeColor="text1"/>
                <w:kern w:val="24"/>
                <w:sz w:val="16"/>
                <w:szCs w:val="16"/>
                <w:lang w:val="en-US"/>
              </w:rPr>
              <w:t xml:space="preserve">Intentions </w:t>
            </w:r>
            <w:r w:rsidRPr="00C864BD">
              <w:rPr>
                <w:rFonts w:ascii="Arial" w:hAnsi="Arial" w:cs="Arial"/>
                <w:color w:val="000000" w:themeColor="text1"/>
                <w:kern w:val="24"/>
                <w:sz w:val="16"/>
                <w:szCs w:val="16"/>
                <w:lang w:val="en-US"/>
              </w:rPr>
              <w:t>(reflective motivation)</w:t>
            </w:r>
          </w:p>
        </w:tc>
        <w:tc>
          <w:tcPr>
            <w:tcW w:w="1892" w:type="dxa"/>
            <w:gridSpan w:val="2"/>
            <w:shd w:val="clear" w:color="auto" w:fill="auto"/>
          </w:tcPr>
          <w:p w14:paraId="4DE1CAF8"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color w:val="00B050"/>
                <w:kern w:val="24"/>
                <w:sz w:val="16"/>
                <w:szCs w:val="16"/>
              </w:rPr>
              <w:t>Likelihood of attending future NHS H</w:t>
            </w:r>
            <w:r>
              <w:rPr>
                <w:rFonts w:ascii="Arial" w:hAnsi="Arial" w:cs="Arial"/>
                <w:color w:val="00B050"/>
                <w:kern w:val="24"/>
                <w:sz w:val="16"/>
                <w:szCs w:val="16"/>
              </w:rPr>
              <w:t xml:space="preserve">ealth </w:t>
            </w:r>
            <w:r w:rsidRPr="00C864BD">
              <w:rPr>
                <w:rFonts w:ascii="Arial" w:hAnsi="Arial" w:cs="Arial"/>
                <w:color w:val="00B050"/>
                <w:kern w:val="24"/>
                <w:sz w:val="16"/>
                <w:szCs w:val="16"/>
              </w:rPr>
              <w:t>C</w:t>
            </w:r>
            <w:r>
              <w:rPr>
                <w:rFonts w:ascii="Arial" w:hAnsi="Arial" w:cs="Arial"/>
                <w:color w:val="00B050"/>
                <w:kern w:val="24"/>
                <w:sz w:val="16"/>
                <w:szCs w:val="16"/>
              </w:rPr>
              <w:t>hecks</w:t>
            </w:r>
          </w:p>
        </w:tc>
        <w:tc>
          <w:tcPr>
            <w:tcW w:w="1398" w:type="dxa"/>
            <w:shd w:val="clear" w:color="auto" w:fill="auto"/>
          </w:tcPr>
          <w:p w14:paraId="6A347C09"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Education</w:t>
            </w:r>
          </w:p>
          <w:p w14:paraId="7A874D57"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Persuasion</w:t>
            </w:r>
          </w:p>
          <w:p w14:paraId="33AF0E46"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Incentivisation</w:t>
            </w:r>
          </w:p>
          <w:p w14:paraId="5DC35D15" w14:textId="77777777" w:rsidR="00C63ACE" w:rsidRPr="00C864BD" w:rsidRDefault="00C63ACE" w:rsidP="0052052E">
            <w:pPr>
              <w:snapToGrid w:val="0"/>
              <w:spacing w:before="120" w:after="120" w:line="276" w:lineRule="auto"/>
              <w:jc w:val="left"/>
              <w:rPr>
                <w:rFonts w:ascii="Arial" w:hAnsi="Arial" w:cs="Arial"/>
                <w:i/>
                <w:color w:val="000000" w:themeColor="text1"/>
                <w:kern w:val="24"/>
                <w:sz w:val="16"/>
                <w:szCs w:val="16"/>
              </w:rPr>
            </w:pPr>
            <w:r w:rsidRPr="00C864BD">
              <w:rPr>
                <w:rFonts w:ascii="Arial" w:hAnsi="Arial" w:cs="Arial"/>
                <w:i/>
                <w:color w:val="000000" w:themeColor="text1"/>
                <w:kern w:val="24"/>
                <w:sz w:val="16"/>
                <w:szCs w:val="16"/>
              </w:rPr>
              <w:t>Coercion</w:t>
            </w:r>
          </w:p>
          <w:p w14:paraId="2AD6DDAD"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kern w:val="24"/>
                <w:sz w:val="16"/>
                <w:szCs w:val="16"/>
              </w:rPr>
              <w:t>Modelling</w:t>
            </w:r>
          </w:p>
        </w:tc>
        <w:tc>
          <w:tcPr>
            <w:tcW w:w="4210" w:type="dxa"/>
            <w:shd w:val="clear" w:color="auto" w:fill="auto"/>
          </w:tcPr>
          <w:p w14:paraId="1002F0A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Communication/ marketing</w:t>
            </w:r>
          </w:p>
          <w:p w14:paraId="5BD79A2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Guidelines (not modelling)</w:t>
            </w:r>
          </w:p>
          <w:p w14:paraId="79418F53"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Fiscal measures (incentivisation and coercion only)</w:t>
            </w:r>
          </w:p>
          <w:p w14:paraId="63245617"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Regulation (not modelling)</w:t>
            </w:r>
          </w:p>
          <w:p w14:paraId="0407A2C6"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Legislation (not modelling)</w:t>
            </w:r>
          </w:p>
          <w:p w14:paraId="33FC476B"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Service provision</w:t>
            </w:r>
          </w:p>
        </w:tc>
        <w:tc>
          <w:tcPr>
            <w:tcW w:w="4775" w:type="dxa"/>
            <w:gridSpan w:val="2"/>
            <w:shd w:val="clear" w:color="auto" w:fill="auto"/>
          </w:tcPr>
          <w:p w14:paraId="704CA444"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Goal setting - behaviour (set or agree a goal defined in terms of the behaviour to be achieved)</w:t>
            </w:r>
          </w:p>
          <w:p w14:paraId="4746C115" w14:textId="77777777" w:rsidR="00C63ACE" w:rsidRPr="00C864BD" w:rsidRDefault="00C63ACE" w:rsidP="0052052E">
            <w:pPr>
              <w:spacing w:before="120" w:after="120" w:line="276" w:lineRule="auto"/>
              <w:jc w:val="left"/>
              <w:rPr>
                <w:rFonts w:ascii="Arial" w:hAnsi="Arial" w:cs="Arial"/>
                <w:color w:val="262626" w:themeColor="text1" w:themeTint="D9"/>
                <w:kern w:val="24"/>
                <w:sz w:val="16"/>
                <w:szCs w:val="16"/>
              </w:rPr>
            </w:pPr>
            <w:r w:rsidRPr="00C864BD">
              <w:rPr>
                <w:rFonts w:ascii="Arial" w:hAnsi="Arial" w:cs="Arial"/>
                <w:color w:val="262626" w:themeColor="text1" w:themeTint="D9"/>
                <w:kern w:val="24"/>
                <w:sz w:val="16"/>
                <w:szCs w:val="16"/>
              </w:rPr>
              <w:t>Information about health consequences (provide information (e.g. written, verbal, visual) about health consequences of performing the behaviour)</w:t>
            </w:r>
          </w:p>
          <w:p w14:paraId="006A308E" w14:textId="77777777" w:rsidR="00C63ACE" w:rsidRPr="00C864BD" w:rsidRDefault="00C63ACE" w:rsidP="0052052E">
            <w:pPr>
              <w:spacing w:before="120" w:after="120" w:line="276" w:lineRule="auto"/>
              <w:jc w:val="left"/>
              <w:rPr>
                <w:rFonts w:ascii="Arial" w:hAnsi="Arial" w:cs="Arial"/>
                <w:i/>
                <w:color w:val="262626" w:themeColor="text1" w:themeTint="D9"/>
                <w:kern w:val="24"/>
                <w:sz w:val="16"/>
                <w:szCs w:val="16"/>
              </w:rPr>
            </w:pPr>
            <w:r w:rsidRPr="00C864BD">
              <w:rPr>
                <w:rFonts w:ascii="Arial" w:hAnsi="Arial" w:cs="Arial"/>
                <w:color w:val="262626" w:themeColor="text1" w:themeTint="D9"/>
                <w:kern w:val="24"/>
                <w:sz w:val="16"/>
                <w:szCs w:val="16"/>
              </w:rPr>
              <w:t>Incentive – outcome (inform that a reward will be delivered if and only if there has been eff ort and/or progress in achieving the behavioural outcome (includes ‘positive reinforcement’))</w:t>
            </w:r>
          </w:p>
        </w:tc>
      </w:tr>
      <w:tr w:rsidR="00C63ACE" w:rsidRPr="00C864BD" w14:paraId="6172C0A2" w14:textId="77777777" w:rsidTr="0052052E">
        <w:trPr>
          <w:trHeight w:val="147"/>
        </w:trPr>
        <w:tc>
          <w:tcPr>
            <w:tcW w:w="9259" w:type="dxa"/>
            <w:gridSpan w:val="5"/>
            <w:shd w:val="clear" w:color="auto" w:fill="D9E2F3" w:themeFill="accent1" w:themeFillTint="33"/>
          </w:tcPr>
          <w:p w14:paraId="076859CC" w14:textId="77777777" w:rsidR="00C63ACE" w:rsidRPr="00C864BD" w:rsidRDefault="00C63ACE" w:rsidP="0052052E">
            <w:pPr>
              <w:spacing w:before="120" w:after="120" w:line="276" w:lineRule="auto"/>
              <w:jc w:val="left"/>
              <w:rPr>
                <w:rFonts w:ascii="Arial" w:hAnsi="Arial" w:cs="Arial"/>
                <w:b/>
                <w:sz w:val="16"/>
                <w:szCs w:val="16"/>
                <w:lang w:val="en-NZ"/>
              </w:rPr>
            </w:pPr>
          </w:p>
          <w:p w14:paraId="49498BC8" w14:textId="77777777" w:rsidR="00C63ACE" w:rsidRPr="00C864BD" w:rsidRDefault="00C63ACE" w:rsidP="0052052E">
            <w:pPr>
              <w:snapToGrid w:val="0"/>
              <w:spacing w:before="120" w:after="120" w:line="276" w:lineRule="auto"/>
              <w:jc w:val="left"/>
              <w:rPr>
                <w:rFonts w:ascii="Arial" w:hAnsi="Arial" w:cs="Arial"/>
                <w:b/>
                <w:i/>
                <w:sz w:val="16"/>
                <w:szCs w:val="16"/>
                <w:lang w:val="en-NZ"/>
              </w:rPr>
            </w:pPr>
            <w:r w:rsidRPr="00C864BD">
              <w:rPr>
                <w:rFonts w:ascii="Arial" w:hAnsi="Arial" w:cs="Arial"/>
                <w:b/>
                <w:sz w:val="16"/>
                <w:szCs w:val="16"/>
                <w:lang w:val="en-NZ"/>
              </w:rPr>
              <w:t>HCP recording NHS H</w:t>
            </w:r>
            <w:r>
              <w:rPr>
                <w:rFonts w:ascii="Arial" w:hAnsi="Arial" w:cs="Arial"/>
                <w:b/>
                <w:sz w:val="16"/>
                <w:szCs w:val="16"/>
                <w:lang w:val="en-NZ"/>
              </w:rPr>
              <w:t xml:space="preserve">ealth </w:t>
            </w:r>
            <w:r w:rsidRPr="00C864BD">
              <w:rPr>
                <w:rFonts w:ascii="Arial" w:hAnsi="Arial" w:cs="Arial"/>
                <w:b/>
                <w:sz w:val="16"/>
                <w:szCs w:val="16"/>
                <w:lang w:val="en-NZ"/>
              </w:rPr>
              <w:t>C</w:t>
            </w:r>
            <w:r>
              <w:rPr>
                <w:rFonts w:ascii="Arial" w:hAnsi="Arial" w:cs="Arial"/>
                <w:b/>
                <w:sz w:val="16"/>
                <w:szCs w:val="16"/>
                <w:lang w:val="en-NZ"/>
              </w:rPr>
              <w:t>heck</w:t>
            </w:r>
            <w:r w:rsidRPr="00C864BD">
              <w:rPr>
                <w:rFonts w:ascii="Arial" w:hAnsi="Arial" w:cs="Arial"/>
                <w:b/>
                <w:sz w:val="16"/>
                <w:szCs w:val="16"/>
                <w:lang w:val="en-NZ"/>
              </w:rPr>
              <w:t xml:space="preserve"> data</w:t>
            </w:r>
          </w:p>
        </w:tc>
        <w:tc>
          <w:tcPr>
            <w:tcW w:w="4775" w:type="dxa"/>
            <w:gridSpan w:val="2"/>
            <w:shd w:val="clear" w:color="auto" w:fill="D9E2F3" w:themeFill="accent1" w:themeFillTint="33"/>
          </w:tcPr>
          <w:p w14:paraId="258459B8" w14:textId="77777777" w:rsidR="00C63ACE" w:rsidRPr="00C864BD" w:rsidRDefault="00C63ACE" w:rsidP="0052052E">
            <w:pPr>
              <w:spacing w:before="120" w:after="120" w:line="276" w:lineRule="auto"/>
              <w:ind w:hanging="3505"/>
              <w:jc w:val="left"/>
              <w:rPr>
                <w:rFonts w:ascii="Arial" w:hAnsi="Arial" w:cs="Arial"/>
                <w:b/>
                <w:color w:val="262626" w:themeColor="text1" w:themeTint="D9"/>
                <w:sz w:val="16"/>
                <w:szCs w:val="16"/>
                <w:lang w:val="en-NZ"/>
              </w:rPr>
            </w:pPr>
          </w:p>
        </w:tc>
      </w:tr>
      <w:tr w:rsidR="00C63ACE" w:rsidRPr="00C864BD" w14:paraId="66813A56" w14:textId="77777777" w:rsidTr="0052052E">
        <w:trPr>
          <w:cnfStyle w:val="000000100000" w:firstRow="0" w:lastRow="0" w:firstColumn="0" w:lastColumn="0" w:oddVBand="0" w:evenVBand="0" w:oddHBand="1" w:evenHBand="0" w:firstRowFirstColumn="0" w:firstRowLastColumn="0" w:lastRowFirstColumn="0" w:lastRowLastColumn="0"/>
          <w:trHeight w:val="520"/>
        </w:trPr>
        <w:tc>
          <w:tcPr>
            <w:tcW w:w="1759" w:type="dxa"/>
            <w:tcBorders>
              <w:bottom w:val="single" w:sz="4" w:space="0" w:color="4472C4" w:themeColor="accent1"/>
            </w:tcBorders>
            <w:shd w:val="clear" w:color="auto" w:fill="auto"/>
          </w:tcPr>
          <w:p w14:paraId="0A54EA0F" w14:textId="77777777" w:rsidR="00C63ACE" w:rsidRPr="00C864BD" w:rsidRDefault="00C63ACE" w:rsidP="0052052E">
            <w:pPr>
              <w:spacing w:before="120" w:after="120" w:line="276" w:lineRule="auto"/>
              <w:jc w:val="left"/>
              <w:rPr>
                <w:rFonts w:ascii="Arial" w:hAnsi="Arial" w:cs="Arial"/>
                <w:sz w:val="16"/>
                <w:szCs w:val="16"/>
                <w:lang w:val="en-NZ"/>
              </w:rPr>
            </w:pPr>
            <w:r w:rsidRPr="00C864BD">
              <w:rPr>
                <w:rFonts w:ascii="Arial" w:hAnsi="Arial" w:cs="Arial"/>
                <w:bCs/>
                <w:color w:val="000000" w:themeColor="text1"/>
                <w:kern w:val="24"/>
                <w:sz w:val="16"/>
                <w:szCs w:val="16"/>
                <w:lang w:val="en-US"/>
              </w:rPr>
              <w:t>Environmental context and resources (physical opportunity)</w:t>
            </w:r>
          </w:p>
        </w:tc>
        <w:tc>
          <w:tcPr>
            <w:tcW w:w="1892" w:type="dxa"/>
            <w:gridSpan w:val="2"/>
            <w:tcBorders>
              <w:bottom w:val="single" w:sz="4" w:space="0" w:color="4472C4" w:themeColor="accent1"/>
            </w:tcBorders>
            <w:shd w:val="clear" w:color="auto" w:fill="auto"/>
          </w:tcPr>
          <w:p w14:paraId="76A407CE" w14:textId="77777777" w:rsidR="00C63ACE" w:rsidRPr="00C864BD" w:rsidRDefault="00C63ACE" w:rsidP="0052052E">
            <w:pPr>
              <w:spacing w:before="120" w:after="120" w:line="276" w:lineRule="auto"/>
              <w:ind w:left="140" w:right="197"/>
              <w:jc w:val="left"/>
              <w:rPr>
                <w:rFonts w:ascii="Arial" w:hAnsi="Arial" w:cs="Arial"/>
                <w:sz w:val="16"/>
                <w:szCs w:val="16"/>
                <w:lang w:val="en-NZ"/>
              </w:rPr>
            </w:pPr>
            <w:r w:rsidRPr="00C864BD">
              <w:rPr>
                <w:rFonts w:ascii="Arial" w:hAnsi="Arial" w:cs="Arial"/>
                <w:bCs/>
                <w:color w:val="FF0000"/>
                <w:kern w:val="24"/>
                <w:sz w:val="16"/>
                <w:szCs w:val="16"/>
              </w:rPr>
              <w:t>Accuracy of recording is compromised by multiple methods of invitation</w:t>
            </w:r>
          </w:p>
        </w:tc>
        <w:tc>
          <w:tcPr>
            <w:tcW w:w="1398" w:type="dxa"/>
            <w:tcBorders>
              <w:bottom w:val="single" w:sz="4" w:space="0" w:color="4472C4" w:themeColor="accent1"/>
            </w:tcBorders>
            <w:shd w:val="clear" w:color="auto" w:fill="auto"/>
          </w:tcPr>
          <w:p w14:paraId="0DCC592F"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Training</w:t>
            </w:r>
          </w:p>
          <w:p w14:paraId="7386108D"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Restriction</w:t>
            </w:r>
          </w:p>
          <w:p w14:paraId="7935DF10" w14:textId="77777777" w:rsidR="00C63ACE" w:rsidRPr="00C864BD" w:rsidRDefault="00C63ACE" w:rsidP="0052052E">
            <w:pPr>
              <w:snapToGrid w:val="0"/>
              <w:spacing w:before="120" w:after="120" w:line="276" w:lineRule="auto"/>
              <w:jc w:val="left"/>
              <w:rPr>
                <w:rFonts w:ascii="Arial" w:hAnsi="Arial" w:cs="Arial"/>
                <w:i/>
                <w:color w:val="000000" w:themeColor="text1"/>
                <w:sz w:val="16"/>
                <w:szCs w:val="16"/>
                <w:lang w:val="en-NZ"/>
              </w:rPr>
            </w:pPr>
            <w:r w:rsidRPr="00C864BD">
              <w:rPr>
                <w:rFonts w:ascii="Arial" w:hAnsi="Arial" w:cs="Arial"/>
                <w:i/>
                <w:color w:val="000000" w:themeColor="text1"/>
                <w:sz w:val="16"/>
                <w:szCs w:val="16"/>
                <w:lang w:val="en-NZ"/>
              </w:rPr>
              <w:t>Environmental restructuring</w:t>
            </w:r>
          </w:p>
          <w:p w14:paraId="22BB741B" w14:textId="77777777" w:rsidR="00C63ACE" w:rsidRPr="00C864BD" w:rsidRDefault="00C63ACE" w:rsidP="0052052E">
            <w:pPr>
              <w:snapToGrid w:val="0"/>
              <w:spacing w:before="120" w:after="120" w:line="276" w:lineRule="auto"/>
              <w:jc w:val="left"/>
              <w:rPr>
                <w:rFonts w:ascii="Arial" w:hAnsi="Arial" w:cs="Arial"/>
                <w:i/>
                <w:sz w:val="16"/>
                <w:szCs w:val="16"/>
                <w:lang w:val="en-NZ"/>
              </w:rPr>
            </w:pPr>
            <w:r w:rsidRPr="00C864BD">
              <w:rPr>
                <w:rFonts w:ascii="Arial" w:hAnsi="Arial" w:cs="Arial"/>
                <w:i/>
                <w:color w:val="000000" w:themeColor="text1"/>
                <w:sz w:val="16"/>
                <w:szCs w:val="16"/>
                <w:lang w:val="en-NZ"/>
              </w:rPr>
              <w:t>Enablement</w:t>
            </w:r>
          </w:p>
        </w:tc>
        <w:tc>
          <w:tcPr>
            <w:tcW w:w="4210" w:type="dxa"/>
            <w:tcBorders>
              <w:bottom w:val="single" w:sz="4" w:space="0" w:color="4472C4" w:themeColor="accent1"/>
            </w:tcBorders>
            <w:shd w:val="clear" w:color="auto" w:fill="auto"/>
          </w:tcPr>
          <w:p w14:paraId="0C61FD1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Guidelines</w:t>
            </w:r>
          </w:p>
          <w:p w14:paraId="26360CB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Fiscal measures</w:t>
            </w:r>
          </w:p>
          <w:p w14:paraId="02923095"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Regulation</w:t>
            </w:r>
          </w:p>
          <w:p w14:paraId="3D5E79C7"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Legislation</w:t>
            </w:r>
          </w:p>
          <w:p w14:paraId="6C72A33B"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Environmental/ Social planning (not training or restriction)</w:t>
            </w:r>
          </w:p>
          <w:p w14:paraId="04ECFA69"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Service provision (not restriction or environmental restructuring)</w:t>
            </w:r>
          </w:p>
        </w:tc>
        <w:tc>
          <w:tcPr>
            <w:tcW w:w="4775" w:type="dxa"/>
            <w:gridSpan w:val="2"/>
            <w:tcBorders>
              <w:bottom w:val="single" w:sz="4" w:space="0" w:color="4472C4" w:themeColor="accent1"/>
            </w:tcBorders>
            <w:shd w:val="clear" w:color="auto" w:fill="auto"/>
          </w:tcPr>
          <w:p w14:paraId="124F37E2"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Social support – practical (advise on, arrange, or provide practical help (e.g. from friends, relatives, colleagues, ‘buddies’ or staff) for performance of the behaviour)</w:t>
            </w:r>
          </w:p>
          <w:p w14:paraId="041F9340"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Prompts/cues (introduce or define environmental or social stimulus with the purpose of prompting or cueing the behaviour normally occurring at the time or place of performance)</w:t>
            </w:r>
          </w:p>
          <w:p w14:paraId="4A60AFED"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Remove aversive stimulus (advise or arrange for the removal of an aversive stimulus to facilitate behaviour change)</w:t>
            </w:r>
          </w:p>
          <w:p w14:paraId="7A4A0158"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physical environment (change, or advise to change the physical environment in order to facilitate performance of the wanted behaviour or create barriers to the unwanted behaviour (other than prompts/cues, rewards and punishments)</w:t>
            </w:r>
          </w:p>
          <w:p w14:paraId="04227C8A"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Restructuring the social environment (change, or advise to change the social environment in order to facilitate performance of the wanted behaviour or create barriers to the unwanted behaviour (other than prompts/cues, rewards and punishments)</w:t>
            </w:r>
          </w:p>
          <w:p w14:paraId="3A107F71" w14:textId="77777777" w:rsidR="00C63ACE" w:rsidRPr="00C864BD" w:rsidRDefault="00C63ACE" w:rsidP="0052052E">
            <w:pPr>
              <w:spacing w:before="120" w:after="120" w:line="276" w:lineRule="auto"/>
              <w:jc w:val="left"/>
              <w:rPr>
                <w:rFonts w:ascii="Arial" w:hAnsi="Arial" w:cs="Arial"/>
                <w:color w:val="262626" w:themeColor="text1" w:themeTint="D9"/>
                <w:sz w:val="16"/>
                <w:szCs w:val="16"/>
                <w:lang w:val="en-US"/>
              </w:rPr>
            </w:pPr>
            <w:r w:rsidRPr="00C864BD">
              <w:rPr>
                <w:rFonts w:ascii="Arial" w:hAnsi="Arial" w:cs="Arial"/>
                <w:color w:val="262626" w:themeColor="text1" w:themeTint="D9"/>
                <w:sz w:val="16"/>
                <w:szCs w:val="16"/>
                <w:lang w:val="en-US"/>
              </w:rPr>
              <w:t>Avoidance/reducing exposure to cues for the behaviour (advise on how to avoid exposure to specific social and contextual/physical cues for the behaviour, including changing daily or weekly routines)</w:t>
            </w:r>
          </w:p>
          <w:p w14:paraId="25F5EC91" w14:textId="77777777" w:rsidR="00C63ACE" w:rsidRPr="00C864BD" w:rsidRDefault="00C63ACE" w:rsidP="0052052E">
            <w:pPr>
              <w:spacing w:before="120" w:after="120" w:line="276" w:lineRule="auto"/>
              <w:jc w:val="left"/>
              <w:rPr>
                <w:rFonts w:ascii="Arial" w:hAnsi="Arial" w:cs="Arial"/>
                <w:bCs/>
                <w:i/>
                <w:color w:val="262626" w:themeColor="text1" w:themeTint="D9"/>
                <w:kern w:val="24"/>
                <w:sz w:val="16"/>
                <w:szCs w:val="16"/>
              </w:rPr>
            </w:pPr>
            <w:r w:rsidRPr="00C864BD">
              <w:rPr>
                <w:rFonts w:ascii="Arial" w:hAnsi="Arial" w:cs="Arial"/>
                <w:color w:val="262626" w:themeColor="text1" w:themeTint="D9"/>
                <w:sz w:val="16"/>
                <w:szCs w:val="16"/>
                <w:lang w:val="en-US"/>
              </w:rPr>
              <w:t>Adding objects to the environment (add objects to the environment in order to facilitate performance of the behaviour)</w:t>
            </w:r>
          </w:p>
        </w:tc>
      </w:tr>
      <w:tr w:rsidR="00C63ACE" w:rsidRPr="00C864BD" w14:paraId="1A2A3229" w14:textId="77777777" w:rsidTr="0052052E">
        <w:trPr>
          <w:gridAfter w:val="1"/>
          <w:wAfter w:w="768" w:type="dxa"/>
          <w:trHeight w:val="520"/>
        </w:trPr>
        <w:tc>
          <w:tcPr>
            <w:tcW w:w="13266" w:type="dxa"/>
            <w:gridSpan w:val="6"/>
            <w:tcBorders>
              <w:top w:val="single" w:sz="4" w:space="0" w:color="4472C4" w:themeColor="accent1"/>
            </w:tcBorders>
          </w:tcPr>
          <w:p w14:paraId="06A7CFE9" w14:textId="77777777" w:rsidR="00C63ACE" w:rsidRPr="00C864BD" w:rsidRDefault="00C63ACE" w:rsidP="0052052E">
            <w:pPr>
              <w:snapToGrid w:val="0"/>
              <w:spacing w:before="120" w:after="120" w:line="276" w:lineRule="auto"/>
              <w:jc w:val="left"/>
              <w:rPr>
                <w:rFonts w:ascii="Arial" w:hAnsi="Arial" w:cs="Arial"/>
                <w:bCs/>
                <w:color w:val="000000" w:themeColor="text1"/>
                <w:kern w:val="24"/>
                <w:sz w:val="16"/>
                <w:szCs w:val="16"/>
                <w:lang w:val="en-US"/>
              </w:rPr>
            </w:pPr>
            <w:r w:rsidRPr="00C864BD">
              <w:rPr>
                <w:rFonts w:ascii="Arial" w:hAnsi="Arial" w:cs="Arial"/>
                <w:bCs/>
                <w:color w:val="000000" w:themeColor="text1"/>
                <w:kern w:val="24"/>
                <w:sz w:val="16"/>
                <w:szCs w:val="16"/>
                <w:lang w:val="en-US"/>
              </w:rPr>
              <w:t>* Based on the matrix in A</w:t>
            </w:r>
            <w:r>
              <w:rPr>
                <w:rFonts w:ascii="Arial" w:hAnsi="Arial" w:cs="Arial"/>
                <w:bCs/>
                <w:color w:val="000000" w:themeColor="text1"/>
                <w:kern w:val="24"/>
                <w:sz w:val="16"/>
                <w:szCs w:val="16"/>
                <w:lang w:val="en-US"/>
              </w:rPr>
              <w:t>dditional file 3 l</w:t>
            </w:r>
            <w:r w:rsidRPr="00C864BD">
              <w:rPr>
                <w:rFonts w:ascii="Arial" w:hAnsi="Arial" w:cs="Arial"/>
                <w:bCs/>
                <w:color w:val="000000" w:themeColor="text1"/>
                <w:kern w:val="24"/>
                <w:sz w:val="16"/>
                <w:szCs w:val="16"/>
                <w:lang w:val="en-US"/>
              </w:rPr>
              <w:t xml:space="preserve">inking COM-B to potentially relevant intervention functions, we used links suggested in Michie, Atkins &amp; West (2014) for which intervention functions might be relevant to TDF domains. This allowed for more specific recommendations. </w:t>
            </w:r>
          </w:p>
          <w:p w14:paraId="6EDFC8E0" w14:textId="77777777" w:rsidR="00C63ACE" w:rsidRPr="00C864BD" w:rsidRDefault="00C63ACE" w:rsidP="0052052E">
            <w:pPr>
              <w:snapToGrid w:val="0"/>
              <w:spacing w:before="120" w:after="120" w:line="276" w:lineRule="auto"/>
              <w:jc w:val="left"/>
              <w:rPr>
                <w:rFonts w:ascii="Arial" w:hAnsi="Arial" w:cs="Arial"/>
                <w:bCs/>
                <w:i/>
                <w:color w:val="262626" w:themeColor="text1" w:themeTint="D9"/>
                <w:kern w:val="24"/>
                <w:sz w:val="16"/>
                <w:szCs w:val="16"/>
              </w:rPr>
            </w:pPr>
            <w:r w:rsidRPr="00C864BD">
              <w:rPr>
                <w:rFonts w:ascii="Arial" w:hAnsi="Arial" w:cs="Arial"/>
                <w:bCs/>
                <w:color w:val="000000" w:themeColor="text1"/>
                <w:kern w:val="24"/>
                <w:sz w:val="16"/>
                <w:szCs w:val="16"/>
                <w:lang w:val="en-US"/>
              </w:rPr>
              <w:t>**No conclusive links were identified between BCTs and TDF domain so BCTs for which there was inconclusive evidence of links are presented.</w:t>
            </w:r>
          </w:p>
        </w:tc>
      </w:tr>
    </w:tbl>
    <w:p w14:paraId="5FD3213D" w14:textId="77777777" w:rsidR="00C63ACE" w:rsidRDefault="00C63ACE" w:rsidP="00C63ACE">
      <w:pPr>
        <w:spacing w:line="480" w:lineRule="auto"/>
        <w:jc w:val="left"/>
        <w:rPr>
          <w:rFonts w:ascii="Arial" w:hAnsi="Arial" w:cs="Arial"/>
          <w:bCs/>
          <w:iCs/>
          <w:noProof/>
          <w:sz w:val="20"/>
          <w:szCs w:val="20"/>
        </w:rPr>
        <w:sectPr w:rsidR="00C63ACE" w:rsidSect="0047714F">
          <w:pgSz w:w="16817" w:h="11901" w:orient="landscape"/>
          <w:pgMar w:top="1440" w:right="1440" w:bottom="1440" w:left="1440" w:header="709" w:footer="709" w:gutter="0"/>
          <w:cols w:space="708"/>
          <w:docGrid w:linePitch="360"/>
        </w:sectPr>
      </w:pPr>
    </w:p>
    <w:p w14:paraId="41AF12E7" w14:textId="77777777" w:rsidR="00C63ACE" w:rsidRPr="00D0041D" w:rsidRDefault="00C63ACE" w:rsidP="00C63ACE">
      <w:pPr>
        <w:spacing w:before="240" w:after="120" w:line="480" w:lineRule="auto"/>
        <w:jc w:val="left"/>
        <w:rPr>
          <w:rFonts w:ascii="Arial" w:hAnsi="Arial" w:cs="Arial"/>
          <w:b/>
          <w:bCs/>
          <w:noProof/>
          <w:sz w:val="16"/>
          <w:szCs w:val="16"/>
        </w:rPr>
      </w:pPr>
      <w:r w:rsidRPr="00D0041D">
        <w:rPr>
          <w:rFonts w:ascii="Arial" w:hAnsi="Arial" w:cs="Arial"/>
          <w:b/>
          <w:bCs/>
          <w:noProof/>
          <w:sz w:val="16"/>
          <w:szCs w:val="16"/>
        </w:rPr>
        <w:lastRenderedPageBreak/>
        <w:t>Table 7. BCTs to target key barriers to and facilitators of NHS Health Check behaviours</w:t>
      </w:r>
    </w:p>
    <w:tbl>
      <w:tblPr>
        <w:tblStyle w:val="TableGrid"/>
        <w:tblW w:w="140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3005"/>
        <w:gridCol w:w="9328"/>
      </w:tblGrid>
      <w:tr w:rsidR="00C63ACE" w:rsidRPr="00D0041D" w14:paraId="49989868" w14:textId="77777777" w:rsidTr="0052052E">
        <w:tc>
          <w:tcPr>
            <w:tcW w:w="1696" w:type="dxa"/>
            <w:shd w:val="clear" w:color="auto" w:fill="B4C6E7" w:themeFill="accent1" w:themeFillTint="66"/>
          </w:tcPr>
          <w:p w14:paraId="7474F76A" w14:textId="77777777" w:rsidR="00C63ACE" w:rsidRPr="00D0041D" w:rsidRDefault="00C63ACE" w:rsidP="0052052E">
            <w:pPr>
              <w:spacing w:before="240" w:after="120" w:line="276" w:lineRule="auto"/>
              <w:jc w:val="left"/>
              <w:rPr>
                <w:rFonts w:ascii="Arial" w:hAnsi="Arial" w:cs="Arial"/>
                <w:b/>
                <w:bCs/>
                <w:noProof/>
                <w:sz w:val="16"/>
                <w:szCs w:val="16"/>
              </w:rPr>
            </w:pPr>
            <w:r w:rsidRPr="00D0041D">
              <w:rPr>
                <w:rFonts w:ascii="Arial" w:hAnsi="Arial" w:cs="Arial"/>
                <w:b/>
                <w:bCs/>
                <w:noProof/>
                <w:sz w:val="16"/>
                <w:szCs w:val="16"/>
              </w:rPr>
              <w:t>Behaviour</w:t>
            </w:r>
          </w:p>
        </w:tc>
        <w:tc>
          <w:tcPr>
            <w:tcW w:w="3005" w:type="dxa"/>
            <w:shd w:val="clear" w:color="auto" w:fill="B4C6E7" w:themeFill="accent1" w:themeFillTint="66"/>
          </w:tcPr>
          <w:p w14:paraId="464492FF" w14:textId="77777777" w:rsidR="00C63ACE" w:rsidRPr="00D0041D" w:rsidRDefault="00C63ACE" w:rsidP="0052052E">
            <w:pPr>
              <w:spacing w:before="240" w:after="120" w:line="276" w:lineRule="auto"/>
              <w:jc w:val="left"/>
              <w:rPr>
                <w:rFonts w:ascii="Arial" w:hAnsi="Arial" w:cs="Arial"/>
                <w:b/>
                <w:bCs/>
                <w:noProof/>
                <w:sz w:val="16"/>
                <w:szCs w:val="16"/>
              </w:rPr>
            </w:pPr>
            <w:r>
              <w:rPr>
                <w:rFonts w:ascii="Arial" w:hAnsi="Arial" w:cs="Arial"/>
                <w:b/>
                <w:bCs/>
                <w:noProof/>
                <w:sz w:val="16"/>
                <w:szCs w:val="16"/>
              </w:rPr>
              <w:t>Key i</w:t>
            </w:r>
            <w:r w:rsidRPr="00D0041D">
              <w:rPr>
                <w:rFonts w:ascii="Arial" w:hAnsi="Arial" w:cs="Arial"/>
                <w:b/>
                <w:bCs/>
                <w:noProof/>
                <w:sz w:val="16"/>
                <w:szCs w:val="16"/>
              </w:rPr>
              <w:t>nfluence (barrier/facilitator coded by COM-B and TDF)</w:t>
            </w:r>
          </w:p>
        </w:tc>
        <w:tc>
          <w:tcPr>
            <w:tcW w:w="9328" w:type="dxa"/>
            <w:shd w:val="clear" w:color="auto" w:fill="B4C6E7" w:themeFill="accent1" w:themeFillTint="66"/>
          </w:tcPr>
          <w:p w14:paraId="4FC81348" w14:textId="77777777" w:rsidR="00C63ACE" w:rsidRPr="00D0041D" w:rsidRDefault="00C63ACE" w:rsidP="0052052E">
            <w:pPr>
              <w:spacing w:before="240" w:after="120" w:line="276" w:lineRule="auto"/>
              <w:jc w:val="left"/>
              <w:rPr>
                <w:rFonts w:ascii="Arial" w:hAnsi="Arial" w:cs="Arial"/>
                <w:b/>
                <w:bCs/>
                <w:noProof/>
                <w:sz w:val="16"/>
                <w:szCs w:val="16"/>
              </w:rPr>
            </w:pPr>
            <w:r>
              <w:rPr>
                <w:rFonts w:ascii="Arial" w:hAnsi="Arial" w:cs="Arial"/>
                <w:b/>
                <w:bCs/>
                <w:noProof/>
                <w:sz w:val="16"/>
                <w:szCs w:val="16"/>
              </w:rPr>
              <w:t>Examples of BCT delivery</w:t>
            </w:r>
          </w:p>
        </w:tc>
      </w:tr>
      <w:tr w:rsidR="00C63ACE" w:rsidRPr="00D0041D" w14:paraId="48D10E6E" w14:textId="77777777" w:rsidTr="0052052E">
        <w:tc>
          <w:tcPr>
            <w:tcW w:w="1696" w:type="dxa"/>
          </w:tcPr>
          <w:p w14:paraId="7E1BB328"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HCPs delivering NHS Health Check</w:t>
            </w:r>
          </w:p>
        </w:tc>
        <w:tc>
          <w:tcPr>
            <w:tcW w:w="3005" w:type="dxa"/>
            <w:tcBorders>
              <w:bottom w:val="single" w:sz="4" w:space="0" w:color="auto"/>
            </w:tcBorders>
          </w:tcPr>
          <w:p w14:paraId="07B4FC85"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Behavioural intervention before pharmacological intervention</w:t>
            </w:r>
          </w:p>
          <w:p w14:paraId="45483EE0"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COM-B: Psychological capability</w:t>
            </w:r>
          </w:p>
          <w:p w14:paraId="7FA0F8EE"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Memory, attention decision processes</w:t>
            </w:r>
          </w:p>
        </w:tc>
        <w:tc>
          <w:tcPr>
            <w:tcW w:w="9328" w:type="dxa"/>
            <w:tcBorders>
              <w:bottom w:val="single" w:sz="4" w:space="0" w:color="auto"/>
            </w:tcBorders>
          </w:tcPr>
          <w:p w14:paraId="5D7AAF55"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Prompts/cues: A stimulus to prompt or cue the behaviour, e.g. screen pop-up reminding HCP to offer behavioural support first.</w:t>
            </w:r>
          </w:p>
          <w:p w14:paraId="46A526DF"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Conserving mental resources: Minimising demands on mental resources. This BCT may not be relevant in this context.</w:t>
            </w:r>
          </w:p>
        </w:tc>
      </w:tr>
      <w:tr w:rsidR="00C63ACE" w:rsidRPr="00D0041D" w14:paraId="09717D04" w14:textId="77777777" w:rsidTr="0052052E">
        <w:tc>
          <w:tcPr>
            <w:tcW w:w="1696" w:type="dxa"/>
          </w:tcPr>
          <w:p w14:paraId="17236E80"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4552E47D"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HCP familiarity with relevant evidence-based guidelines</w:t>
            </w:r>
          </w:p>
          <w:p w14:paraId="18146DE6"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COM-B: Psychological capability</w:t>
            </w:r>
          </w:p>
          <w:p w14:paraId="62C8C5E7"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Knowledge</w:t>
            </w:r>
          </w:p>
        </w:tc>
        <w:tc>
          <w:tcPr>
            <w:tcW w:w="9328" w:type="dxa"/>
            <w:tcBorders>
              <w:top w:val="single" w:sz="4" w:space="0" w:color="auto"/>
              <w:bottom w:val="single" w:sz="4" w:space="0" w:color="auto"/>
            </w:tcBorders>
          </w:tcPr>
          <w:p w14:paraId="4B5D1558"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Biofeedback (definition: provide feedback about the body using an external monitoring device): Pedometer linked to app.</w:t>
            </w:r>
          </w:p>
          <w:p w14:paraId="4D08B66C"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Instruction on how to perform behaviour: provide HCPs with electronic summaries of relevant guidelines.</w:t>
            </w:r>
          </w:p>
          <w:p w14:paraId="624B24D3"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Information about antecedents (definition: provide information about social and environmental situations and events, emotions, cognitions that predict performance of the behaviour): Text on website or app suggesting HCPs be mindful of the situations, such as busy clinics, where guideline content may be over-looked.</w:t>
            </w:r>
          </w:p>
          <w:p w14:paraId="77D09973"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 xml:space="preserve">Information about health consequences: Electronic content explaining to HCPs that adhering to EBGs can improve patient health outcomes or presenting data (if available) on improvements in health outcomes as a result of adhering to EBGs. </w:t>
            </w:r>
          </w:p>
          <w:p w14:paraId="189BD913"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Salience of consequences (definition: use methods specifically designed to emphasise the consequences of performing the behaviour with the aim of making them more memorable such as by using imagery or metaphor): Include a picture of relevant guidelines with text underneath ‘if you know the contents of this’ and picture of person having heart attack with text underneath ‘then you are more likely to prevent this.’</w:t>
            </w:r>
          </w:p>
          <w:p w14:paraId="2DE370F7"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Information about social and environmental consequences: Electronic content providing data on costs saved to workforce by adhering to EBGs to prevent heart attacks.</w:t>
            </w:r>
          </w:p>
        </w:tc>
      </w:tr>
      <w:tr w:rsidR="00C63ACE" w:rsidRPr="00D0041D" w14:paraId="09F1F01B" w14:textId="77777777" w:rsidTr="0052052E">
        <w:tc>
          <w:tcPr>
            <w:tcW w:w="1696" w:type="dxa"/>
          </w:tcPr>
          <w:p w14:paraId="61D5A84A"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5CA614AB"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HCP confidence in discussing and initiating behaviour change</w:t>
            </w:r>
          </w:p>
          <w:p w14:paraId="6A73D2A3" w14:textId="77777777" w:rsidR="00C63ACE" w:rsidRPr="000E02EF" w:rsidRDefault="00C63ACE" w:rsidP="0052052E">
            <w:pPr>
              <w:spacing w:before="240" w:after="120" w:line="276" w:lineRule="auto"/>
              <w:jc w:val="left"/>
              <w:rPr>
                <w:rFonts w:ascii="Arial" w:hAnsi="Arial" w:cs="Arial"/>
                <w:noProof/>
                <w:sz w:val="16"/>
                <w:szCs w:val="16"/>
              </w:rPr>
            </w:pPr>
            <w:r w:rsidRPr="000E02EF">
              <w:rPr>
                <w:rFonts w:ascii="Arial" w:hAnsi="Arial" w:cs="Arial"/>
                <w:noProof/>
                <w:sz w:val="16"/>
                <w:szCs w:val="16"/>
              </w:rPr>
              <w:t>COM-B: Reflective motivation</w:t>
            </w:r>
          </w:p>
          <w:p w14:paraId="7864B458"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lastRenderedPageBreak/>
              <w:t>TDF: Beliefs about capabilities</w:t>
            </w:r>
          </w:p>
        </w:tc>
        <w:tc>
          <w:tcPr>
            <w:tcW w:w="9328" w:type="dxa"/>
            <w:tcBorders>
              <w:top w:val="single" w:sz="4" w:space="0" w:color="auto"/>
              <w:bottom w:val="single" w:sz="4" w:space="0" w:color="auto"/>
            </w:tcBorders>
          </w:tcPr>
          <w:p w14:paraId="4A677AD8"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lastRenderedPageBreak/>
              <w:t xml:space="preserve">Instruction on how to perform behaviour: Electronic summaries of strategies to bring about behaviour change with examples (summary of strategy = setting a goal, example = agree with the patient they will walk for 30 mins three times a week). </w:t>
            </w:r>
          </w:p>
          <w:p w14:paraId="7EE09971"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Demonstration of the behaviour: Video of consultation or role play.</w:t>
            </w:r>
          </w:p>
          <w:p w14:paraId="096B7040"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lastRenderedPageBreak/>
              <w:t xml:space="preserve">Behavioural practice/rehearsal: Text on website/ app (ideally near video demonstrating delivery of behaviour change strategies) encouraging HCPs to participate in role play with patient / colleague / family / friend. </w:t>
            </w:r>
          </w:p>
          <w:p w14:paraId="79BE05D0"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Focus on past success: Text on website/ app encouraging HCP to think of examples where they have successfully supported a patient to change their behaviour.</w:t>
            </w:r>
          </w:p>
        </w:tc>
      </w:tr>
      <w:tr w:rsidR="00C63ACE" w:rsidRPr="00D0041D" w14:paraId="5277AFAD" w14:textId="77777777" w:rsidTr="0052052E">
        <w:tc>
          <w:tcPr>
            <w:tcW w:w="1696" w:type="dxa"/>
          </w:tcPr>
          <w:p w14:paraId="2194F2E2"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6A368EFB"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Framing CVD risk messages</w:t>
            </w:r>
          </w:p>
          <w:p w14:paraId="4A182CF1"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COM-B: Reflective motivation</w:t>
            </w:r>
          </w:p>
          <w:p w14:paraId="1C80F9C3"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Beliefs about consequences</w:t>
            </w:r>
          </w:p>
        </w:tc>
        <w:tc>
          <w:tcPr>
            <w:tcW w:w="9328" w:type="dxa"/>
            <w:tcBorders>
              <w:top w:val="single" w:sz="4" w:space="0" w:color="auto"/>
              <w:bottom w:val="single" w:sz="4" w:space="0" w:color="auto"/>
            </w:tcBorders>
          </w:tcPr>
          <w:p w14:paraId="1AFA6A03"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Information about health consequences: Provide data or text summary on website/app linking improved patient outcomes to understanding CVD. </w:t>
            </w:r>
          </w:p>
          <w:p w14:paraId="13C1A319"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Salience of consequences: This BCT may not be relevant in this context. </w:t>
            </w:r>
          </w:p>
          <w:p w14:paraId="069ABDCB"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Information about social and environmental consequences: On website/app include text explain to HCPs that the majority of HCPs approve of appropriate risk framing messages. </w:t>
            </w:r>
          </w:p>
          <w:p w14:paraId="796FC1B3"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Anticipated regret: On website/app include text asking HCPs to imagine how they would feel if patients did not act to reduce their CVD risk based on inaccurately framed messages.</w:t>
            </w:r>
          </w:p>
          <w:p w14:paraId="4F66EFA1"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Information about emotional consequences: Quotes or videos from patient talking about how HCPs inaccurately conveying CVD risk made them overly anxious. </w:t>
            </w:r>
          </w:p>
          <w:p w14:paraId="3B03DA37"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Pros and cons: On website/app include text asking HCPs to list the advantages and disadvantages of over or underplaying CVD risk (or provide these lists and ask HCPs to think of more).</w:t>
            </w:r>
          </w:p>
          <w:p w14:paraId="1DD74AF2"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Comparative imagining of future outcomes: On website/app include text asking HCPs to compare what would happen if they appropriately framed the communication of risk compared with what they currently do. </w:t>
            </w:r>
          </w:p>
          <w:p w14:paraId="6762ED05"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Material incentive (behaviour): Inform HCPs that a financial payment will be made for each Health Check where risk is framed appropriately, e.g. according to an agreed protocol.</w:t>
            </w:r>
          </w:p>
          <w:p w14:paraId="592BC11E"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Incentive (outcome): Inform HCPs that a financial payment will be made if a patient changes their behaviour as a result of an appropriately framed CVD risk message. </w:t>
            </w:r>
          </w:p>
          <w:p w14:paraId="7E9C6FBD"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Reward (outcome): Arrange for a financial payment to HCPs if a patient changes their behaviour as a result of the HCP appropriately framing CVD risk.</w:t>
            </w:r>
          </w:p>
        </w:tc>
      </w:tr>
      <w:tr w:rsidR="00C63ACE" w:rsidRPr="00D0041D" w14:paraId="5C0224F8" w14:textId="77777777" w:rsidTr="0052052E">
        <w:tc>
          <w:tcPr>
            <w:tcW w:w="1696" w:type="dxa"/>
            <w:tcBorders>
              <w:bottom w:val="single" w:sz="4" w:space="0" w:color="auto"/>
            </w:tcBorders>
          </w:tcPr>
          <w:p w14:paraId="549B702A"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6A2ADFCF"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Time/resources to deliver Health Checks</w:t>
            </w:r>
          </w:p>
          <w:p w14:paraId="09D8FF44"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lastRenderedPageBreak/>
              <w:t>COM-B: Physical opportunity</w:t>
            </w:r>
          </w:p>
          <w:p w14:paraId="64C578DE"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Environmental context and resources</w:t>
            </w:r>
          </w:p>
        </w:tc>
        <w:tc>
          <w:tcPr>
            <w:tcW w:w="9328" w:type="dxa"/>
            <w:tcBorders>
              <w:top w:val="single" w:sz="4" w:space="0" w:color="auto"/>
              <w:bottom w:val="single" w:sz="4" w:space="0" w:color="auto"/>
            </w:tcBorders>
          </w:tcPr>
          <w:p w14:paraId="06BABA16"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lastRenderedPageBreak/>
              <w:t>Social support (practical): On website/app include text suggesting HCPs arrange for colleagues to take on some of the HCP’s duties to free up their time to deliver Health Checks.</w:t>
            </w:r>
          </w:p>
          <w:p w14:paraId="4481A4E0"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lastRenderedPageBreak/>
              <w:t>Prompts/cues: This BCT may not be relevant in this context.</w:t>
            </w:r>
          </w:p>
          <w:p w14:paraId="3C9EF8C5"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Remove aversive stimulus: This BCT may not be relevant in this context.</w:t>
            </w:r>
          </w:p>
          <w:p w14:paraId="39BA7DC6"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Restructuring the physical environment: On website/app include text suggesting HCPs ask service managers to restructure clinics to offer longer appointment times for Health Checks. </w:t>
            </w:r>
          </w:p>
          <w:p w14:paraId="4277F776"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Restructuring the social environment: This BCT may not be relevant in this context.</w:t>
            </w:r>
          </w:p>
          <w:p w14:paraId="0F5D3E3D"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Avoidance/reducing exposure to cues for the behaviour: This BCT may not be relevant in this context.</w:t>
            </w:r>
          </w:p>
          <w:p w14:paraId="072971DF"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Adding objects to the environment: Provide HCPs with electronic schedules to guide timely delivery of Health Checks, e.g. ‘spend no more than two minutes on…... ‘</w:t>
            </w:r>
          </w:p>
        </w:tc>
      </w:tr>
      <w:tr w:rsidR="00C63ACE" w:rsidRPr="00D0041D" w14:paraId="4DEB30D0" w14:textId="77777777" w:rsidTr="0052052E">
        <w:tc>
          <w:tcPr>
            <w:tcW w:w="1696" w:type="dxa"/>
            <w:tcBorders>
              <w:top w:val="single" w:sz="4" w:space="0" w:color="auto"/>
            </w:tcBorders>
          </w:tcPr>
          <w:p w14:paraId="59511755"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lastRenderedPageBreak/>
              <w:t>Patient behaviour change after NHS Health Check</w:t>
            </w:r>
          </w:p>
        </w:tc>
        <w:tc>
          <w:tcPr>
            <w:tcW w:w="3005" w:type="dxa"/>
            <w:tcBorders>
              <w:top w:val="single" w:sz="4" w:space="0" w:color="auto"/>
              <w:bottom w:val="single" w:sz="4" w:space="0" w:color="auto"/>
            </w:tcBorders>
          </w:tcPr>
          <w:p w14:paraId="16F8FE89"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Knowledge of CVD risk and implication</w:t>
            </w:r>
          </w:p>
          <w:p w14:paraId="69497B66"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COM-B: Psychological capability</w:t>
            </w:r>
          </w:p>
          <w:p w14:paraId="430FE9A5"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Knowledge</w:t>
            </w:r>
          </w:p>
        </w:tc>
        <w:tc>
          <w:tcPr>
            <w:tcW w:w="9328" w:type="dxa"/>
            <w:tcBorders>
              <w:top w:val="single" w:sz="4" w:space="0" w:color="auto"/>
              <w:bottom w:val="single" w:sz="4" w:space="0" w:color="auto"/>
            </w:tcBorders>
          </w:tcPr>
          <w:p w14:paraId="548346DE"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Biofeedback: This BCT may not be relevant in this context.</w:t>
            </w:r>
          </w:p>
          <w:p w14:paraId="4B428A04"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Instruction on how to perform behaviour: Provide patients with electronically available summaries of information necessary to interpret their risk scores. </w:t>
            </w:r>
          </w:p>
          <w:p w14:paraId="52B58D59"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Information about antecedents: This BCT may not be relevant in this context.</w:t>
            </w:r>
          </w:p>
          <w:p w14:paraId="19FC7DA1"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Information about health consequences: Provide patients with electronic information on the implications of their risk score, e.g. ‘x out of x people with a QRisk score of 11 are likely to experience stroke/other cardiovascular event.’ (risk score calculator?)</w:t>
            </w:r>
          </w:p>
          <w:p w14:paraId="066C4B5B" w14:textId="77777777" w:rsidR="00C63ACE" w:rsidRPr="005B5891" w:rsidRDefault="00C63ACE" w:rsidP="0052052E">
            <w:pPr>
              <w:spacing w:before="240" w:after="120" w:line="276" w:lineRule="auto"/>
              <w:jc w:val="left"/>
              <w:rPr>
                <w:rFonts w:ascii="Arial" w:hAnsi="Arial" w:cs="Arial"/>
                <w:noProof/>
                <w:sz w:val="16"/>
                <w:szCs w:val="16"/>
              </w:rPr>
            </w:pPr>
            <w:r w:rsidRPr="005B5891">
              <w:rPr>
                <w:rFonts w:ascii="Arial" w:hAnsi="Arial" w:cs="Arial"/>
                <w:noProof/>
                <w:sz w:val="16"/>
                <w:szCs w:val="16"/>
              </w:rPr>
              <w:t xml:space="preserve">Salience of consequences: On website/app include text include diagrams of arteries of individuals with low to high cholesterol. </w:t>
            </w:r>
          </w:p>
          <w:p w14:paraId="03938893"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Information about social and environmental consequences: On website/app include text about how their risk might impact on their friendships, family or work.</w:t>
            </w:r>
          </w:p>
        </w:tc>
      </w:tr>
      <w:tr w:rsidR="00C63ACE" w:rsidRPr="00D0041D" w14:paraId="67118253" w14:textId="77777777" w:rsidTr="0052052E">
        <w:tc>
          <w:tcPr>
            <w:tcW w:w="1696" w:type="dxa"/>
          </w:tcPr>
          <w:p w14:paraId="52BC8B5B"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263AFC33" w14:textId="77777777" w:rsidR="00C63ACE" w:rsidRPr="00D95565" w:rsidRDefault="00C63ACE" w:rsidP="0052052E">
            <w:pPr>
              <w:spacing w:before="240" w:after="120" w:line="276" w:lineRule="auto"/>
              <w:jc w:val="left"/>
              <w:rPr>
                <w:rFonts w:ascii="Arial" w:hAnsi="Arial" w:cs="Arial"/>
                <w:noProof/>
                <w:sz w:val="16"/>
                <w:szCs w:val="16"/>
              </w:rPr>
            </w:pPr>
            <w:r>
              <w:rPr>
                <w:rFonts w:ascii="Arial" w:hAnsi="Arial" w:cs="Arial"/>
                <w:noProof/>
                <w:sz w:val="16"/>
                <w:szCs w:val="16"/>
              </w:rPr>
              <w:t xml:space="preserve">The NHS Health Check as a </w:t>
            </w:r>
            <w:r w:rsidRPr="00D95565">
              <w:rPr>
                <w:rFonts w:ascii="Arial" w:hAnsi="Arial" w:cs="Arial"/>
                <w:noProof/>
                <w:sz w:val="16"/>
                <w:szCs w:val="16"/>
              </w:rPr>
              <w:t>Wake-up call for change</w:t>
            </w:r>
          </w:p>
          <w:p w14:paraId="3FE9F7B6"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COM-B: Reflective motivation</w:t>
            </w:r>
          </w:p>
          <w:p w14:paraId="0DD0CA07"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Intentions</w:t>
            </w:r>
          </w:p>
        </w:tc>
        <w:tc>
          <w:tcPr>
            <w:tcW w:w="9328" w:type="dxa"/>
            <w:tcBorders>
              <w:top w:val="single" w:sz="4" w:space="0" w:color="auto"/>
              <w:bottom w:val="single" w:sz="4" w:space="0" w:color="auto"/>
            </w:tcBorders>
          </w:tcPr>
          <w:p w14:paraId="1DE317E8"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Goal setting (behaviour): Include space on an app/website to set a goal, e.g. get off the bus two stops early and walk the rest of the way to work) </w:t>
            </w:r>
          </w:p>
          <w:p w14:paraId="2C18DCF3"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Information about health consequences: Quotes and/or videos from patients talking about the health benefits of the changes they have made. </w:t>
            </w:r>
          </w:p>
          <w:p w14:paraId="50E11C8F"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Incentive (outcome): On website/app include text informing patients that a financial payment will be made only if their QRisk score changes as a result of dietary/physical activity changes.</w:t>
            </w:r>
          </w:p>
        </w:tc>
      </w:tr>
      <w:tr w:rsidR="00C63ACE" w:rsidRPr="00D0041D" w14:paraId="11DA4A16" w14:textId="77777777" w:rsidTr="0052052E">
        <w:tc>
          <w:tcPr>
            <w:tcW w:w="1696" w:type="dxa"/>
          </w:tcPr>
          <w:p w14:paraId="25C184F8"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0C16D744"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Support from others to change </w:t>
            </w:r>
          </w:p>
          <w:p w14:paraId="634D15E1"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COM-B: Social opportunity</w:t>
            </w:r>
          </w:p>
          <w:p w14:paraId="1F4D5233"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Social influences</w:t>
            </w:r>
          </w:p>
        </w:tc>
        <w:tc>
          <w:tcPr>
            <w:tcW w:w="9328" w:type="dxa"/>
            <w:tcBorders>
              <w:top w:val="single" w:sz="4" w:space="0" w:color="auto"/>
              <w:bottom w:val="single" w:sz="4" w:space="0" w:color="auto"/>
            </w:tcBorders>
          </w:tcPr>
          <w:p w14:paraId="745732DC"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Social support (unspecified): On website/app include text suggesting patients</w:t>
            </w:r>
            <w:r>
              <w:rPr>
                <w:rFonts w:ascii="Arial" w:hAnsi="Arial" w:cs="Arial"/>
                <w:noProof/>
                <w:sz w:val="16"/>
                <w:szCs w:val="16"/>
              </w:rPr>
              <w:t xml:space="preserve"> to</w:t>
            </w:r>
            <w:r w:rsidRPr="00D95565">
              <w:rPr>
                <w:rFonts w:ascii="Arial" w:hAnsi="Arial" w:cs="Arial"/>
                <w:noProof/>
                <w:sz w:val="16"/>
                <w:szCs w:val="16"/>
              </w:rPr>
              <w:t xml:space="preserve"> ask a colleague to agree in advance to take the ‘healthy option’ lunch in the work canteen. </w:t>
            </w:r>
          </w:p>
          <w:p w14:paraId="504714F0"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Social support (practical): On website/app include text encouraging patients to ask friends for help with arrangements to accommodate their health goals, e.g. asking a friend to look after patient’s children while they go swimming. </w:t>
            </w:r>
          </w:p>
          <w:p w14:paraId="51FB0E22"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Social comparison: Quotes and/or videos from patients talking about how they have increased their physical activity. </w:t>
            </w:r>
          </w:p>
          <w:p w14:paraId="275A0B1D"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Information about others’ approval: Include quotes and/or videos from other patients talking about how supportive family/friends have been of the changes they have made. If functionality allows - invite family/friends to post encouraging messages (video or text).</w:t>
            </w:r>
          </w:p>
          <w:p w14:paraId="44692C6E"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Social reward: If an app/website is tracking patients progress, sending a message of congratulations for any changes made.</w:t>
            </w:r>
          </w:p>
        </w:tc>
      </w:tr>
      <w:tr w:rsidR="00C63ACE" w:rsidRPr="00D0041D" w14:paraId="457ECC20" w14:textId="77777777" w:rsidTr="0052052E">
        <w:tc>
          <w:tcPr>
            <w:tcW w:w="1696" w:type="dxa"/>
          </w:tcPr>
          <w:p w14:paraId="7E58E476" w14:textId="77777777" w:rsidR="00C63ACE" w:rsidRPr="00D0041D" w:rsidRDefault="00C63ACE" w:rsidP="0052052E">
            <w:pPr>
              <w:spacing w:before="240" w:after="120" w:line="276" w:lineRule="auto"/>
              <w:jc w:val="left"/>
              <w:rPr>
                <w:rFonts w:ascii="Arial" w:hAnsi="Arial" w:cs="Arial"/>
                <w:noProof/>
                <w:sz w:val="16"/>
                <w:szCs w:val="16"/>
              </w:rPr>
            </w:pPr>
          </w:p>
        </w:tc>
        <w:tc>
          <w:tcPr>
            <w:tcW w:w="3005" w:type="dxa"/>
            <w:tcBorders>
              <w:top w:val="single" w:sz="4" w:space="0" w:color="auto"/>
              <w:bottom w:val="single" w:sz="4" w:space="0" w:color="auto"/>
            </w:tcBorders>
          </w:tcPr>
          <w:p w14:paraId="33418518" w14:textId="77777777" w:rsidR="00C63ACE" w:rsidRPr="00D95565" w:rsidRDefault="00C63ACE" w:rsidP="0052052E">
            <w:pPr>
              <w:spacing w:before="240" w:after="120" w:line="276" w:lineRule="auto"/>
              <w:jc w:val="left"/>
              <w:rPr>
                <w:rFonts w:ascii="Arial" w:hAnsi="Arial" w:cs="Arial"/>
                <w:noProof/>
                <w:sz w:val="16"/>
                <w:szCs w:val="16"/>
              </w:rPr>
            </w:pPr>
            <w:r>
              <w:rPr>
                <w:rFonts w:ascii="Arial" w:hAnsi="Arial" w:cs="Arial"/>
                <w:noProof/>
                <w:sz w:val="16"/>
                <w:szCs w:val="16"/>
              </w:rPr>
              <w:t>The extent to which patients believe c</w:t>
            </w:r>
            <w:r w:rsidRPr="00D95565">
              <w:rPr>
                <w:rFonts w:ascii="Arial" w:hAnsi="Arial" w:cs="Arial"/>
                <w:noProof/>
                <w:sz w:val="16"/>
                <w:szCs w:val="16"/>
              </w:rPr>
              <w:t xml:space="preserve">hange is achievable </w:t>
            </w:r>
          </w:p>
          <w:p w14:paraId="739BB7DE"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COM-B: Reflective motivation</w:t>
            </w:r>
          </w:p>
          <w:p w14:paraId="37E9AACC"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TDF: Beliefs about capabilities</w:t>
            </w:r>
          </w:p>
        </w:tc>
        <w:tc>
          <w:tcPr>
            <w:tcW w:w="9328" w:type="dxa"/>
            <w:tcBorders>
              <w:top w:val="single" w:sz="4" w:space="0" w:color="auto"/>
              <w:bottom w:val="single" w:sz="4" w:space="0" w:color="auto"/>
            </w:tcBorders>
          </w:tcPr>
          <w:p w14:paraId="1A4A245C"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Problem solving: In app/website provide a list of common barriers to change and some possible solutions and encourage patient to generate their own, e.g. lack of motivation could be addressed with going to the gym with a buddy.</w:t>
            </w:r>
          </w:p>
          <w:p w14:paraId="2961A581"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Instruction on how to perform behaviour: Provide patients with a list of lines to initiate conversation with a partner about changing diet and tips on how to avoid, e.g. partner being resistance to change. </w:t>
            </w:r>
          </w:p>
          <w:p w14:paraId="221715AA"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Demonstration of the behaviour: Video of patient talking to their partner about changing diet and negotiating possible barriers.</w:t>
            </w:r>
          </w:p>
          <w:p w14:paraId="6AA6DF64"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 xml:space="preserve">Behavioural practice/rehearsal: Text on website/ app (ideally near video demonstrating talking about change with a partner) encouraging patients to practice with a friend. </w:t>
            </w:r>
          </w:p>
          <w:p w14:paraId="1ED4E7DB"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Graded tasks: Include text/video conveying that change is more likely if you build on small successes and suggesting how this might be done, e.g. walk for 100 yards a day for the first week, then half a mile a day after they have successfully achieved 100 yards, then two miles a day after they have successfully achieved one mile.</w:t>
            </w:r>
          </w:p>
          <w:p w14:paraId="68CF7EF1"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Verbal persuasion about capability: Include text/video of a patient who has successful changed their behaviour telling the patient they can also successfully increase their physical activity.</w:t>
            </w:r>
          </w:p>
          <w:p w14:paraId="7B45E134" w14:textId="77777777" w:rsidR="00C63ACE" w:rsidRPr="00D95565" w:rsidRDefault="00C63ACE" w:rsidP="0052052E">
            <w:pPr>
              <w:spacing w:before="240" w:after="120" w:line="276" w:lineRule="auto"/>
              <w:jc w:val="left"/>
              <w:rPr>
                <w:rFonts w:ascii="Arial" w:hAnsi="Arial" w:cs="Arial"/>
                <w:noProof/>
                <w:sz w:val="16"/>
                <w:szCs w:val="16"/>
              </w:rPr>
            </w:pPr>
            <w:r w:rsidRPr="00D95565">
              <w:rPr>
                <w:rFonts w:ascii="Arial" w:hAnsi="Arial" w:cs="Arial"/>
                <w:noProof/>
                <w:sz w:val="16"/>
                <w:szCs w:val="16"/>
              </w:rPr>
              <w:t>Focus on past success: Include text/video encouraging the patient to think of examples where they have successfully changed their behaviour.</w:t>
            </w:r>
          </w:p>
          <w:p w14:paraId="42DD792F" w14:textId="77777777" w:rsidR="00C63ACE" w:rsidRPr="00D0041D" w:rsidRDefault="00C63ACE" w:rsidP="0052052E">
            <w:pPr>
              <w:spacing w:before="240" w:after="120" w:line="276" w:lineRule="auto"/>
              <w:jc w:val="left"/>
              <w:rPr>
                <w:rFonts w:ascii="Arial" w:hAnsi="Arial" w:cs="Arial"/>
                <w:noProof/>
                <w:sz w:val="16"/>
                <w:szCs w:val="16"/>
              </w:rPr>
            </w:pPr>
            <w:r w:rsidRPr="00D0041D">
              <w:rPr>
                <w:rFonts w:ascii="Arial" w:hAnsi="Arial" w:cs="Arial"/>
                <w:noProof/>
                <w:sz w:val="16"/>
                <w:szCs w:val="16"/>
              </w:rPr>
              <w:t>Self-talk: Include text/video prompting the patient to tell themselves that a walk will be energising.</w:t>
            </w:r>
          </w:p>
        </w:tc>
      </w:tr>
    </w:tbl>
    <w:p w14:paraId="2C69CF7A" w14:textId="77777777" w:rsidR="00C63ACE" w:rsidRDefault="00C63ACE" w:rsidP="00C63ACE">
      <w:pPr>
        <w:spacing w:line="480" w:lineRule="auto"/>
        <w:jc w:val="left"/>
        <w:rPr>
          <w:rFonts w:ascii="Arial" w:hAnsi="Arial" w:cs="Arial"/>
          <w:bCs/>
          <w:iCs/>
          <w:noProof/>
          <w:sz w:val="20"/>
          <w:szCs w:val="20"/>
        </w:rPr>
        <w:sectPr w:rsidR="00C63ACE" w:rsidSect="001C0B5E">
          <w:pgSz w:w="16817" w:h="11901" w:orient="landscape"/>
          <w:pgMar w:top="1440" w:right="1440" w:bottom="1440" w:left="1440" w:header="709" w:footer="709" w:gutter="0"/>
          <w:cols w:space="708"/>
          <w:docGrid w:linePitch="360"/>
        </w:sectPr>
      </w:pPr>
    </w:p>
    <w:p w14:paraId="5E97965C"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badi MT Condensed Extra Bold">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EC5F24" w14:textId="77777777" w:rsidR="00850BCE" w:rsidRDefault="00C63ACE" w:rsidP="009F4D7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14:paraId="300AC5F7" w14:textId="77777777" w:rsidR="00850BCE" w:rsidRPr="006441E3" w:rsidRDefault="00C63ACE" w:rsidP="002F01BF">
    <w:pPr>
      <w:pStyle w:val="Footer"/>
      <w:tabs>
        <w:tab w:val="clear" w:pos="9026"/>
        <w:tab w:val="right" w:pos="9214"/>
      </w:tabs>
      <w:ind w:right="-188"/>
      <w:jc w:val="center"/>
      <w:rPr>
        <w:i/>
        <w:iCs/>
        <w:sz w:val="20"/>
        <w:szCs w:val="2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3690D7" w14:textId="77777777" w:rsidR="00850BCE" w:rsidRPr="005D4691" w:rsidRDefault="00C63ACE" w:rsidP="005D46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EC288F"/>
    <w:multiLevelType w:val="hybridMultilevel"/>
    <w:tmpl w:val="AF1088BA"/>
    <w:lvl w:ilvl="0" w:tplc="D9785D6E">
      <w:start w:val="1"/>
      <w:numFmt w:val="decimal"/>
      <w:pStyle w:val="Heading3"/>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53743E47"/>
    <w:multiLevelType w:val="multilevel"/>
    <w:tmpl w:val="28A45E46"/>
    <w:lvl w:ilvl="0">
      <w:start w:val="1"/>
      <w:numFmt w:val="decimal"/>
      <w:pStyle w:val="Heading2"/>
      <w:lvlText w:val="%1."/>
      <w:lvlJc w:val="left"/>
      <w:pPr>
        <w:ind w:left="1080" w:hanging="360"/>
      </w:p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 w15:restartNumberingAfterBreak="0">
    <w:nsid w:val="5E053FB1"/>
    <w:multiLevelType w:val="hybridMultilevel"/>
    <w:tmpl w:val="9DF8A8DC"/>
    <w:lvl w:ilvl="0" w:tplc="8E1E87EA">
      <w:start w:val="1"/>
      <w:numFmt w:val="lowerRoman"/>
      <w:pStyle w:val="Heading4"/>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ACE"/>
    <w:rsid w:val="00C63ACE"/>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23552"/>
  <w15:chartTrackingRefBased/>
  <w15:docId w15:val="{C9D36FB7-0D56-400F-A038-B454605FD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ACE"/>
    <w:pPr>
      <w:spacing w:after="0" w:line="360" w:lineRule="auto"/>
      <w:jc w:val="both"/>
    </w:pPr>
    <w:rPr>
      <w:rFonts w:ascii="Calibri" w:eastAsia="Calibri" w:hAnsi="Calibri" w:cs="Calibri"/>
      <w:lang w:val="en-GB"/>
    </w:rPr>
  </w:style>
  <w:style w:type="paragraph" w:styleId="Heading1">
    <w:name w:val="heading 1"/>
    <w:basedOn w:val="Normal"/>
    <w:next w:val="Normal"/>
    <w:link w:val="Heading1Char"/>
    <w:qFormat/>
    <w:rsid w:val="00C63ACE"/>
    <w:pPr>
      <w:keepNext/>
      <w:keepLines/>
      <w:ind w:left="-284" w:right="-188"/>
      <w:outlineLvl w:val="0"/>
    </w:pPr>
    <w:rPr>
      <w:rFonts w:eastAsia="Times New Roman"/>
      <w:b/>
      <w:bCs/>
      <w:color w:val="000000"/>
      <w:sz w:val="28"/>
      <w:szCs w:val="28"/>
    </w:rPr>
  </w:style>
  <w:style w:type="paragraph" w:styleId="Heading2">
    <w:name w:val="heading 2"/>
    <w:basedOn w:val="Normal"/>
    <w:next w:val="Normal"/>
    <w:link w:val="Heading2Char"/>
    <w:qFormat/>
    <w:rsid w:val="00C63ACE"/>
    <w:pPr>
      <w:numPr>
        <w:numId w:val="3"/>
      </w:numPr>
      <w:ind w:right="-187"/>
      <w:outlineLvl w:val="1"/>
    </w:pPr>
    <w:rPr>
      <w:b/>
      <w:bCs/>
      <w:noProof/>
      <w:sz w:val="24"/>
      <w:szCs w:val="24"/>
    </w:rPr>
  </w:style>
  <w:style w:type="paragraph" w:styleId="Heading3">
    <w:name w:val="heading 3"/>
    <w:basedOn w:val="ListParagraph"/>
    <w:next w:val="Normal"/>
    <w:link w:val="Heading3Char"/>
    <w:uiPriority w:val="99"/>
    <w:qFormat/>
    <w:rsid w:val="00C63ACE"/>
    <w:pPr>
      <w:numPr>
        <w:numId w:val="1"/>
      </w:numPr>
      <w:outlineLvl w:val="2"/>
    </w:pPr>
    <w:rPr>
      <w:noProof/>
      <w:u w:val="single"/>
    </w:rPr>
  </w:style>
  <w:style w:type="paragraph" w:styleId="Heading4">
    <w:name w:val="heading 4"/>
    <w:basedOn w:val="ListParagraph"/>
    <w:next w:val="Normal"/>
    <w:link w:val="Heading4Char"/>
    <w:uiPriority w:val="99"/>
    <w:qFormat/>
    <w:rsid w:val="00C63ACE"/>
    <w:pPr>
      <w:numPr>
        <w:numId w:val="2"/>
      </w:numPr>
      <w:outlineLvl w:val="3"/>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63ACE"/>
    <w:rPr>
      <w:rFonts w:ascii="Calibri" w:eastAsia="Times New Roman" w:hAnsi="Calibri" w:cs="Calibri"/>
      <w:b/>
      <w:bCs/>
      <w:color w:val="000000"/>
      <w:sz w:val="28"/>
      <w:szCs w:val="28"/>
      <w:lang w:val="en-GB"/>
    </w:rPr>
  </w:style>
  <w:style w:type="character" w:customStyle="1" w:styleId="Heading2Char">
    <w:name w:val="Heading 2 Char"/>
    <w:basedOn w:val="DefaultParagraphFont"/>
    <w:link w:val="Heading2"/>
    <w:rsid w:val="00C63ACE"/>
    <w:rPr>
      <w:rFonts w:ascii="Calibri" w:eastAsia="Calibri" w:hAnsi="Calibri" w:cs="Calibri"/>
      <w:b/>
      <w:bCs/>
      <w:noProof/>
      <w:sz w:val="24"/>
      <w:szCs w:val="24"/>
      <w:lang w:val="en-GB"/>
    </w:rPr>
  </w:style>
  <w:style w:type="character" w:customStyle="1" w:styleId="Heading3Char">
    <w:name w:val="Heading 3 Char"/>
    <w:basedOn w:val="DefaultParagraphFont"/>
    <w:link w:val="Heading3"/>
    <w:uiPriority w:val="99"/>
    <w:rsid w:val="00C63ACE"/>
    <w:rPr>
      <w:rFonts w:ascii="Calibri" w:eastAsia="Times New Roman" w:hAnsi="Calibri" w:cs="Calibri"/>
      <w:noProof/>
      <w:color w:val="000000"/>
      <w:u w:val="single"/>
      <w:lang w:val="en-GB"/>
    </w:rPr>
  </w:style>
  <w:style w:type="character" w:customStyle="1" w:styleId="Heading4Char">
    <w:name w:val="Heading 4 Char"/>
    <w:basedOn w:val="DefaultParagraphFont"/>
    <w:link w:val="Heading4"/>
    <w:uiPriority w:val="99"/>
    <w:rsid w:val="00C63ACE"/>
    <w:rPr>
      <w:rFonts w:ascii="Calibri" w:eastAsia="Times New Roman" w:hAnsi="Calibri" w:cs="Calibri"/>
      <w:i/>
      <w:iCs/>
      <w:color w:val="000000"/>
      <w:lang w:val="en-GB"/>
    </w:rPr>
  </w:style>
  <w:style w:type="paragraph" w:styleId="BalloonText">
    <w:name w:val="Balloon Text"/>
    <w:basedOn w:val="Normal"/>
    <w:link w:val="BalloonTextChar"/>
    <w:uiPriority w:val="99"/>
    <w:semiHidden/>
    <w:rsid w:val="00C63ACE"/>
    <w:rPr>
      <w:rFonts w:ascii="Tahoma" w:hAnsi="Tahoma" w:cs="Tahoma"/>
      <w:sz w:val="16"/>
      <w:szCs w:val="16"/>
    </w:rPr>
  </w:style>
  <w:style w:type="character" w:customStyle="1" w:styleId="BalloonTextChar">
    <w:name w:val="Balloon Text Char"/>
    <w:basedOn w:val="DefaultParagraphFont"/>
    <w:link w:val="BalloonText"/>
    <w:uiPriority w:val="99"/>
    <w:semiHidden/>
    <w:rsid w:val="00C63ACE"/>
    <w:rPr>
      <w:rFonts w:ascii="Tahoma" w:eastAsia="Calibri" w:hAnsi="Tahoma" w:cs="Tahoma"/>
      <w:sz w:val="16"/>
      <w:szCs w:val="16"/>
      <w:lang w:val="en-GB"/>
    </w:rPr>
  </w:style>
  <w:style w:type="paragraph" w:styleId="ListParagraph">
    <w:name w:val="List Paragraph"/>
    <w:basedOn w:val="Normal"/>
    <w:link w:val="ListParagraphChar"/>
    <w:uiPriority w:val="34"/>
    <w:qFormat/>
    <w:rsid w:val="00C63ACE"/>
    <w:rPr>
      <w:rFonts w:eastAsia="Times New Roman"/>
      <w:color w:val="000000"/>
    </w:rPr>
  </w:style>
  <w:style w:type="paragraph" w:styleId="Header">
    <w:name w:val="header"/>
    <w:basedOn w:val="Normal"/>
    <w:link w:val="HeaderChar"/>
    <w:uiPriority w:val="99"/>
    <w:rsid w:val="00C63ACE"/>
    <w:pPr>
      <w:tabs>
        <w:tab w:val="center" w:pos="4513"/>
        <w:tab w:val="right" w:pos="9026"/>
      </w:tabs>
      <w:spacing w:line="240" w:lineRule="auto"/>
    </w:pPr>
  </w:style>
  <w:style w:type="character" w:customStyle="1" w:styleId="HeaderChar">
    <w:name w:val="Header Char"/>
    <w:basedOn w:val="DefaultParagraphFont"/>
    <w:link w:val="Header"/>
    <w:uiPriority w:val="99"/>
    <w:rsid w:val="00C63ACE"/>
    <w:rPr>
      <w:rFonts w:ascii="Calibri" w:eastAsia="Calibri" w:hAnsi="Calibri" w:cs="Calibri"/>
      <w:lang w:val="en-GB"/>
    </w:rPr>
  </w:style>
  <w:style w:type="paragraph" w:styleId="Footer">
    <w:name w:val="footer"/>
    <w:basedOn w:val="Normal"/>
    <w:link w:val="FooterChar"/>
    <w:uiPriority w:val="99"/>
    <w:rsid w:val="00C63ACE"/>
    <w:pPr>
      <w:tabs>
        <w:tab w:val="center" w:pos="4513"/>
        <w:tab w:val="right" w:pos="9026"/>
      </w:tabs>
      <w:spacing w:line="240" w:lineRule="auto"/>
    </w:pPr>
  </w:style>
  <w:style w:type="character" w:customStyle="1" w:styleId="FooterChar">
    <w:name w:val="Footer Char"/>
    <w:basedOn w:val="DefaultParagraphFont"/>
    <w:link w:val="Footer"/>
    <w:uiPriority w:val="99"/>
    <w:rsid w:val="00C63ACE"/>
    <w:rPr>
      <w:rFonts w:ascii="Calibri" w:eastAsia="Calibri" w:hAnsi="Calibri" w:cs="Calibri"/>
      <w:lang w:val="en-GB"/>
    </w:rPr>
  </w:style>
  <w:style w:type="character" w:styleId="Hyperlink">
    <w:name w:val="Hyperlink"/>
    <w:uiPriority w:val="99"/>
    <w:rsid w:val="00C63ACE"/>
    <w:rPr>
      <w:color w:val="0000FF"/>
      <w:u w:val="single"/>
    </w:rPr>
  </w:style>
  <w:style w:type="table" w:styleId="TableGrid">
    <w:name w:val="Table Grid"/>
    <w:basedOn w:val="TableNormal"/>
    <w:uiPriority w:val="99"/>
    <w:rsid w:val="00C63ACE"/>
    <w:pPr>
      <w:spacing w:after="0" w:line="240" w:lineRule="auto"/>
    </w:pPr>
    <w:rPr>
      <w:rFonts w:ascii="Calibri" w:eastAsia="Calibri" w:hAnsi="Calibri" w:cs="Calibri"/>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
    <w:name w:val="PA1"/>
    <w:basedOn w:val="Normal"/>
    <w:next w:val="NormalIndent"/>
    <w:uiPriority w:val="99"/>
    <w:rsid w:val="00C63ACE"/>
    <w:pPr>
      <w:spacing w:line="240" w:lineRule="auto"/>
    </w:pPr>
    <w:rPr>
      <w:rFonts w:ascii="Abadi MT Condensed Extra Bold" w:eastAsia="Times New Roman" w:hAnsi="Abadi MT Condensed Extra Bold" w:cs="Abadi MT Condensed Extra Bold"/>
      <w:color w:val="000000"/>
      <w:sz w:val="28"/>
      <w:szCs w:val="28"/>
    </w:rPr>
  </w:style>
  <w:style w:type="paragraph" w:styleId="NormalIndent">
    <w:name w:val="Normal Indent"/>
    <w:basedOn w:val="Normal"/>
    <w:uiPriority w:val="99"/>
    <w:semiHidden/>
    <w:rsid w:val="00C63ACE"/>
    <w:pPr>
      <w:ind w:left="720"/>
    </w:pPr>
  </w:style>
  <w:style w:type="paragraph" w:styleId="TOC1">
    <w:name w:val="toc 1"/>
    <w:basedOn w:val="Normal"/>
    <w:next w:val="Normal"/>
    <w:autoRedefine/>
    <w:uiPriority w:val="99"/>
    <w:semiHidden/>
    <w:rsid w:val="00C63ACE"/>
    <w:pPr>
      <w:tabs>
        <w:tab w:val="right" w:leader="dot" w:pos="9356"/>
      </w:tabs>
      <w:spacing w:after="100"/>
      <w:ind w:left="-284"/>
    </w:pPr>
  </w:style>
  <w:style w:type="paragraph" w:styleId="TOC2">
    <w:name w:val="toc 2"/>
    <w:basedOn w:val="Normal"/>
    <w:next w:val="Normal"/>
    <w:autoRedefine/>
    <w:uiPriority w:val="39"/>
    <w:rsid w:val="00C63ACE"/>
    <w:pPr>
      <w:tabs>
        <w:tab w:val="left" w:pos="0"/>
        <w:tab w:val="right" w:leader="dot" w:pos="9356"/>
      </w:tabs>
      <w:spacing w:after="100"/>
      <w:ind w:left="-284"/>
    </w:pPr>
  </w:style>
  <w:style w:type="paragraph" w:styleId="TOC3">
    <w:name w:val="toc 3"/>
    <w:basedOn w:val="Normal"/>
    <w:next w:val="Normal"/>
    <w:autoRedefine/>
    <w:uiPriority w:val="39"/>
    <w:rsid w:val="00C63ACE"/>
    <w:pPr>
      <w:spacing w:after="100"/>
      <w:ind w:left="440"/>
    </w:pPr>
  </w:style>
  <w:style w:type="character" w:styleId="CommentReference">
    <w:name w:val="annotation reference"/>
    <w:uiPriority w:val="99"/>
    <w:semiHidden/>
    <w:rsid w:val="00C63ACE"/>
    <w:rPr>
      <w:sz w:val="16"/>
      <w:szCs w:val="16"/>
    </w:rPr>
  </w:style>
  <w:style w:type="paragraph" w:styleId="CommentText">
    <w:name w:val="annotation text"/>
    <w:basedOn w:val="Normal"/>
    <w:link w:val="CommentTextChar"/>
    <w:uiPriority w:val="99"/>
    <w:semiHidden/>
    <w:rsid w:val="00C63ACE"/>
    <w:pPr>
      <w:spacing w:line="240" w:lineRule="auto"/>
    </w:pPr>
    <w:rPr>
      <w:sz w:val="20"/>
      <w:szCs w:val="20"/>
    </w:rPr>
  </w:style>
  <w:style w:type="character" w:customStyle="1" w:styleId="CommentTextChar">
    <w:name w:val="Comment Text Char"/>
    <w:basedOn w:val="DefaultParagraphFont"/>
    <w:link w:val="CommentText"/>
    <w:uiPriority w:val="99"/>
    <w:semiHidden/>
    <w:rsid w:val="00C63ACE"/>
    <w:rPr>
      <w:rFonts w:ascii="Calibri" w:eastAsia="Calibri" w:hAnsi="Calibri" w:cs="Calibri"/>
      <w:sz w:val="20"/>
      <w:szCs w:val="20"/>
      <w:lang w:val="en-GB"/>
    </w:rPr>
  </w:style>
  <w:style w:type="paragraph" w:styleId="CommentSubject">
    <w:name w:val="annotation subject"/>
    <w:basedOn w:val="CommentText"/>
    <w:next w:val="CommentText"/>
    <w:link w:val="CommentSubjectChar"/>
    <w:uiPriority w:val="99"/>
    <w:semiHidden/>
    <w:rsid w:val="00C63ACE"/>
    <w:rPr>
      <w:b/>
      <w:bCs/>
    </w:rPr>
  </w:style>
  <w:style w:type="character" w:customStyle="1" w:styleId="CommentSubjectChar">
    <w:name w:val="Comment Subject Char"/>
    <w:basedOn w:val="CommentTextChar"/>
    <w:link w:val="CommentSubject"/>
    <w:uiPriority w:val="99"/>
    <w:semiHidden/>
    <w:rsid w:val="00C63ACE"/>
    <w:rPr>
      <w:rFonts w:ascii="Calibri" w:eastAsia="Calibri" w:hAnsi="Calibri" w:cs="Calibri"/>
      <w:b/>
      <w:bCs/>
      <w:sz w:val="20"/>
      <w:szCs w:val="20"/>
      <w:lang w:val="en-GB"/>
    </w:rPr>
  </w:style>
  <w:style w:type="character" w:styleId="FollowedHyperlink">
    <w:name w:val="FollowedHyperlink"/>
    <w:uiPriority w:val="99"/>
    <w:semiHidden/>
    <w:rsid w:val="00C63ACE"/>
    <w:rPr>
      <w:color w:val="800080"/>
      <w:u w:val="single"/>
    </w:rPr>
  </w:style>
  <w:style w:type="paragraph" w:customStyle="1" w:styleId="EndNoteBibliographyTitle">
    <w:name w:val="EndNote Bibliography Title"/>
    <w:basedOn w:val="Normal"/>
    <w:link w:val="EndNoteBibliographyTitleChar"/>
    <w:uiPriority w:val="99"/>
    <w:rsid w:val="00C63ACE"/>
    <w:pPr>
      <w:jc w:val="center"/>
    </w:pPr>
    <w:rPr>
      <w:noProof/>
    </w:rPr>
  </w:style>
  <w:style w:type="character" w:customStyle="1" w:styleId="ListParagraphChar">
    <w:name w:val="List Paragraph Char"/>
    <w:link w:val="ListParagraph"/>
    <w:uiPriority w:val="34"/>
    <w:locked/>
    <w:rsid w:val="00C63ACE"/>
    <w:rPr>
      <w:rFonts w:ascii="Calibri" w:eastAsia="Times New Roman" w:hAnsi="Calibri" w:cs="Calibri"/>
      <w:color w:val="000000"/>
      <w:lang w:val="en-GB"/>
    </w:rPr>
  </w:style>
  <w:style w:type="character" w:customStyle="1" w:styleId="EndNoteBibliographyTitleChar">
    <w:name w:val="EndNote Bibliography Title Char"/>
    <w:link w:val="EndNoteBibliographyTitle"/>
    <w:uiPriority w:val="99"/>
    <w:locked/>
    <w:rsid w:val="00C63ACE"/>
    <w:rPr>
      <w:rFonts w:ascii="Calibri" w:eastAsia="Calibri" w:hAnsi="Calibri" w:cs="Calibri"/>
      <w:noProof/>
      <w:lang w:val="en-GB"/>
    </w:rPr>
  </w:style>
  <w:style w:type="paragraph" w:customStyle="1" w:styleId="EndNoteBibliography">
    <w:name w:val="EndNote Bibliography"/>
    <w:basedOn w:val="Normal"/>
    <w:link w:val="EndNoteBibliographyChar"/>
    <w:uiPriority w:val="99"/>
    <w:rsid w:val="00C63ACE"/>
    <w:pPr>
      <w:spacing w:line="240" w:lineRule="auto"/>
    </w:pPr>
    <w:rPr>
      <w:noProof/>
    </w:rPr>
  </w:style>
  <w:style w:type="character" w:customStyle="1" w:styleId="EndNoteBibliographyChar">
    <w:name w:val="EndNote Bibliography Char"/>
    <w:link w:val="EndNoteBibliography"/>
    <w:uiPriority w:val="99"/>
    <w:locked/>
    <w:rsid w:val="00C63ACE"/>
    <w:rPr>
      <w:rFonts w:ascii="Calibri" w:eastAsia="Calibri" w:hAnsi="Calibri" w:cs="Calibri"/>
      <w:noProof/>
      <w:lang w:val="en-GB"/>
    </w:rPr>
  </w:style>
  <w:style w:type="character" w:styleId="BookTitle">
    <w:name w:val="Book Title"/>
    <w:uiPriority w:val="99"/>
    <w:qFormat/>
    <w:rsid w:val="00C63ACE"/>
    <w:rPr>
      <w:rFonts w:ascii="Arial" w:hAnsi="Arial" w:cs="Arial"/>
      <w:b/>
      <w:bCs/>
      <w:sz w:val="16"/>
      <w:szCs w:val="16"/>
      <w:lang w:val="en-GB" w:eastAsia="x-none"/>
    </w:rPr>
  </w:style>
  <w:style w:type="paragraph" w:styleId="FootnoteText">
    <w:name w:val="footnote text"/>
    <w:basedOn w:val="Normal"/>
    <w:link w:val="FootnoteTextChar"/>
    <w:uiPriority w:val="99"/>
    <w:semiHidden/>
    <w:rsid w:val="00C63ACE"/>
    <w:pPr>
      <w:spacing w:line="240" w:lineRule="auto"/>
      <w:jc w:val="left"/>
    </w:pPr>
    <w:rPr>
      <w:sz w:val="20"/>
      <w:szCs w:val="20"/>
    </w:rPr>
  </w:style>
  <w:style w:type="character" w:customStyle="1" w:styleId="FootnoteTextChar">
    <w:name w:val="Footnote Text Char"/>
    <w:basedOn w:val="DefaultParagraphFont"/>
    <w:link w:val="FootnoteText"/>
    <w:uiPriority w:val="99"/>
    <w:semiHidden/>
    <w:rsid w:val="00C63ACE"/>
    <w:rPr>
      <w:rFonts w:ascii="Calibri" w:eastAsia="Calibri" w:hAnsi="Calibri" w:cs="Calibri"/>
      <w:sz w:val="20"/>
      <w:szCs w:val="20"/>
      <w:lang w:val="en-GB"/>
    </w:rPr>
  </w:style>
  <w:style w:type="character" w:styleId="FootnoteReference">
    <w:name w:val="footnote reference"/>
    <w:uiPriority w:val="99"/>
    <w:semiHidden/>
    <w:rsid w:val="00C63ACE"/>
    <w:rPr>
      <w:vertAlign w:val="superscript"/>
    </w:rPr>
  </w:style>
  <w:style w:type="table" w:styleId="LightGrid-Accent1">
    <w:name w:val="Light Grid Accent 1"/>
    <w:basedOn w:val="TableNormal"/>
    <w:uiPriority w:val="62"/>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p1">
    <w:name w:val="p1"/>
    <w:basedOn w:val="Normal"/>
    <w:rsid w:val="00C63ACE"/>
    <w:pPr>
      <w:spacing w:line="240" w:lineRule="auto"/>
      <w:jc w:val="left"/>
    </w:pPr>
    <w:rPr>
      <w:rFonts w:cs="Times New Roman"/>
      <w:color w:val="1F497D"/>
      <w:sz w:val="17"/>
      <w:szCs w:val="17"/>
      <w:lang w:eastAsia="en-GB"/>
    </w:rPr>
  </w:style>
  <w:style w:type="character" w:customStyle="1" w:styleId="s1">
    <w:name w:val="s1"/>
    <w:basedOn w:val="DefaultParagraphFont"/>
    <w:rsid w:val="00C63ACE"/>
  </w:style>
  <w:style w:type="character" w:customStyle="1" w:styleId="s2">
    <w:name w:val="s2"/>
    <w:basedOn w:val="DefaultParagraphFont"/>
    <w:rsid w:val="00C63ACE"/>
  </w:style>
  <w:style w:type="paragraph" w:styleId="DocumentMap">
    <w:name w:val="Document Map"/>
    <w:basedOn w:val="Normal"/>
    <w:link w:val="DocumentMapChar"/>
    <w:uiPriority w:val="99"/>
    <w:semiHidden/>
    <w:unhideWhenUsed/>
    <w:rsid w:val="00C63ACE"/>
    <w:pPr>
      <w:spacing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C63ACE"/>
    <w:rPr>
      <w:rFonts w:ascii="Times New Roman" w:eastAsia="Calibri" w:hAnsi="Times New Roman" w:cs="Times New Roman"/>
      <w:sz w:val="24"/>
      <w:szCs w:val="24"/>
      <w:lang w:val="en-GB"/>
    </w:rPr>
  </w:style>
  <w:style w:type="paragraph" w:styleId="NormalWeb">
    <w:name w:val="Normal (Web)"/>
    <w:basedOn w:val="Normal"/>
    <w:uiPriority w:val="99"/>
    <w:semiHidden/>
    <w:unhideWhenUsed/>
    <w:rsid w:val="00C63ACE"/>
    <w:pPr>
      <w:spacing w:before="100" w:beforeAutospacing="1" w:after="100" w:afterAutospacing="1" w:line="240" w:lineRule="auto"/>
      <w:jc w:val="left"/>
    </w:pPr>
    <w:rPr>
      <w:rFonts w:ascii="Times New Roman" w:hAnsi="Times New Roman" w:cs="Times New Roman"/>
      <w:sz w:val="24"/>
      <w:szCs w:val="24"/>
      <w:lang w:eastAsia="en-GB"/>
    </w:rPr>
  </w:style>
  <w:style w:type="table" w:customStyle="1" w:styleId="GridTable4-Accent51">
    <w:name w:val="Grid Table 4 - Accent 51"/>
    <w:basedOn w:val="TableNormal"/>
    <w:uiPriority w:val="49"/>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PageNumber">
    <w:name w:val="page number"/>
    <w:basedOn w:val="DefaultParagraphFont"/>
    <w:uiPriority w:val="99"/>
    <w:semiHidden/>
    <w:unhideWhenUsed/>
    <w:rsid w:val="00C63ACE"/>
  </w:style>
  <w:style w:type="table" w:customStyle="1" w:styleId="ListTable1Light1">
    <w:name w:val="List Table 1 Light1"/>
    <w:basedOn w:val="TableNormal"/>
    <w:next w:val="ListTable1Light2"/>
    <w:uiPriority w:val="46"/>
    <w:rsid w:val="00C63ACE"/>
    <w:pPr>
      <w:spacing w:after="0" w:line="240" w:lineRule="auto"/>
    </w:pPr>
    <w:rPr>
      <w:rFonts w:ascii="Calibri" w:eastAsia="Calibri" w:hAnsi="Calibri" w:cs="Times New Roman"/>
      <w:lang w:val="en-GB"/>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1">
    <w:name w:val="Grid Table 31"/>
    <w:basedOn w:val="TableNormal"/>
    <w:next w:val="GridTable32"/>
    <w:uiPriority w:val="48"/>
    <w:rsid w:val="00C63ACE"/>
    <w:pPr>
      <w:spacing w:after="0" w:line="240" w:lineRule="auto"/>
    </w:pPr>
    <w:rPr>
      <w:rFonts w:ascii="Calibri" w:eastAsia="Calibri" w:hAnsi="Calibri" w:cs="Times New Roman"/>
      <w:lang w:val="en-GB"/>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ListTable1Light2">
    <w:name w:val="List Table 1 Light2"/>
    <w:basedOn w:val="TableNormal"/>
    <w:uiPriority w:val="46"/>
    <w:rsid w:val="00C63ACE"/>
    <w:pPr>
      <w:spacing w:after="0" w:line="240" w:lineRule="auto"/>
    </w:pPr>
    <w:rPr>
      <w:rFonts w:ascii="Calibri" w:eastAsia="Calibri" w:hAnsi="Calibri" w:cs="Times New Roman"/>
      <w:sz w:val="24"/>
      <w:szCs w:val="24"/>
      <w:lang w:val="en-GB" w:eastAsia="en-GB"/>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32">
    <w:name w:val="Grid Table 32"/>
    <w:basedOn w:val="TableNormal"/>
    <w:uiPriority w:val="48"/>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apple-converted-space">
    <w:name w:val="apple-converted-space"/>
    <w:basedOn w:val="DefaultParagraphFont"/>
    <w:rsid w:val="00C63ACE"/>
  </w:style>
  <w:style w:type="paragraph" w:customStyle="1" w:styleId="para">
    <w:name w:val="para"/>
    <w:basedOn w:val="Normal"/>
    <w:rsid w:val="00C63ACE"/>
    <w:pPr>
      <w:spacing w:before="100" w:beforeAutospacing="1" w:after="100" w:afterAutospacing="1" w:line="240" w:lineRule="auto"/>
      <w:jc w:val="left"/>
    </w:pPr>
    <w:rPr>
      <w:rFonts w:ascii="Times New Roman" w:hAnsi="Times New Roman" w:cs="Times New Roman"/>
      <w:sz w:val="24"/>
      <w:szCs w:val="24"/>
      <w:lang w:eastAsia="en-GB"/>
    </w:rPr>
  </w:style>
  <w:style w:type="character" w:customStyle="1" w:styleId="externalref">
    <w:name w:val="externalref"/>
    <w:basedOn w:val="DefaultParagraphFont"/>
    <w:rsid w:val="00C63ACE"/>
  </w:style>
  <w:style w:type="character" w:customStyle="1" w:styleId="refsource">
    <w:name w:val="refsource"/>
    <w:basedOn w:val="DefaultParagraphFont"/>
    <w:rsid w:val="00C63ACE"/>
  </w:style>
  <w:style w:type="character" w:customStyle="1" w:styleId="citationref">
    <w:name w:val="citationref"/>
    <w:basedOn w:val="DefaultParagraphFont"/>
    <w:rsid w:val="00C63ACE"/>
  </w:style>
  <w:style w:type="paragraph" w:styleId="Revision">
    <w:name w:val="Revision"/>
    <w:hidden/>
    <w:uiPriority w:val="99"/>
    <w:semiHidden/>
    <w:rsid w:val="00C63ACE"/>
    <w:pPr>
      <w:spacing w:after="0" w:line="240" w:lineRule="auto"/>
    </w:pPr>
    <w:rPr>
      <w:rFonts w:ascii="Calibri" w:eastAsia="Calibri" w:hAnsi="Calibri" w:cs="Calibri"/>
      <w:lang w:val="en-GB"/>
    </w:rPr>
  </w:style>
  <w:style w:type="character" w:customStyle="1" w:styleId="UnresolvedMention1">
    <w:name w:val="Unresolved Mention1"/>
    <w:basedOn w:val="DefaultParagraphFont"/>
    <w:uiPriority w:val="99"/>
    <w:semiHidden/>
    <w:unhideWhenUsed/>
    <w:rsid w:val="00C63ACE"/>
    <w:rPr>
      <w:color w:val="605E5C"/>
      <w:shd w:val="clear" w:color="auto" w:fill="E1DFDD"/>
    </w:rPr>
  </w:style>
  <w:style w:type="table" w:customStyle="1" w:styleId="GridTable2-Accent11">
    <w:name w:val="Grid Table 2 - Accent 11"/>
    <w:basedOn w:val="TableNormal"/>
    <w:uiPriority w:val="47"/>
    <w:rsid w:val="00C63ACE"/>
    <w:pPr>
      <w:spacing w:after="0" w:line="240" w:lineRule="auto"/>
    </w:pPr>
    <w:rPr>
      <w:rFonts w:ascii="Calibri" w:eastAsia="Calibri" w:hAnsi="Calibri" w:cs="Times New Roman"/>
      <w:sz w:val="20"/>
      <w:szCs w:val="20"/>
      <w:lang w:val="en-GB" w:eastAsia="en-GB"/>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2-Accent11">
    <w:name w:val="List Table 2 - Accent 11"/>
    <w:basedOn w:val="TableNormal"/>
    <w:uiPriority w:val="47"/>
    <w:rsid w:val="00C63ACE"/>
    <w:pPr>
      <w:spacing w:after="0" w:line="240" w:lineRule="auto"/>
    </w:pPr>
    <w:rPr>
      <w:rFonts w:ascii="Calibri" w:eastAsia="Calibri" w:hAnsi="Calibri" w:cs="Times New Roman"/>
      <w:sz w:val="20"/>
      <w:szCs w:val="20"/>
      <w:lang w:val="en-GB" w:eastAsia="en-GB"/>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2-Accent51">
    <w:name w:val="Grid Table 2 - Accent 51"/>
    <w:basedOn w:val="TableNormal"/>
    <w:uiPriority w:val="47"/>
    <w:rsid w:val="00C63ACE"/>
    <w:pPr>
      <w:spacing w:after="0" w:line="240" w:lineRule="auto"/>
    </w:pPr>
    <w:rPr>
      <w:rFonts w:ascii="Calibri" w:eastAsia="Calibri" w:hAnsi="Calibri" w:cs="Times New Roman"/>
      <w:sz w:val="20"/>
      <w:szCs w:val="20"/>
      <w:lang w:val="en-GB" w:eastAsia="en-GB"/>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GridTable2-Accent21">
    <w:name w:val="Grid Table 2 - Accent 21"/>
    <w:basedOn w:val="TableNormal"/>
    <w:uiPriority w:val="47"/>
    <w:rsid w:val="00C63ACE"/>
    <w:pPr>
      <w:spacing w:after="0" w:line="240" w:lineRule="auto"/>
    </w:pPr>
    <w:rPr>
      <w:rFonts w:ascii="Calibri" w:eastAsia="Calibri" w:hAnsi="Calibri" w:cs="Times New Roman"/>
      <w:sz w:val="20"/>
      <w:szCs w:val="20"/>
      <w:lang w:val="en-GB" w:eastAsia="en-GB"/>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1">
    <w:name w:val="Grid Table 4 Accent 1"/>
    <w:basedOn w:val="TableNormal"/>
    <w:uiPriority w:val="49"/>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1">
    <w:name w:val="Grid Table 1 Light Accent 1"/>
    <w:basedOn w:val="TableNormal"/>
    <w:uiPriority w:val="46"/>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2-Accent5">
    <w:name w:val="Grid Table 2 Accent 5"/>
    <w:basedOn w:val="TableNormal"/>
    <w:uiPriority w:val="47"/>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3-Accent1">
    <w:name w:val="Grid Table 3 Accent 1"/>
    <w:basedOn w:val="TableNormal"/>
    <w:uiPriority w:val="48"/>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2-Accent1">
    <w:name w:val="Grid Table 2 Accent 1"/>
    <w:basedOn w:val="TableNormal"/>
    <w:uiPriority w:val="47"/>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5">
    <w:name w:val="Grid Table 1 Light Accent 5"/>
    <w:basedOn w:val="TableNormal"/>
    <w:uiPriority w:val="46"/>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6Colorful-Accent1">
    <w:name w:val="Grid Table 6 Colorful Accent 1"/>
    <w:basedOn w:val="TableNormal"/>
    <w:uiPriority w:val="51"/>
    <w:rsid w:val="00C63ACE"/>
    <w:pPr>
      <w:spacing w:after="0" w:line="240" w:lineRule="auto"/>
    </w:pPr>
    <w:rPr>
      <w:rFonts w:ascii="Calibri" w:eastAsia="Calibri" w:hAnsi="Calibri" w:cs="Times New Roman"/>
      <w:color w:val="2F5496" w:themeColor="accent1" w:themeShade="BF"/>
      <w:sz w:val="24"/>
      <w:szCs w:val="24"/>
      <w:lang w:val="en-GB" w:eastAsia="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5">
    <w:name w:val="List Table 6 Colorful Accent 5"/>
    <w:basedOn w:val="TableNormal"/>
    <w:uiPriority w:val="51"/>
    <w:rsid w:val="00C63ACE"/>
    <w:pPr>
      <w:spacing w:after="0" w:line="240" w:lineRule="auto"/>
    </w:pPr>
    <w:rPr>
      <w:rFonts w:ascii="Calibri" w:eastAsia="Calibri" w:hAnsi="Calibri" w:cs="Times New Roman"/>
      <w:color w:val="2E74B5" w:themeColor="accent5" w:themeShade="BF"/>
      <w:sz w:val="24"/>
      <w:szCs w:val="24"/>
      <w:lang w:val="en-GB" w:eastAsia="en-GB"/>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7Colorful-Accent1">
    <w:name w:val="List Table 7 Colorful Accent 1"/>
    <w:basedOn w:val="TableNormal"/>
    <w:uiPriority w:val="52"/>
    <w:rsid w:val="00C63ACE"/>
    <w:pPr>
      <w:spacing w:after="0" w:line="240" w:lineRule="auto"/>
    </w:pPr>
    <w:rPr>
      <w:rFonts w:ascii="Calibri" w:eastAsia="Calibri" w:hAnsi="Calibri" w:cs="Times New Roman"/>
      <w:color w:val="2F5496" w:themeColor="accent1" w:themeShade="BF"/>
      <w:sz w:val="24"/>
      <w:szCs w:val="24"/>
      <w:lang w:val="en-GB"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C63ACE"/>
    <w:pPr>
      <w:spacing w:after="0" w:line="240" w:lineRule="auto"/>
    </w:pPr>
    <w:rPr>
      <w:rFonts w:ascii="Calibri" w:eastAsia="Calibri" w:hAnsi="Calibri" w:cs="Times New Roman"/>
      <w:color w:val="2E74B5" w:themeColor="accent5" w:themeShade="BF"/>
      <w:sz w:val="24"/>
      <w:szCs w:val="24"/>
      <w:lang w:val="en-GB"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3-Accent1">
    <w:name w:val="List Table 3 Accent 1"/>
    <w:basedOn w:val="TableNormal"/>
    <w:uiPriority w:val="48"/>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
    <w:name w:val="Table Grid1"/>
    <w:basedOn w:val="TableNormal"/>
    <w:next w:val="TableGrid"/>
    <w:uiPriority w:val="39"/>
    <w:rsid w:val="00C63ACE"/>
    <w:pPr>
      <w:spacing w:after="0" w:line="240" w:lineRule="auto"/>
    </w:pPr>
    <w:rPr>
      <w:rFonts w:ascii="Calibri" w:eastAsia="Calibri" w:hAnsi="Calibri" w:cs="Times New Roman"/>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63ACE"/>
    <w:pPr>
      <w:spacing w:after="0" w:line="240" w:lineRule="auto"/>
    </w:pPr>
    <w:rPr>
      <w:rFonts w:ascii="Calibri" w:eastAsia="Calibri" w:hAnsi="Calibri" w:cs="Calibri"/>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99"/>
    <w:rsid w:val="00C63ACE"/>
    <w:pPr>
      <w:spacing w:after="0" w:line="240" w:lineRule="auto"/>
    </w:pPr>
    <w:rPr>
      <w:rFonts w:ascii="Calibri" w:eastAsia="Calibri" w:hAnsi="Calibri" w:cs="Times New Roman"/>
      <w:sz w:val="24"/>
      <w:szCs w:val="24"/>
      <w:lang w:val="en-GB" w:eastAsia="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C63A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28496</Words>
  <Characters>162431</Characters>
  <Application>Microsoft Office Word</Application>
  <DocSecurity>0</DocSecurity>
  <Lines>1353</Lines>
  <Paragraphs>381</Paragraphs>
  <ScaleCrop>false</ScaleCrop>
  <Company/>
  <LinksUpToDate>false</LinksUpToDate>
  <CharactersWithSpaces>190546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2020-07-20T15:17:00Z</dcterms:created>
  <dcterms:modified xsi:type="dcterms:W3CDTF">2020-07-20T15:17:00Z</dcterms:modified>
</cp:coreProperties>
</file>