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39739C" w14:textId="77777777" w:rsidR="003E47E0" w:rsidRDefault="003E47E0" w:rsidP="003E47E0">
      <w:pPr>
        <w:spacing w:line="360" w:lineRule="auto"/>
        <w:contextualSpacing/>
        <w:jc w:val="both"/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 w:rsidRPr="001974D6">
        <w:rPr>
          <w:rFonts w:asciiTheme="majorBidi" w:hAnsiTheme="majorBidi" w:cstheme="majorBidi"/>
          <w:b/>
          <w:bCs/>
          <w:sz w:val="24"/>
          <w:szCs w:val="24"/>
          <w:lang w:bidi="fa-IR"/>
        </w:rPr>
        <w:t>Inhibition of Hypertrophy and Improving Chondrocyte Differentiation by MMP-13 Inhibitor</w:t>
      </w:r>
      <w:r>
        <w:rPr>
          <w:rFonts w:asciiTheme="majorBidi" w:hAnsiTheme="majorBidi" w:cstheme="majorBidi"/>
          <w:b/>
          <w:bCs/>
          <w:sz w:val="24"/>
          <w:szCs w:val="24"/>
          <w:lang w:val="en-VI" w:bidi="fa-IR"/>
        </w:rPr>
        <w:t xml:space="preserve"> Small Molecule</w:t>
      </w:r>
      <w:r w:rsidRPr="001974D6">
        <w:rPr>
          <w:rFonts w:asciiTheme="majorBidi" w:hAnsiTheme="majorBidi" w:cstheme="majorBidi"/>
          <w:b/>
          <w:bCs/>
          <w:sz w:val="24"/>
          <w:szCs w:val="24"/>
          <w:lang w:bidi="fa-IR"/>
        </w:rPr>
        <w:t>-Encapsulated in Alginate-Chondroitin Sulfate-Platelet Lysate Hydrogel</w:t>
      </w:r>
    </w:p>
    <w:p w14:paraId="7F150B06" w14:textId="77777777" w:rsidR="003E47E0" w:rsidRPr="003C21D9" w:rsidRDefault="003E47E0" w:rsidP="003E47E0">
      <w:pPr>
        <w:pStyle w:val="BBAuthorName"/>
        <w:jc w:val="left"/>
        <w:rPr>
          <w:rFonts w:asciiTheme="majorBidi" w:hAnsiTheme="majorBidi" w:cstheme="majorBidi"/>
          <w:sz w:val="20"/>
        </w:rPr>
      </w:pPr>
      <w:proofErr w:type="spellStart"/>
      <w:r w:rsidRPr="003C21D9">
        <w:rPr>
          <w:rFonts w:asciiTheme="majorBidi" w:hAnsiTheme="majorBidi" w:cstheme="majorBidi"/>
          <w:i w:val="0"/>
          <w:iCs/>
          <w:sz w:val="20"/>
        </w:rPr>
        <w:t>Shahrbanoo</w:t>
      </w:r>
      <w:proofErr w:type="spellEnd"/>
      <w:r w:rsidRPr="003C21D9">
        <w:rPr>
          <w:rFonts w:asciiTheme="majorBidi" w:hAnsiTheme="majorBidi" w:cstheme="majorBidi"/>
          <w:i w:val="0"/>
          <w:iCs/>
          <w:sz w:val="20"/>
        </w:rPr>
        <w:t xml:space="preserve"> Jahangir</w:t>
      </w:r>
      <w:r w:rsidRPr="003C21D9">
        <w:rPr>
          <w:rFonts w:asciiTheme="majorBidi" w:hAnsiTheme="majorBidi" w:cstheme="majorBidi"/>
          <w:i w:val="0"/>
          <w:iCs/>
          <w:sz w:val="20"/>
          <w:vertAlign w:val="superscript"/>
        </w:rPr>
        <w:t>1</w:t>
      </w:r>
      <w:r w:rsidRPr="003C21D9">
        <w:rPr>
          <w:rFonts w:asciiTheme="majorBidi" w:hAnsiTheme="majorBidi" w:cstheme="majorBidi"/>
          <w:i w:val="0"/>
          <w:iCs/>
          <w:sz w:val="20"/>
        </w:rPr>
        <w:t>, David Eglin</w:t>
      </w:r>
      <w:r w:rsidRPr="003C21D9">
        <w:rPr>
          <w:rFonts w:asciiTheme="majorBidi" w:hAnsiTheme="majorBidi" w:cstheme="majorBidi"/>
          <w:i w:val="0"/>
          <w:iCs/>
          <w:sz w:val="20"/>
          <w:vertAlign w:val="superscript"/>
        </w:rPr>
        <w:t>2</w:t>
      </w:r>
      <w:r w:rsidRPr="003C21D9">
        <w:rPr>
          <w:rFonts w:asciiTheme="majorBidi" w:hAnsiTheme="majorBidi" w:cstheme="majorBidi"/>
          <w:i w:val="0"/>
          <w:iCs/>
          <w:sz w:val="20"/>
        </w:rPr>
        <w:t>, Naomi Pötter</w:t>
      </w:r>
      <w:r w:rsidRPr="003C21D9">
        <w:rPr>
          <w:rFonts w:asciiTheme="majorBidi" w:hAnsiTheme="majorBidi" w:cstheme="majorBidi"/>
          <w:i w:val="0"/>
          <w:iCs/>
          <w:sz w:val="20"/>
          <w:vertAlign w:val="superscript"/>
        </w:rPr>
        <w:t>3,2</w:t>
      </w:r>
      <w:r w:rsidRPr="003C21D9">
        <w:rPr>
          <w:rFonts w:asciiTheme="majorBidi" w:hAnsiTheme="majorBidi" w:cstheme="majorBidi"/>
          <w:i w:val="0"/>
          <w:iCs/>
          <w:sz w:val="20"/>
        </w:rPr>
        <w:t xml:space="preserve">, </w:t>
      </w:r>
      <w:proofErr w:type="spellStart"/>
      <w:r w:rsidRPr="003C21D9">
        <w:rPr>
          <w:rFonts w:asciiTheme="majorBidi" w:hAnsiTheme="majorBidi" w:cstheme="majorBidi"/>
          <w:i w:val="0"/>
          <w:iCs/>
          <w:sz w:val="20"/>
        </w:rPr>
        <w:t>Mojtaba</w:t>
      </w:r>
      <w:proofErr w:type="spellEnd"/>
      <w:r w:rsidRPr="003C21D9">
        <w:rPr>
          <w:rFonts w:asciiTheme="majorBidi" w:hAnsiTheme="majorBidi" w:cstheme="majorBidi"/>
          <w:i w:val="0"/>
          <w:iCs/>
          <w:sz w:val="20"/>
        </w:rPr>
        <w:t xml:space="preserve"> </w:t>
      </w:r>
      <w:proofErr w:type="spellStart"/>
      <w:r w:rsidRPr="003C21D9">
        <w:rPr>
          <w:rFonts w:asciiTheme="majorBidi" w:hAnsiTheme="majorBidi" w:cstheme="majorBidi"/>
          <w:i w:val="0"/>
          <w:iCs/>
          <w:sz w:val="20"/>
        </w:rPr>
        <w:t>Khozaei</w:t>
      </w:r>
      <w:proofErr w:type="spellEnd"/>
      <w:r w:rsidRPr="003C21D9">
        <w:rPr>
          <w:rFonts w:asciiTheme="majorBidi" w:hAnsiTheme="majorBidi" w:cstheme="majorBidi"/>
          <w:i w:val="0"/>
          <w:iCs/>
          <w:sz w:val="20"/>
        </w:rPr>
        <w:t xml:space="preserve"> Ravari</w:t>
      </w:r>
      <w:r w:rsidRPr="003C21D9">
        <w:rPr>
          <w:rFonts w:asciiTheme="majorBidi" w:hAnsiTheme="majorBidi" w:cstheme="majorBidi"/>
          <w:i w:val="0"/>
          <w:iCs/>
          <w:sz w:val="20"/>
          <w:vertAlign w:val="superscript"/>
        </w:rPr>
        <w:t>4</w:t>
      </w:r>
      <w:r w:rsidRPr="003C21D9">
        <w:rPr>
          <w:rFonts w:asciiTheme="majorBidi" w:hAnsiTheme="majorBidi" w:cstheme="majorBidi"/>
          <w:i w:val="0"/>
          <w:iCs/>
          <w:sz w:val="20"/>
        </w:rPr>
        <w:t>,</w:t>
      </w:r>
      <w:r>
        <w:rPr>
          <w:rFonts w:asciiTheme="majorBidi" w:hAnsiTheme="majorBidi" w:cstheme="majorBidi"/>
          <w:i w:val="0"/>
          <w:iCs/>
          <w:sz w:val="20"/>
        </w:rPr>
        <w:t xml:space="preserve"> </w:t>
      </w:r>
      <w:r w:rsidRPr="005F7B97">
        <w:rPr>
          <w:rFonts w:asciiTheme="majorBidi" w:hAnsiTheme="majorBidi" w:cstheme="majorBidi"/>
          <w:i w:val="0"/>
          <w:iCs/>
          <w:sz w:val="20"/>
        </w:rPr>
        <w:t>Martin Stoddart</w:t>
      </w:r>
      <w:r w:rsidRPr="005F7B97">
        <w:rPr>
          <w:rFonts w:asciiTheme="majorBidi" w:hAnsiTheme="majorBidi" w:cstheme="majorBidi"/>
          <w:i w:val="0"/>
          <w:iCs/>
          <w:sz w:val="20"/>
          <w:vertAlign w:val="superscript"/>
        </w:rPr>
        <w:t>2</w:t>
      </w:r>
      <w:r>
        <w:rPr>
          <w:rFonts w:asciiTheme="majorBidi" w:hAnsiTheme="majorBidi" w:cstheme="majorBidi"/>
          <w:i w:val="0"/>
          <w:iCs/>
          <w:sz w:val="20"/>
        </w:rPr>
        <w:t>,</w:t>
      </w:r>
      <w:r w:rsidRPr="003C21D9">
        <w:rPr>
          <w:rFonts w:asciiTheme="majorBidi" w:hAnsiTheme="majorBidi" w:cstheme="majorBidi"/>
          <w:i w:val="0"/>
          <w:iCs/>
          <w:sz w:val="20"/>
        </w:rPr>
        <w:t xml:space="preserve"> Ali Samadikuchaksaraei</w:t>
      </w:r>
      <w:r w:rsidRPr="003C21D9">
        <w:rPr>
          <w:rFonts w:asciiTheme="majorBidi" w:hAnsiTheme="majorBidi" w:cstheme="majorBidi"/>
          <w:i w:val="0"/>
          <w:iCs/>
          <w:sz w:val="20"/>
          <w:vertAlign w:val="superscript"/>
        </w:rPr>
        <w:t>5,6,1</w:t>
      </w:r>
      <w:r w:rsidRPr="003C21D9">
        <w:rPr>
          <w:rFonts w:asciiTheme="majorBidi" w:hAnsiTheme="majorBidi" w:cstheme="majorBidi"/>
          <w:i w:val="0"/>
          <w:iCs/>
          <w:sz w:val="20"/>
        </w:rPr>
        <w:t>, Mauro Alini</w:t>
      </w:r>
      <w:r w:rsidRPr="003C21D9">
        <w:rPr>
          <w:rFonts w:asciiTheme="majorBidi" w:hAnsiTheme="majorBidi" w:cstheme="majorBidi"/>
          <w:i w:val="0"/>
          <w:iCs/>
          <w:sz w:val="20"/>
          <w:vertAlign w:val="superscript"/>
        </w:rPr>
        <w:t>2, *</w:t>
      </w:r>
      <w:r w:rsidRPr="003C21D9">
        <w:rPr>
          <w:rFonts w:asciiTheme="majorBidi" w:hAnsiTheme="majorBidi" w:cstheme="majorBidi"/>
          <w:i w:val="0"/>
          <w:iCs/>
          <w:sz w:val="20"/>
        </w:rPr>
        <w:t xml:space="preserve">, Mohammadreza </w:t>
      </w:r>
      <w:proofErr w:type="spellStart"/>
      <w:r w:rsidRPr="003C21D9">
        <w:rPr>
          <w:rFonts w:asciiTheme="majorBidi" w:hAnsiTheme="majorBidi" w:cstheme="majorBidi"/>
          <w:i w:val="0"/>
          <w:iCs/>
          <w:sz w:val="20"/>
        </w:rPr>
        <w:t>Baghaban</w:t>
      </w:r>
      <w:proofErr w:type="spellEnd"/>
      <w:r w:rsidRPr="003C21D9">
        <w:rPr>
          <w:rFonts w:asciiTheme="majorBidi" w:hAnsiTheme="majorBidi" w:cstheme="majorBidi"/>
          <w:i w:val="0"/>
          <w:iCs/>
          <w:sz w:val="20"/>
        </w:rPr>
        <w:t xml:space="preserve"> Eslaminejad</w:t>
      </w:r>
      <w:r w:rsidRPr="003C21D9">
        <w:rPr>
          <w:rFonts w:asciiTheme="majorBidi" w:hAnsiTheme="majorBidi" w:cstheme="majorBidi"/>
          <w:i w:val="0"/>
          <w:iCs/>
          <w:sz w:val="20"/>
          <w:vertAlign w:val="superscript"/>
        </w:rPr>
        <w:t>4, *</w:t>
      </w:r>
      <w:r w:rsidRPr="003C21D9">
        <w:rPr>
          <w:rFonts w:asciiTheme="majorBidi" w:hAnsiTheme="majorBidi" w:cstheme="majorBidi"/>
          <w:i w:val="0"/>
          <w:iCs/>
          <w:sz w:val="20"/>
        </w:rPr>
        <w:t>, Majid Safa</w:t>
      </w:r>
      <w:r w:rsidRPr="003C21D9">
        <w:rPr>
          <w:rFonts w:asciiTheme="majorBidi" w:hAnsiTheme="majorBidi" w:cstheme="majorBidi"/>
          <w:i w:val="0"/>
          <w:iCs/>
          <w:sz w:val="20"/>
          <w:vertAlign w:val="superscript"/>
        </w:rPr>
        <w:t>5,</w:t>
      </w:r>
      <w:r w:rsidRPr="003C21D9">
        <w:rPr>
          <w:rFonts w:asciiTheme="majorBidi" w:hAnsiTheme="majorBidi" w:cstheme="majorBidi"/>
          <w:i w:val="0"/>
          <w:iCs/>
          <w:sz w:val="20"/>
        </w:rPr>
        <w:t xml:space="preserve"> </w:t>
      </w:r>
      <w:r w:rsidRPr="003C21D9">
        <w:rPr>
          <w:rFonts w:asciiTheme="majorBidi" w:hAnsiTheme="majorBidi" w:cstheme="majorBidi"/>
          <w:i w:val="0"/>
          <w:iCs/>
          <w:sz w:val="20"/>
          <w:vertAlign w:val="superscript"/>
        </w:rPr>
        <w:t>7,1</w:t>
      </w:r>
      <w:r w:rsidRPr="003C21D9">
        <w:rPr>
          <w:rFonts w:asciiTheme="majorBidi" w:hAnsiTheme="majorBidi" w:cstheme="majorBidi"/>
          <w:sz w:val="20"/>
          <w:vertAlign w:val="superscript"/>
        </w:rPr>
        <w:t>, *</w:t>
      </w:r>
      <w:r w:rsidRPr="003C21D9">
        <w:rPr>
          <w:rFonts w:asciiTheme="majorBidi" w:hAnsiTheme="majorBidi" w:cstheme="majorBidi"/>
          <w:sz w:val="20"/>
        </w:rPr>
        <w:t xml:space="preserve"> </w:t>
      </w:r>
    </w:p>
    <w:p w14:paraId="4C3D56D8" w14:textId="3EF92F5D" w:rsidR="003E47E0" w:rsidRDefault="003E47E0" w:rsidP="00D34A81">
      <w:pPr>
        <w:rPr>
          <w:noProof/>
        </w:rPr>
      </w:pPr>
    </w:p>
    <w:p w14:paraId="789AD5E1" w14:textId="670C036F" w:rsidR="003E47E0" w:rsidRDefault="003E47E0" w:rsidP="00D34A81">
      <w:pPr>
        <w:rPr>
          <w:noProof/>
        </w:rPr>
      </w:pPr>
    </w:p>
    <w:p w14:paraId="52ECAC57" w14:textId="77777777" w:rsidR="003E47E0" w:rsidRDefault="003E47E0" w:rsidP="00D34A81">
      <w:pPr>
        <w:rPr>
          <w:noProof/>
        </w:rPr>
      </w:pPr>
    </w:p>
    <w:p w14:paraId="4A9986AA" w14:textId="2728331B" w:rsidR="00D34A81" w:rsidRDefault="00F7676F" w:rsidP="00D34A81">
      <w:r>
        <w:rPr>
          <w:noProof/>
        </w:rPr>
        <w:drawing>
          <wp:anchor distT="0" distB="0" distL="114300" distR="114300" simplePos="0" relativeHeight="251660288" behindDoc="0" locked="0" layoutInCell="1" allowOverlap="1" wp14:anchorId="5F03597F" wp14:editId="0FBA1A74">
            <wp:simplePos x="0" y="0"/>
            <wp:positionH relativeFrom="column">
              <wp:posOffset>-487045</wp:posOffset>
            </wp:positionH>
            <wp:positionV relativeFrom="paragraph">
              <wp:posOffset>0</wp:posOffset>
            </wp:positionV>
            <wp:extent cx="6829965" cy="2226310"/>
            <wp:effectExtent l="0" t="0" r="9525" b="254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9965" cy="222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4A81">
        <w:t>S</w:t>
      </w:r>
      <w:r w:rsidR="00AE6DB8">
        <w:t>-</w:t>
      </w:r>
      <w:r w:rsidR="00D34A81">
        <w:t xml:space="preserve">fig1- </w:t>
      </w:r>
      <w:r w:rsidR="003A54B5">
        <w:t>Immunohistochemical staining against to Coll II and Coll X.</w:t>
      </w:r>
    </w:p>
    <w:p w14:paraId="56FC0128" w14:textId="68E820BF" w:rsidR="00D34A81" w:rsidRDefault="00D34A81" w:rsidP="00EA631C"/>
    <w:p w14:paraId="16B490AE" w14:textId="77777777" w:rsidR="00D34A81" w:rsidRDefault="00D34A81" w:rsidP="00EA631C"/>
    <w:p w14:paraId="4B1AF698" w14:textId="1F568B6D" w:rsidR="00D34A81" w:rsidRDefault="00D34A81" w:rsidP="00EA631C"/>
    <w:p w14:paraId="4C858AC3" w14:textId="562FAA8A" w:rsidR="00EA631C" w:rsidRDefault="00AE6DB8" w:rsidP="00EA631C"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35C0FB3C" wp14:editId="57954BEF">
            <wp:simplePos x="0" y="0"/>
            <wp:positionH relativeFrom="column">
              <wp:posOffset>734695</wp:posOffset>
            </wp:positionH>
            <wp:positionV relativeFrom="paragraph">
              <wp:posOffset>12700</wp:posOffset>
            </wp:positionV>
            <wp:extent cx="4906152" cy="2700000"/>
            <wp:effectExtent l="0" t="0" r="0" b="571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6152" cy="27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2A7C27" w14:textId="14FF52CC" w:rsidR="00EA631C" w:rsidRDefault="00EA631C" w:rsidP="00EA631C"/>
    <w:p w14:paraId="522284C9" w14:textId="77777777" w:rsidR="00EA631C" w:rsidRDefault="00EA631C" w:rsidP="00EA631C"/>
    <w:p w14:paraId="50F370E7" w14:textId="77777777" w:rsidR="00EA631C" w:rsidRDefault="00EA631C" w:rsidP="00EA631C"/>
    <w:p w14:paraId="73BB00BA" w14:textId="436B6518" w:rsidR="00AE6DB8" w:rsidRDefault="00AE6DB8" w:rsidP="00EA631C"/>
    <w:p w14:paraId="0A1212C7" w14:textId="7A184CBB" w:rsidR="00EA631C" w:rsidRDefault="00EA631C" w:rsidP="00EA631C"/>
    <w:p w14:paraId="1144A31D" w14:textId="113248B5" w:rsidR="00EA631C" w:rsidRDefault="00EA631C" w:rsidP="00EA631C"/>
    <w:p w14:paraId="511C11EF" w14:textId="3CE8D0EC" w:rsidR="00EA631C" w:rsidRDefault="00EA631C" w:rsidP="00EA631C"/>
    <w:p w14:paraId="4AA3B212" w14:textId="04F32932" w:rsidR="00EA631C" w:rsidRDefault="00EA631C" w:rsidP="00EA631C"/>
    <w:p w14:paraId="7F800FAB" w14:textId="6EE60F46" w:rsidR="00EA631C" w:rsidRDefault="00EA631C" w:rsidP="00EA631C"/>
    <w:p w14:paraId="0AE4EFE3" w14:textId="100AC7A7" w:rsidR="00EA631C" w:rsidRDefault="00EA631C" w:rsidP="00116235">
      <w:r>
        <w:t xml:space="preserve">S-fig </w:t>
      </w:r>
      <w:r w:rsidR="00D34A81">
        <w:t>2</w:t>
      </w:r>
      <w:r>
        <w:t xml:space="preserve">: </w:t>
      </w:r>
      <w:r w:rsidR="00116235" w:rsidRPr="00116235">
        <w:t xml:space="preserve">Flow cytometric analysis of </w:t>
      </w:r>
      <w:r w:rsidR="005D6687" w:rsidRPr="005D6687">
        <w:t>C</w:t>
      </w:r>
      <w:r w:rsidR="005D6687">
        <w:t>D markers</w:t>
      </w:r>
      <w:r w:rsidR="00116235" w:rsidRPr="00116235">
        <w:t xml:space="preserve"> in </w:t>
      </w:r>
      <w:r w:rsidR="00116235">
        <w:t xml:space="preserve">human </w:t>
      </w:r>
      <w:r w:rsidR="005D6687" w:rsidRPr="005D6687">
        <w:t>BM</w:t>
      </w:r>
      <w:r w:rsidR="00116235" w:rsidRPr="00116235">
        <w:t xml:space="preserve">-MSCs </w:t>
      </w:r>
      <w:r w:rsidR="005D6687" w:rsidRPr="005D6687">
        <w:t>at</w:t>
      </w:r>
      <w:r w:rsidR="00116235" w:rsidRPr="00116235">
        <w:t xml:space="preserve"> passage 3. </w:t>
      </w:r>
      <w:r w:rsidR="005D6687" w:rsidRPr="005D6687">
        <w:t>Th</w:t>
      </w:r>
      <w:r w:rsidR="005D6687">
        <w:t>e</w:t>
      </w:r>
      <w:r w:rsidR="00116235">
        <w:t xml:space="preserve"> </w:t>
      </w:r>
      <w:r w:rsidR="00116235" w:rsidRPr="00116235">
        <w:t xml:space="preserve">majority of the cells expressed </w:t>
      </w:r>
      <w:r w:rsidR="005D6687" w:rsidRPr="005D6687">
        <w:t>t</w:t>
      </w:r>
      <w:r w:rsidR="005D6687">
        <w:t>he typical CD markers related to MSC (</w:t>
      </w:r>
      <w:r w:rsidR="00116235" w:rsidRPr="00116235">
        <w:t>CD 44 and CD 90,</w:t>
      </w:r>
      <w:r w:rsidR="00794C04">
        <w:t xml:space="preserve"> </w:t>
      </w:r>
      <w:r w:rsidR="00116235">
        <w:t>CD73, CD105</w:t>
      </w:r>
      <w:r w:rsidR="005D6687" w:rsidRPr="005D6687">
        <w:t>)</w:t>
      </w:r>
      <w:r w:rsidR="005D6687">
        <w:t>.</w:t>
      </w:r>
      <w:r w:rsidR="00116235" w:rsidRPr="00116235">
        <w:t xml:space="preserve"> </w:t>
      </w:r>
      <w:r w:rsidR="005D6687" w:rsidRPr="005D6687">
        <w:t>O</w:t>
      </w:r>
      <w:r w:rsidR="00116235" w:rsidRPr="00116235">
        <w:t>ther antigens</w:t>
      </w:r>
      <w:r w:rsidR="00116235">
        <w:t xml:space="preserve"> </w:t>
      </w:r>
      <w:r w:rsidR="005D6687" w:rsidRPr="005D6687">
        <w:t>were</w:t>
      </w:r>
      <w:r w:rsidR="00116235" w:rsidRPr="00116235">
        <w:t xml:space="preserve"> </w:t>
      </w:r>
      <w:r w:rsidR="005D6687" w:rsidRPr="005D6687">
        <w:t xml:space="preserve">also </w:t>
      </w:r>
      <w:r w:rsidR="00116235" w:rsidRPr="00116235">
        <w:t xml:space="preserve">expressed in </w:t>
      </w:r>
      <w:r w:rsidR="005D6687" w:rsidRPr="005D6687">
        <w:t>a</w:t>
      </w:r>
      <w:r w:rsidR="00116235" w:rsidRPr="00116235">
        <w:t xml:space="preserve"> minority of the cells.</w:t>
      </w:r>
    </w:p>
    <w:p w14:paraId="17B314A8" w14:textId="29F0CBB0" w:rsidR="00D34A81" w:rsidRDefault="00D34A81" w:rsidP="00116235"/>
    <w:p w14:paraId="5BFAE6D9" w14:textId="43770B3E" w:rsidR="00D34A81" w:rsidRDefault="00D34A81" w:rsidP="00116235"/>
    <w:p w14:paraId="108688E3" w14:textId="2C1FA329" w:rsidR="00116235" w:rsidRPr="005D6687" w:rsidRDefault="00477987" w:rsidP="00477987">
      <w:r>
        <w:rPr>
          <w:noProof/>
        </w:rPr>
        <w:drawing>
          <wp:anchor distT="0" distB="0" distL="114300" distR="114300" simplePos="0" relativeHeight="251661312" behindDoc="0" locked="0" layoutInCell="1" allowOverlap="1" wp14:anchorId="1D555920" wp14:editId="78A33E71">
            <wp:simplePos x="0" y="0"/>
            <wp:positionH relativeFrom="column">
              <wp:posOffset>-48895</wp:posOffset>
            </wp:positionH>
            <wp:positionV relativeFrom="paragraph">
              <wp:posOffset>78105</wp:posOffset>
            </wp:positionV>
            <wp:extent cx="5972810" cy="1720850"/>
            <wp:effectExtent l="0" t="0" r="889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82" b="10810"/>
                    <a:stretch/>
                  </pic:blipFill>
                  <pic:spPr bwMode="auto">
                    <a:xfrm>
                      <a:off x="0" y="0"/>
                      <a:ext cx="5972810" cy="172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4C04">
        <w:t>S-fig</w:t>
      </w:r>
      <w:r w:rsidR="00D34A81">
        <w:t>3</w:t>
      </w:r>
      <w:r w:rsidR="00794C04">
        <w:t xml:space="preserve">: </w:t>
      </w:r>
      <w:r w:rsidR="00794C04" w:rsidRPr="00794C04">
        <w:t xml:space="preserve">Differentiation potential of the isolated cells from </w:t>
      </w:r>
      <w:r w:rsidR="00794C04">
        <w:t>human Bone Marrow</w:t>
      </w:r>
      <w:r w:rsidR="00794C04" w:rsidRPr="00794C04">
        <w:t xml:space="preserve">. A) Sections prepared from </w:t>
      </w:r>
      <w:proofErr w:type="spellStart"/>
      <w:r w:rsidR="00794C04" w:rsidRPr="00794C04">
        <w:t>micromass</w:t>
      </w:r>
      <w:proofErr w:type="spellEnd"/>
      <w:r w:rsidR="00794C04" w:rsidRPr="00794C04">
        <w:t xml:space="preserve"> culture</w:t>
      </w:r>
      <w:r w:rsidR="00794C04">
        <w:t xml:space="preserve"> </w:t>
      </w:r>
      <w:r w:rsidR="00794C04" w:rsidRPr="00794C04">
        <w:t>for chondrogenesis stained purple following toluidine blue staining</w:t>
      </w:r>
      <w:r w:rsidR="00794C04">
        <w:t xml:space="preserve">, </w:t>
      </w:r>
      <w:r w:rsidR="00794C04" w:rsidRPr="00794C04">
        <w:t>B)</w:t>
      </w:r>
      <w:r w:rsidR="00794C04">
        <w:t xml:space="preserve"> </w:t>
      </w:r>
      <w:r w:rsidR="00794C04" w:rsidRPr="00794C04">
        <w:t>Osteogenic culture stained red following alizarin</w:t>
      </w:r>
      <w:r w:rsidR="00794C04">
        <w:t xml:space="preserve"> </w:t>
      </w:r>
      <w:r w:rsidR="00794C04" w:rsidRPr="00794C04">
        <w:t xml:space="preserve">red staining. C) </w:t>
      </w:r>
      <w:proofErr w:type="spellStart"/>
      <w:r w:rsidR="00794C04" w:rsidRPr="00794C04">
        <w:t>Adipogenic</w:t>
      </w:r>
      <w:proofErr w:type="spellEnd"/>
      <w:r w:rsidR="00794C04" w:rsidRPr="00794C04">
        <w:t xml:space="preserve"> culture stained red</w:t>
      </w:r>
      <w:r w:rsidR="00794C04">
        <w:t xml:space="preserve"> </w:t>
      </w:r>
      <w:r w:rsidR="00794C04" w:rsidRPr="00794C04">
        <w:t>following oil red staining</w:t>
      </w:r>
      <w:r w:rsidR="005D6687" w:rsidRPr="005D6687">
        <w:t>. Culture c</w:t>
      </w:r>
      <w:r w:rsidR="005D6687">
        <w:t>onditions and staining methods were as previously described (</w:t>
      </w:r>
      <w:proofErr w:type="spellStart"/>
      <w:r w:rsidR="005D6687">
        <w:t>Meury</w:t>
      </w:r>
      <w:proofErr w:type="spellEnd"/>
      <w:r w:rsidR="005D6687">
        <w:t xml:space="preserve"> at al., </w:t>
      </w:r>
      <w:hyperlink r:id="rId7" w:tooltip="Journal of cellular biochemistry." w:history="1">
        <w:r w:rsidR="005D6687">
          <w:rPr>
            <w:rFonts w:ascii="Arial" w:hAnsi="Arial" w:cs="Arial"/>
            <w:color w:val="2F4A8B"/>
            <w:sz w:val="20"/>
            <w:szCs w:val="20"/>
            <w:u w:val="single"/>
            <w:lang w:val="en"/>
          </w:rPr>
          <w:t xml:space="preserve">Cell </w:t>
        </w:r>
        <w:proofErr w:type="spellStart"/>
        <w:r w:rsidR="005D6687">
          <w:rPr>
            <w:rFonts w:ascii="Arial" w:hAnsi="Arial" w:cs="Arial"/>
            <w:color w:val="2F4A8B"/>
            <w:sz w:val="20"/>
            <w:szCs w:val="20"/>
            <w:u w:val="single"/>
            <w:lang w:val="en"/>
          </w:rPr>
          <w:t>Biochem</w:t>
        </w:r>
        <w:proofErr w:type="spellEnd"/>
        <w:r w:rsidR="005D6687">
          <w:rPr>
            <w:rFonts w:ascii="Arial" w:hAnsi="Arial" w:cs="Arial"/>
            <w:color w:val="2F4A8B"/>
            <w:sz w:val="20"/>
            <w:szCs w:val="20"/>
            <w:u w:val="single"/>
            <w:lang w:val="en"/>
          </w:rPr>
          <w:t>.</w:t>
        </w:r>
      </w:hyperlink>
      <w:r w:rsidR="005D6687">
        <w:rPr>
          <w:rFonts w:ascii="Arial" w:hAnsi="Arial" w:cs="Arial"/>
          <w:sz w:val="20"/>
          <w:szCs w:val="20"/>
          <w:lang w:val="en"/>
        </w:rPr>
        <w:t xml:space="preserve"> 2006 Jul 1;98(4):992-1006)</w:t>
      </w:r>
    </w:p>
    <w:sectPr w:rsidR="00116235" w:rsidRPr="005D6687">
      <w:pgSz w:w="12240" w:h="15840"/>
      <w:pgMar w:top="1417" w:right="1417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31C"/>
    <w:rsid w:val="00116235"/>
    <w:rsid w:val="00291749"/>
    <w:rsid w:val="0036100B"/>
    <w:rsid w:val="003A54B5"/>
    <w:rsid w:val="003E47E0"/>
    <w:rsid w:val="004379B7"/>
    <w:rsid w:val="00477987"/>
    <w:rsid w:val="004B400A"/>
    <w:rsid w:val="004E734C"/>
    <w:rsid w:val="005D6687"/>
    <w:rsid w:val="00794C04"/>
    <w:rsid w:val="007D7195"/>
    <w:rsid w:val="008E77CA"/>
    <w:rsid w:val="00A2510F"/>
    <w:rsid w:val="00AE6DB8"/>
    <w:rsid w:val="00BD46FA"/>
    <w:rsid w:val="00CA4DD8"/>
    <w:rsid w:val="00D34A81"/>
    <w:rsid w:val="00D66144"/>
    <w:rsid w:val="00D73265"/>
    <w:rsid w:val="00E5179A"/>
    <w:rsid w:val="00EA631C"/>
    <w:rsid w:val="00F76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11EEF1"/>
  <w15:chartTrackingRefBased/>
  <w15:docId w15:val="{E2B51FC9-A84A-46A2-B015-E28575E3B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BAuthorName">
    <w:name w:val="BB_Author_Name"/>
    <w:basedOn w:val="Normal"/>
    <w:next w:val="Normal"/>
    <w:rsid w:val="003E47E0"/>
    <w:pPr>
      <w:spacing w:after="240" w:line="480" w:lineRule="auto"/>
      <w:jc w:val="center"/>
    </w:pPr>
    <w:rPr>
      <w:rFonts w:ascii="Times" w:eastAsia="Times New Roman" w:hAnsi="Times" w:cs="Times New Roman"/>
      <w:i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ncbi.nlm.nih.gov/pubmed/1647959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Shahrbanoo Jahangir</dc:creator>
  <cp:keywords/>
  <dc:description/>
  <cp:lastModifiedBy>Acer</cp:lastModifiedBy>
  <cp:revision>11</cp:revision>
  <dcterms:created xsi:type="dcterms:W3CDTF">2020-04-30T05:36:00Z</dcterms:created>
  <dcterms:modified xsi:type="dcterms:W3CDTF">2020-05-19T17:44:00Z</dcterms:modified>
</cp:coreProperties>
</file>