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03A" w:rsidRPr="002962FC" w:rsidRDefault="004E303A" w:rsidP="004E303A">
      <w:pPr>
        <w:adjustRightInd w:val="0"/>
        <w:spacing w:beforeLines="100" w:before="240"/>
        <w:textAlignment w:val="baseline"/>
        <w:outlineLvl w:val="0"/>
        <w:rPr>
          <w:rFonts w:asciiTheme="minorHAnsi" w:hAnsiTheme="minorHAnsi" w:cstheme="minorHAnsi"/>
          <w:b/>
          <w:sz w:val="24"/>
          <w:szCs w:val="24"/>
        </w:rPr>
      </w:pPr>
      <w:r w:rsidRPr="002962FC">
        <w:rPr>
          <w:rFonts w:asciiTheme="minorHAnsi" w:hAnsiTheme="minorHAnsi" w:cstheme="minorHAnsi"/>
          <w:b/>
          <w:sz w:val="24"/>
          <w:szCs w:val="24"/>
        </w:rPr>
        <w:t>Appendix: Platform-shaped distribution in molecular dynamics simulation case</w:t>
      </w:r>
    </w:p>
    <w:p w:rsidR="004E303A" w:rsidRPr="00F548FC" w:rsidRDefault="004E303A" w:rsidP="004E303A">
      <w:pPr>
        <w:adjustRightInd w:val="0"/>
        <w:textAlignment w:val="baseline"/>
        <w:rPr>
          <w:rFonts w:ascii="Times New Roman" w:hAnsi="Times New Roman"/>
          <w:sz w:val="20"/>
          <w:szCs w:val="20"/>
          <w:shd w:val="clear" w:color="auto" w:fill="FFFFFF"/>
        </w:rPr>
      </w:pPr>
      <w:r w:rsidRPr="00F548FC">
        <w:rPr>
          <w:rFonts w:ascii="Times New Roman" w:hAnsi="Times New Roman"/>
          <w:sz w:val="20"/>
          <w:szCs w:val="20"/>
        </w:rPr>
        <w:t>The plane Couette flow simulated by molecular dynamics (MD) confirms that the platform-like phenomenon is not caused by the simplifi</w:t>
      </w:r>
      <w:r w:rsidRPr="00F548FC">
        <w:rPr>
          <w:rFonts w:ascii="Times New Roman" w:hAnsi="Times New Roman" w:hint="eastAsia"/>
          <w:sz w:val="20"/>
          <w:szCs w:val="20"/>
        </w:rPr>
        <w:t>cation</w:t>
      </w:r>
      <w:r w:rsidRPr="00F548FC">
        <w:rPr>
          <w:rFonts w:ascii="Times New Roman" w:hAnsi="Times New Roman"/>
          <w:sz w:val="20"/>
          <w:szCs w:val="20"/>
        </w:rPr>
        <w:t xml:space="preserve"> of molecular interaction in DSMC.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</w:t>
      </w:r>
    </w:p>
    <w:p w:rsidR="004E303A" w:rsidRPr="00F548FC" w:rsidRDefault="004E303A" w:rsidP="004E303A">
      <w:pPr>
        <w:adjustRightInd w:val="0"/>
        <w:ind w:firstLineChars="100" w:firstLine="200"/>
        <w:textAlignment w:val="baseline"/>
        <w:rPr>
          <w:rFonts w:ascii="Times New Roman" w:hAnsi="Times New Roman"/>
          <w:sz w:val="20"/>
          <w:szCs w:val="20"/>
        </w:rPr>
      </w:pPr>
      <w:r w:rsidRPr="00F548FC">
        <w:rPr>
          <w:rFonts w:ascii="Times New Roman" w:hAnsi="Times New Roman"/>
          <w:sz w:val="20"/>
          <w:szCs w:val="20"/>
        </w:rPr>
        <w:t>T</w:t>
      </w:r>
      <w:r w:rsidRPr="00F548FC">
        <w:rPr>
          <w:rFonts w:ascii="Times New Roman" w:hAnsi="Times New Roman" w:hint="eastAsia"/>
          <w:sz w:val="20"/>
          <w:szCs w:val="20"/>
        </w:rPr>
        <w:t>h</w:t>
      </w:r>
      <w:r w:rsidRPr="00F548FC">
        <w:rPr>
          <w:rFonts w:ascii="Times New Roman" w:hAnsi="Times New Roman"/>
          <w:sz w:val="20"/>
          <w:szCs w:val="20"/>
        </w:rPr>
        <w:t>e MD code was detailed in our former work [</w:t>
      </w:r>
      <w:r w:rsidRPr="00F548FC">
        <w:rPr>
          <w:rFonts w:ascii="Times New Roman" w:hAnsi="Times New Roman"/>
          <w:sz w:val="20"/>
          <w:szCs w:val="20"/>
        </w:rPr>
        <w:fldChar w:fldCharType="begin"/>
      </w:r>
      <w:r w:rsidRPr="00F548FC">
        <w:rPr>
          <w:rFonts w:ascii="Times New Roman" w:hAnsi="Times New Roman"/>
          <w:sz w:val="20"/>
          <w:szCs w:val="20"/>
        </w:rPr>
        <w:instrText xml:space="preserve"> REF _Ref96388870 \r \h  \* MERGEFORMAT </w:instrText>
      </w:r>
      <w:r w:rsidRPr="00F548FC">
        <w:rPr>
          <w:rFonts w:ascii="Times New Roman" w:hAnsi="Times New Roman"/>
          <w:sz w:val="20"/>
          <w:szCs w:val="20"/>
        </w:rPr>
      </w:r>
      <w:r w:rsidRPr="00F548FC">
        <w:rPr>
          <w:rFonts w:ascii="Times New Roman" w:hAnsi="Times New Roman"/>
          <w:sz w:val="20"/>
          <w:szCs w:val="20"/>
        </w:rPr>
        <w:fldChar w:fldCharType="separate"/>
      </w:r>
      <w:r w:rsidRPr="00F548FC">
        <w:rPr>
          <w:rFonts w:ascii="Times New Roman" w:hAnsi="Times New Roman"/>
          <w:sz w:val="20"/>
          <w:szCs w:val="20"/>
        </w:rPr>
        <w:t>34</w:t>
      </w:r>
      <w:r w:rsidRPr="00F548FC">
        <w:rPr>
          <w:rFonts w:ascii="Times New Roman" w:hAnsi="Times New Roman"/>
          <w:sz w:val="20"/>
          <w:szCs w:val="20"/>
        </w:rPr>
        <w:fldChar w:fldCharType="end"/>
      </w:r>
      <w:r w:rsidRPr="00F548FC">
        <w:rPr>
          <w:rFonts w:ascii="Times New Roman" w:hAnsi="Times New Roman"/>
          <w:sz w:val="20"/>
          <w:szCs w:val="20"/>
        </w:rPr>
        <w:t xml:space="preserve">].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The calculation domain of </w:t>
      </w:r>
      <w:r w:rsidRPr="00F548FC">
        <w:rPr>
          <w:rFonts w:ascii="Times New Roman" w:hAnsi="Times New Roman"/>
          <w:sz w:val="20"/>
          <w:szCs w:val="20"/>
        </w:rPr>
        <w:t>Couette flow is similar to the flowfield shown in Fig. 1. T</w:t>
      </w:r>
      <w:r w:rsidRPr="00F548FC">
        <w:rPr>
          <w:rFonts w:ascii="Times New Roman" w:hAnsi="Times New Roman" w:hint="eastAsia"/>
          <w:sz w:val="20"/>
          <w:szCs w:val="20"/>
        </w:rPr>
        <w:t>he</w:t>
      </w:r>
      <w:r w:rsidRPr="00F548FC">
        <w:rPr>
          <w:rFonts w:ascii="Times New Roman" w:hAnsi="Times New Roman"/>
          <w:sz w:val="20"/>
          <w:szCs w:val="20"/>
        </w:rPr>
        <w:t xml:space="preserve"> flowfield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size</w:t>
      </w:r>
      <w:r w:rsidRPr="00F548FC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wa</w:t>
      </w:r>
      <w:r w:rsidRPr="00F548FC">
        <w:rPr>
          <w:rFonts w:ascii="Times New Roman" w:hAnsi="Times New Roman" w:hint="eastAsia"/>
          <w:sz w:val="20"/>
          <w:szCs w:val="20"/>
          <w:shd w:val="clear" w:color="auto" w:fill="FFFFFF"/>
        </w:rPr>
        <w:t>s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set to be </w:t>
      </w:r>
      <w:r w:rsidRPr="00F548FC">
        <w:rPr>
          <w:rFonts w:ascii="Times New Roman" w:hAnsi="Times New Roman"/>
          <w:sz w:val="20"/>
          <w:szCs w:val="20"/>
        </w:rPr>
        <w:t xml:space="preserve">2010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Å</w:t>
      </w:r>
      <w:r w:rsidRPr="00F548FC">
        <w:rPr>
          <w:rFonts w:ascii="Times New Roman" w:hAnsi="Times New Roman"/>
          <w:iCs/>
          <w:sz w:val="20"/>
          <w:szCs w:val="20"/>
        </w:rPr>
        <w:t xml:space="preserve"> </w:t>
      </w:r>
      <w:r w:rsidRPr="00F548FC">
        <w:rPr>
          <w:rFonts w:ascii="Times New Roman" w:hAnsi="Times New Roman"/>
          <w:sz w:val="20"/>
          <w:szCs w:val="20"/>
        </w:rPr>
        <w:t xml:space="preserve">× 502.5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Å</w:t>
      </w:r>
      <w:r w:rsidRPr="00F548FC">
        <w:rPr>
          <w:rFonts w:ascii="Times New Roman" w:hAnsi="Times New Roman"/>
          <w:sz w:val="20"/>
          <w:szCs w:val="20"/>
        </w:rPr>
        <w:t xml:space="preserve"> × 1005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Å</w:t>
      </w:r>
      <w:r w:rsidRPr="00F548FC">
        <w:rPr>
          <w:rFonts w:ascii="Times New Roman" w:hAnsi="Times New Roman"/>
          <w:iCs/>
          <w:sz w:val="20"/>
          <w:szCs w:val="20"/>
        </w:rPr>
        <w:t xml:space="preserve"> </w:t>
      </w:r>
      <w:r w:rsidRPr="00F548FC">
        <w:rPr>
          <w:rFonts w:ascii="Times New Roman" w:hAnsi="Times New Roman"/>
          <w:sz w:val="20"/>
          <w:szCs w:val="20"/>
        </w:rPr>
        <w:t>(</w:t>
      </w:r>
      <w:r w:rsidRPr="00F548FC">
        <w:rPr>
          <w:rFonts w:ascii="Times New Roman" w:hAnsi="Times New Roman"/>
          <w:i/>
          <w:sz w:val="20"/>
          <w:szCs w:val="20"/>
        </w:rPr>
        <w:t>L</w:t>
      </w:r>
      <w:r w:rsidRPr="00F548FC">
        <w:rPr>
          <w:rFonts w:ascii="Times New Roman" w:hAnsi="Times New Roman"/>
          <w:sz w:val="20"/>
          <w:szCs w:val="20"/>
          <w:vertAlign w:val="subscript"/>
        </w:rPr>
        <w:t>x</w:t>
      </w:r>
      <w:r w:rsidRPr="00F548FC">
        <w:rPr>
          <w:rFonts w:ascii="Times New Roman" w:hAnsi="Times New Roman"/>
          <w:sz w:val="20"/>
          <w:szCs w:val="20"/>
        </w:rPr>
        <w:t xml:space="preserve"> × </w:t>
      </w:r>
      <w:r w:rsidRPr="00F548FC">
        <w:rPr>
          <w:rFonts w:ascii="Times New Roman" w:hAnsi="Times New Roman"/>
          <w:i/>
          <w:sz w:val="20"/>
          <w:szCs w:val="20"/>
        </w:rPr>
        <w:t>L</w:t>
      </w:r>
      <w:r w:rsidRPr="00F548FC">
        <w:rPr>
          <w:rFonts w:ascii="Times New Roman" w:hAnsi="Times New Roman"/>
          <w:sz w:val="20"/>
          <w:szCs w:val="20"/>
          <w:vertAlign w:val="subscript"/>
        </w:rPr>
        <w:t>y</w:t>
      </w:r>
      <w:r w:rsidRPr="00F548FC">
        <w:rPr>
          <w:rFonts w:ascii="Times New Roman" w:hAnsi="Times New Roman"/>
          <w:sz w:val="20"/>
          <w:szCs w:val="20"/>
        </w:rPr>
        <w:t xml:space="preserve"> × </w:t>
      </w:r>
      <w:r w:rsidRPr="00F548FC">
        <w:rPr>
          <w:rFonts w:ascii="Times New Roman" w:hAnsi="Times New Roman"/>
          <w:i/>
          <w:sz w:val="20"/>
          <w:szCs w:val="20"/>
        </w:rPr>
        <w:t>L</w:t>
      </w:r>
      <w:r w:rsidRPr="00F548FC">
        <w:rPr>
          <w:rFonts w:ascii="Times New Roman" w:hAnsi="Times New Roman"/>
          <w:sz w:val="20"/>
          <w:szCs w:val="20"/>
          <w:vertAlign w:val="subscript"/>
        </w:rPr>
        <w:t>z</w:t>
      </w:r>
      <w:r w:rsidRPr="00F548FC">
        <w:rPr>
          <w:rFonts w:ascii="Times New Roman" w:hAnsi="Times New Roman"/>
          <w:sz w:val="20"/>
          <w:szCs w:val="20"/>
        </w:rPr>
        <w:t>).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</w:t>
      </w:r>
      <w:r w:rsidRPr="00F548FC">
        <w:rPr>
          <w:rFonts w:ascii="Times New Roman" w:hAnsi="Times New Roman"/>
          <w:sz w:val="20"/>
          <w:szCs w:val="20"/>
        </w:rPr>
        <w:t xml:space="preserve">The </w:t>
      </w:r>
      <w:r w:rsidRPr="00F548FC">
        <w:rPr>
          <w:rFonts w:ascii="Times New Roman" w:hAnsi="Times New Roman" w:hint="eastAsia"/>
          <w:sz w:val="20"/>
          <w:szCs w:val="20"/>
        </w:rPr>
        <w:t>working</w:t>
      </w:r>
      <w:r w:rsidRPr="00F548FC">
        <w:rPr>
          <w:rFonts w:ascii="Times New Roman" w:hAnsi="Times New Roman"/>
          <w:sz w:val="20"/>
          <w:szCs w:val="20"/>
        </w:rPr>
        <w:t xml:space="preserve"> fluid is still argon gas.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The gas boundaries in the </w:t>
      </w:r>
      <w:r w:rsidRPr="00F548FC">
        <w:rPr>
          <w:rFonts w:ascii="Times New Roman" w:hAnsi="Times New Roman"/>
          <w:i/>
          <w:iCs/>
          <w:sz w:val="20"/>
          <w:szCs w:val="20"/>
        </w:rPr>
        <w:t>x</w:t>
      </w:r>
      <w:r w:rsidRPr="00F548FC">
        <w:rPr>
          <w:rFonts w:ascii="Times New Roman" w:hAnsi="Times New Roman"/>
          <w:sz w:val="20"/>
          <w:szCs w:val="20"/>
        </w:rPr>
        <w:t xml:space="preserve"> and </w:t>
      </w:r>
      <w:r w:rsidRPr="00F548FC">
        <w:rPr>
          <w:rFonts w:ascii="Times New Roman" w:hAnsi="Times New Roman"/>
          <w:i/>
          <w:iCs/>
          <w:sz w:val="20"/>
          <w:szCs w:val="20"/>
        </w:rPr>
        <w:t>y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directions are periodic.</w:t>
      </w:r>
      <w:r w:rsidRPr="00F548FC">
        <w:rPr>
          <w:rFonts w:ascii="Times New Roman" w:hAnsi="Times New Roman"/>
          <w:sz w:val="20"/>
          <w:szCs w:val="20"/>
        </w:rPr>
        <w:t xml:space="preserve"> The molecular interaction potential is the widely used Lennard-Jones potential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(</w:t>
      </w:r>
      <w:r w:rsidRPr="00F548FC">
        <w:rPr>
          <w:rFonts w:ascii="Times New Roman" w:hAnsi="Times New Roman"/>
          <w:i/>
          <w:iCs/>
          <w:sz w:val="20"/>
          <w:szCs w:val="20"/>
          <w:shd w:val="clear" w:color="auto" w:fill="FFFFFF"/>
        </w:rPr>
        <w:t>V</w:t>
      </w:r>
      <w:r w:rsidRPr="00F548FC">
        <w:rPr>
          <w:rFonts w:ascii="Times New Roman" w:hAnsi="Times New Roman"/>
          <w:iCs/>
          <w:sz w:val="20"/>
          <w:szCs w:val="20"/>
          <w:shd w:val="clear" w:color="auto" w:fill="FFFFFF"/>
          <w:vertAlign w:val="subscript"/>
        </w:rPr>
        <w:t>LJ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)</w:t>
      </w:r>
      <w:r w:rsidRPr="00F548FC">
        <w:rPr>
          <w:rFonts w:ascii="Times New Roman" w:hAnsi="Times New Roman"/>
          <w:sz w:val="20"/>
          <w:szCs w:val="20"/>
        </w:rPr>
        <w:t>:</w:t>
      </w:r>
    </w:p>
    <w:p w:rsidR="004E303A" w:rsidRPr="00F548FC" w:rsidRDefault="004E303A" w:rsidP="004E303A">
      <w:pPr>
        <w:adjustRightInd w:val="0"/>
        <w:jc w:val="right"/>
        <w:textAlignment w:val="baseline"/>
        <w:rPr>
          <w:rFonts w:ascii="Times New Roman" w:hAnsi="Times New Roman"/>
          <w:sz w:val="20"/>
          <w:szCs w:val="20"/>
        </w:rPr>
      </w:pPr>
      <w:r w:rsidRPr="00F548FC">
        <w:rPr>
          <w:noProof/>
          <w:position w:val="-34"/>
          <w:sz w:val="20"/>
        </w:rPr>
        <w:object w:dxaOrig="272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33pt" o:ole="">
            <v:fill o:detectmouseclick="t"/>
            <v:imagedata r:id="rId4" o:title=""/>
          </v:shape>
          <o:OLEObject Type="Embed" ProgID="Equation.DSMT4" ShapeID="_x0000_i1025" DrawAspect="Content" ObjectID="_1715001036" r:id="rId5"/>
        </w:object>
      </w:r>
      <w:r w:rsidRPr="00F548FC">
        <w:rPr>
          <w:rFonts w:ascii="Times New Roman" w:hAnsi="Times New Roman"/>
          <w:sz w:val="20"/>
          <w:szCs w:val="20"/>
        </w:rPr>
        <w:t>,</w:t>
      </w:r>
      <w:r w:rsidRPr="00F548FC">
        <w:rPr>
          <w:rFonts w:ascii="Times New Roman" w:hAnsi="Times New Roman"/>
          <w:sz w:val="20"/>
          <w:szCs w:val="20"/>
        </w:rPr>
        <w:tab/>
      </w:r>
      <w:r w:rsidRPr="00F548FC">
        <w:rPr>
          <w:rFonts w:ascii="Times New Roman" w:hAnsi="Times New Roman"/>
          <w:sz w:val="20"/>
          <w:szCs w:val="20"/>
        </w:rPr>
        <w:tab/>
      </w:r>
      <w:r w:rsidRPr="00F548FC">
        <w:rPr>
          <w:rFonts w:ascii="Times New Roman" w:hAnsi="Times New Roman"/>
          <w:sz w:val="20"/>
          <w:szCs w:val="20"/>
        </w:rPr>
        <w:tab/>
      </w:r>
      <w:r w:rsidRPr="00F548FC">
        <w:rPr>
          <w:rFonts w:ascii="Times New Roman" w:hAnsi="Times New Roman"/>
          <w:sz w:val="20"/>
          <w:szCs w:val="20"/>
        </w:rPr>
        <w:tab/>
      </w:r>
      <w:r w:rsidRPr="00F548FC">
        <w:rPr>
          <w:rFonts w:ascii="Times New Roman" w:hAnsi="Times New Roman"/>
          <w:sz w:val="20"/>
          <w:szCs w:val="20"/>
        </w:rPr>
        <w:tab/>
      </w:r>
      <w:r w:rsidRPr="00F548FC">
        <w:rPr>
          <w:rFonts w:ascii="Times New Roman" w:hAnsi="Times New Roman"/>
          <w:sz w:val="20"/>
          <w:szCs w:val="20"/>
        </w:rPr>
        <w:tab/>
      </w:r>
      <w:r w:rsidRPr="00F548FC">
        <w:rPr>
          <w:rFonts w:ascii="Times New Roman" w:hAnsi="Times New Roman"/>
          <w:sz w:val="20"/>
          <w:szCs w:val="20"/>
        </w:rPr>
        <w:tab/>
      </w:r>
      <w:r w:rsidRPr="00F548FC">
        <w:rPr>
          <w:rFonts w:ascii="Times New Roman" w:hAnsi="Times New Roman"/>
          <w:sz w:val="20"/>
          <w:szCs w:val="20"/>
        </w:rPr>
        <w:tab/>
        <w:t>(6)</w:t>
      </w:r>
    </w:p>
    <w:p w:rsidR="004E303A" w:rsidRPr="00F548FC" w:rsidRDefault="004E303A" w:rsidP="004E303A">
      <w:pPr>
        <w:adjustRightInd w:val="0"/>
        <w:textAlignment w:val="baseline"/>
        <w:rPr>
          <w:rFonts w:ascii="Times New Roman" w:hAnsi="Times New Roman"/>
          <w:sz w:val="20"/>
          <w:szCs w:val="20"/>
          <w:shd w:val="clear" w:color="auto" w:fill="FFFFFF"/>
        </w:rPr>
      </w:pPr>
      <w:r w:rsidRPr="00F548FC">
        <w:rPr>
          <w:rFonts w:ascii="Times New Roman" w:hAnsi="Times New Roman"/>
          <w:sz w:val="20"/>
          <w:szCs w:val="20"/>
        </w:rPr>
        <w:t>where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</w:t>
      </w:r>
      <w:r w:rsidRPr="00F548FC">
        <w:rPr>
          <w:rFonts w:ascii="Times New Roman" w:hAnsi="Times New Roman"/>
          <w:i/>
          <w:iCs/>
          <w:sz w:val="20"/>
          <w:szCs w:val="20"/>
        </w:rPr>
        <w:t>ε</w:t>
      </w:r>
      <w:r w:rsidRPr="00F548FC">
        <w:rPr>
          <w:rFonts w:ascii="Times New Roman" w:hAnsi="Times New Roman"/>
          <w:iCs/>
          <w:sz w:val="20"/>
          <w:szCs w:val="20"/>
        </w:rPr>
        <w:t xml:space="preserve"> (</w:t>
      </w:r>
      <w:r w:rsidRPr="00F548FC">
        <w:rPr>
          <w:rFonts w:ascii="Times New Roman" w:hAnsi="Times New Roman"/>
          <w:sz w:val="20"/>
          <w:szCs w:val="20"/>
        </w:rPr>
        <w:t>= 1.198 kJ/mol)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is the</w:t>
      </w:r>
      <w:r w:rsidRPr="00F548FC">
        <w:rPr>
          <w:rFonts w:ascii="Times New Roman" w:hAnsi="Times New Roman"/>
          <w:sz w:val="20"/>
          <w:szCs w:val="20"/>
        </w:rPr>
        <w:t xml:space="preserve">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potential well depth, </w:t>
      </w:r>
      <w:r w:rsidRPr="00F548FC">
        <w:rPr>
          <w:rFonts w:ascii="Times New Roman" w:hAnsi="Times New Roman"/>
          <w:i/>
          <w:iCs/>
          <w:sz w:val="20"/>
          <w:szCs w:val="20"/>
        </w:rPr>
        <w:t xml:space="preserve">σ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(</w:t>
      </w:r>
      <w:r w:rsidRPr="00F548FC">
        <w:rPr>
          <w:rFonts w:ascii="Times New Roman" w:hAnsi="Times New Roman"/>
          <w:sz w:val="20"/>
          <w:szCs w:val="20"/>
        </w:rPr>
        <w:t xml:space="preserve">= 3.35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Å) </w:t>
      </w:r>
      <w:r w:rsidRPr="00F548FC">
        <w:rPr>
          <w:rFonts w:ascii="Times New Roman" w:hAnsi="Times New Roman"/>
          <w:sz w:val="20"/>
          <w:szCs w:val="20"/>
        </w:rPr>
        <w:t>is the zero-potential distance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,</w:t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fldChar w:fldCharType="begin"/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instrText xml:space="preserve"> REF _Ref96438435 \r \h </w:instrText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fldChar w:fldCharType="separate"/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t>43</w:t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fldChar w:fldCharType="end"/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and </w:t>
      </w:r>
      <w:r w:rsidRPr="00F548FC">
        <w:rPr>
          <w:rFonts w:ascii="Times New Roman" w:hAnsi="Times New Roman"/>
          <w:i/>
          <w:iCs/>
          <w:sz w:val="20"/>
          <w:szCs w:val="20"/>
        </w:rPr>
        <w:t>r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is the distance between molecules. The cut-off distance of </w:t>
      </w:r>
      <w:r w:rsidRPr="00F548FC">
        <w:rPr>
          <w:rFonts w:ascii="Times New Roman" w:hAnsi="Times New Roman"/>
          <w:sz w:val="20"/>
          <w:szCs w:val="20"/>
        </w:rPr>
        <w:t>interaction potential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</w:t>
      </w:r>
      <w:r w:rsidRPr="00F548FC">
        <w:rPr>
          <w:rFonts w:ascii="Times New Roman" w:hAnsi="Times New Roman" w:hint="eastAsia"/>
          <w:sz w:val="20"/>
          <w:szCs w:val="20"/>
        </w:rPr>
        <w:t>wa</w:t>
      </w:r>
      <w:r w:rsidRPr="00F548FC">
        <w:rPr>
          <w:rFonts w:ascii="Times New Roman" w:hAnsi="Times New Roman"/>
          <w:sz w:val="20"/>
          <w:szCs w:val="20"/>
        </w:rPr>
        <w:t xml:space="preserve">s set to be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3</w:t>
      </w:r>
      <w:r w:rsidRPr="00F548FC">
        <w:rPr>
          <w:rFonts w:ascii="Times New Roman" w:hAnsi="Times New Roman"/>
          <w:i/>
          <w:iCs/>
          <w:sz w:val="20"/>
          <w:szCs w:val="20"/>
        </w:rPr>
        <w:t>σ</w:t>
      </w:r>
      <w:r w:rsidRPr="00F548FC">
        <w:rPr>
          <w:rFonts w:ascii="Times New Roman" w:hAnsi="Times New Roman"/>
          <w:iCs/>
          <w:sz w:val="20"/>
          <w:szCs w:val="20"/>
        </w:rPr>
        <w:t xml:space="preserve"> </w:t>
      </w:r>
      <w:r w:rsidRPr="00F548FC">
        <w:rPr>
          <w:rFonts w:ascii="Times New Roman" w:hAnsi="Times New Roman"/>
          <w:sz w:val="20"/>
          <w:szCs w:val="20"/>
        </w:rPr>
        <w:t xml:space="preserve">(= 10.05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Å). The molecular number density (</w:t>
      </w:r>
      <w:r w:rsidRPr="00F548FC">
        <w:rPr>
          <w:rFonts w:ascii="Times New Roman" w:hAnsi="Times New Roman"/>
          <w:i/>
          <w:iCs/>
          <w:sz w:val="20"/>
          <w:szCs w:val="20"/>
          <w:shd w:val="clear" w:color="auto" w:fill="FFFFFF"/>
        </w:rPr>
        <w:t>n</w:t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bscript"/>
        </w:rPr>
        <w:t>0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) approximates the standard atmosphere, i.e.,</w:t>
      </w:r>
      <w:r w:rsidRPr="00F548FC">
        <w:rPr>
          <w:rFonts w:ascii="Times New Roman" w:hAnsi="Times New Roman"/>
          <w:sz w:val="20"/>
          <w:szCs w:val="20"/>
        </w:rPr>
        <w:t xml:space="preserve"> </w:t>
      </w:r>
      <w:r w:rsidRPr="00F548FC">
        <w:rPr>
          <w:rFonts w:ascii="Times New Roman" w:hAnsi="Times New Roman"/>
          <w:i/>
          <w:iCs/>
          <w:sz w:val="20"/>
          <w:szCs w:val="20"/>
          <w:shd w:val="clear" w:color="auto" w:fill="FFFFFF"/>
        </w:rPr>
        <w:t>n</w:t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bscript"/>
        </w:rPr>
        <w:t>0</w:t>
      </w:r>
      <w:r w:rsidRPr="00F548FC">
        <w:rPr>
          <w:rFonts w:ascii="Times New Roman" w:hAnsi="Times New Roman"/>
          <w:sz w:val="20"/>
          <w:szCs w:val="20"/>
        </w:rPr>
        <w:t xml:space="preserve"> = 2.665 × 10</w:t>
      </w:r>
      <w:r w:rsidRPr="00F548FC">
        <w:rPr>
          <w:rFonts w:ascii="Times New Roman" w:hAnsi="Times New Roman"/>
          <w:sz w:val="20"/>
          <w:szCs w:val="20"/>
          <w:vertAlign w:val="superscript"/>
        </w:rPr>
        <w:t>25</w:t>
      </w:r>
      <w:r w:rsidRPr="00F548FC">
        <w:rPr>
          <w:rFonts w:ascii="Times New Roman" w:hAnsi="Times New Roman"/>
          <w:sz w:val="20"/>
          <w:szCs w:val="20"/>
        </w:rPr>
        <w:t xml:space="preserve"> m</w:t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t>–</w:t>
      </w:r>
      <w:r w:rsidRPr="00F548FC">
        <w:rPr>
          <w:rFonts w:ascii="Times New Roman" w:hAnsi="Times New Roman"/>
          <w:sz w:val="20"/>
          <w:szCs w:val="20"/>
          <w:vertAlign w:val="superscript"/>
        </w:rPr>
        <w:t>3</w:t>
      </w:r>
      <w:r w:rsidRPr="00F548FC">
        <w:rPr>
          <w:rFonts w:ascii="Times New Roman" w:hAnsi="Times New Roman"/>
          <w:sz w:val="20"/>
          <w:szCs w:val="20"/>
        </w:rPr>
        <w:t>,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and the one-dimensional average molecular spacing is 10</w:t>
      </w:r>
      <w:r w:rsidRPr="00F548FC">
        <w:rPr>
          <w:rFonts w:ascii="Times New Roman" w:hAnsi="Times New Roman"/>
          <w:i/>
          <w:iCs/>
          <w:sz w:val="20"/>
          <w:szCs w:val="20"/>
        </w:rPr>
        <w:t>σ</w:t>
      </w:r>
      <w:r w:rsidRPr="00F548FC">
        <w:rPr>
          <w:rFonts w:ascii="Times New Roman" w:hAnsi="Times New Roman"/>
          <w:iCs/>
          <w:sz w:val="20"/>
          <w:szCs w:val="20"/>
        </w:rPr>
        <w:t xml:space="preserve">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(= </w:t>
      </w:r>
      <w:r w:rsidRPr="00F548FC">
        <w:rPr>
          <w:rFonts w:ascii="Times New Roman" w:hAnsi="Times New Roman"/>
          <w:sz w:val="20"/>
          <w:szCs w:val="20"/>
        </w:rPr>
        <w:t xml:space="preserve">33.5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Å)</w:t>
      </w:r>
      <w:r w:rsidRPr="00F548FC">
        <w:rPr>
          <w:rFonts w:ascii="Times New Roman" w:hAnsi="Times New Roman"/>
          <w:sz w:val="20"/>
          <w:szCs w:val="20"/>
        </w:rPr>
        <w:t>. Thus, the simulated molecular number is 60</w:t>
      </w:r>
      <w:r w:rsidRPr="00F548FC">
        <w:rPr>
          <w:rFonts w:ascii="Times New Roman" w:hAnsi="Times New Roman"/>
          <w:iCs/>
          <w:sz w:val="20"/>
          <w:szCs w:val="20"/>
        </w:rPr>
        <w:t xml:space="preserve"> </w:t>
      </w:r>
      <w:r w:rsidRPr="00F548FC">
        <w:rPr>
          <w:rFonts w:ascii="Times New Roman" w:hAnsi="Times New Roman"/>
          <w:sz w:val="20"/>
          <w:szCs w:val="20"/>
        </w:rPr>
        <w:t>× 15 × 30 (</w:t>
      </w:r>
      <w:r w:rsidRPr="00F548FC">
        <w:rPr>
          <w:rFonts w:ascii="Times New Roman" w:hAnsi="Times New Roman"/>
          <w:i/>
          <w:sz w:val="20"/>
          <w:szCs w:val="20"/>
        </w:rPr>
        <w:t>x</w:t>
      </w:r>
      <w:r w:rsidRPr="00F548FC">
        <w:rPr>
          <w:rFonts w:ascii="Times New Roman" w:hAnsi="Times New Roman"/>
          <w:sz w:val="20"/>
          <w:szCs w:val="20"/>
        </w:rPr>
        <w:t xml:space="preserve"> × </w:t>
      </w:r>
      <w:r w:rsidRPr="00F548FC">
        <w:rPr>
          <w:rFonts w:ascii="Times New Roman" w:hAnsi="Times New Roman"/>
          <w:i/>
          <w:sz w:val="20"/>
          <w:szCs w:val="20"/>
        </w:rPr>
        <w:t>y</w:t>
      </w:r>
      <w:r w:rsidRPr="00F548FC">
        <w:rPr>
          <w:rFonts w:ascii="Times New Roman" w:hAnsi="Times New Roman"/>
          <w:sz w:val="20"/>
          <w:szCs w:val="20"/>
        </w:rPr>
        <w:t xml:space="preserve"> × </w:t>
      </w:r>
      <w:r w:rsidRPr="00F548FC">
        <w:rPr>
          <w:rFonts w:ascii="Times New Roman" w:hAnsi="Times New Roman"/>
          <w:i/>
          <w:sz w:val="20"/>
          <w:szCs w:val="20"/>
        </w:rPr>
        <w:t>z</w:t>
      </w:r>
      <w:r w:rsidRPr="00F548FC">
        <w:rPr>
          <w:rFonts w:ascii="Times New Roman" w:hAnsi="Times New Roman"/>
          <w:sz w:val="20"/>
          <w:szCs w:val="20"/>
        </w:rPr>
        <w:t>). The initial temperatures of gas (</w:t>
      </w:r>
      <w:r w:rsidRPr="00F548FC">
        <w:rPr>
          <w:rFonts w:ascii="Times New Roman" w:hAnsi="Times New Roman"/>
          <w:i/>
          <w:sz w:val="20"/>
          <w:szCs w:val="20"/>
        </w:rPr>
        <w:t>T</w:t>
      </w:r>
      <w:r w:rsidRPr="00F548FC">
        <w:rPr>
          <w:rFonts w:ascii="Times New Roman" w:hAnsi="Times New Roman"/>
          <w:sz w:val="20"/>
          <w:szCs w:val="20"/>
          <w:vertAlign w:val="subscript"/>
        </w:rPr>
        <w:t>0</w:t>
      </w:r>
      <w:r w:rsidRPr="00F548FC">
        <w:rPr>
          <w:rFonts w:ascii="Times New Roman" w:hAnsi="Times New Roman"/>
          <w:sz w:val="20"/>
          <w:szCs w:val="20"/>
        </w:rPr>
        <w:t>) and wall (</w:t>
      </w:r>
      <w:r w:rsidRPr="00F548FC">
        <w:rPr>
          <w:rFonts w:ascii="Times New Roman" w:hAnsi="Times New Roman"/>
          <w:i/>
          <w:sz w:val="20"/>
          <w:szCs w:val="20"/>
        </w:rPr>
        <w:t>T</w:t>
      </w:r>
      <w:r w:rsidRPr="00F548FC">
        <w:rPr>
          <w:rFonts w:ascii="Times New Roman" w:hAnsi="Times New Roman"/>
          <w:sz w:val="20"/>
          <w:szCs w:val="20"/>
          <w:vertAlign w:val="subscript"/>
        </w:rPr>
        <w:t>w</w:t>
      </w:r>
      <w:r w:rsidRPr="00F548FC">
        <w:rPr>
          <w:rFonts w:ascii="Times New Roman" w:hAnsi="Times New Roman"/>
          <w:sz w:val="20"/>
          <w:szCs w:val="20"/>
        </w:rPr>
        <w:t>) are 300 K, and t</w:t>
      </w:r>
      <w:r w:rsidRPr="00F548FC">
        <w:rPr>
          <w:rFonts w:ascii="Times New Roman" w:hAnsi="Times New Roman" w:hint="eastAsia"/>
          <w:sz w:val="20"/>
          <w:szCs w:val="20"/>
        </w:rPr>
        <w:t>he</w:t>
      </w:r>
      <w:r w:rsidRPr="00F548FC">
        <w:rPr>
          <w:rFonts w:ascii="Times New Roman" w:hAnsi="Times New Roman"/>
          <w:sz w:val="20"/>
          <w:szCs w:val="20"/>
        </w:rPr>
        <w:t xml:space="preserve"> </w:t>
      </w:r>
      <w:r w:rsidRPr="00F548FC">
        <w:rPr>
          <w:rFonts w:ascii="Times New Roman" w:hAnsi="Times New Roman" w:hint="eastAsia"/>
          <w:sz w:val="20"/>
          <w:szCs w:val="20"/>
        </w:rPr>
        <w:t>most probable velocity</w:t>
      </w:r>
      <w:r w:rsidRPr="00F548FC">
        <w:rPr>
          <w:rFonts w:ascii="Times New Roman" w:hAnsi="Times New Roman"/>
          <w:sz w:val="20"/>
          <w:szCs w:val="20"/>
        </w:rPr>
        <w:t xml:space="preserve"> </w:t>
      </w:r>
      <w:r w:rsidRPr="00F548FC">
        <w:rPr>
          <w:rFonts w:ascii="Times New Roman" w:hAnsi="Times New Roman"/>
          <w:i/>
          <w:sz w:val="20"/>
          <w:szCs w:val="20"/>
        </w:rPr>
        <w:t>c</w:t>
      </w:r>
      <w:r w:rsidRPr="00F548FC">
        <w:rPr>
          <w:rFonts w:ascii="Times New Roman" w:hAnsi="Times New Roman"/>
          <w:sz w:val="20"/>
          <w:szCs w:val="20"/>
          <w:vertAlign w:val="subscript"/>
        </w:rPr>
        <w:t>m</w:t>
      </w:r>
      <w:r w:rsidRPr="00F548FC">
        <w:rPr>
          <w:rFonts w:ascii="Times New Roman" w:hAnsi="Times New Roman"/>
          <w:sz w:val="20"/>
          <w:szCs w:val="20"/>
        </w:rPr>
        <w:t xml:space="preserve"> = 353.5 m/s. Then, the </w:t>
      </w:r>
      <w:r w:rsidRPr="00F548FC">
        <w:rPr>
          <w:rFonts w:ascii="Times New Roman" w:hAnsi="Times New Roman"/>
          <w:i/>
          <w:iCs/>
          <w:sz w:val="20"/>
          <w:szCs w:val="20"/>
        </w:rPr>
        <w:t>λ</w:t>
      </w:r>
      <w:r w:rsidRPr="00F548FC">
        <w:rPr>
          <w:rFonts w:ascii="Times New Roman" w:hAnsi="Times New Roman"/>
          <w:sz w:val="20"/>
          <w:szCs w:val="20"/>
          <w:vertAlign w:val="subscript"/>
        </w:rPr>
        <w:t>0</w:t>
      </w:r>
      <w:r w:rsidRPr="00F548FC">
        <w:rPr>
          <w:rFonts w:ascii="Times New Roman" w:hAnsi="Times New Roman"/>
          <w:sz w:val="20"/>
          <w:szCs w:val="20"/>
        </w:rPr>
        <w:t xml:space="preserve"> </w:t>
      </w:r>
      <w:r w:rsidRPr="00F548FC">
        <w:rPr>
          <w:rFonts w:ascii="Times New Roman" w:hAnsi="Times New Roman"/>
          <w:iCs/>
          <w:sz w:val="20"/>
          <w:szCs w:val="20"/>
        </w:rPr>
        <w:t xml:space="preserve">estimated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by V</w:t>
      </w:r>
      <w:r w:rsidRPr="00F548FC">
        <w:rPr>
          <w:rFonts w:ascii="Times New Roman" w:hAnsi="Times New Roman"/>
          <w:sz w:val="20"/>
          <w:szCs w:val="20"/>
        </w:rPr>
        <w:t>HS</w:t>
      </w:r>
      <w:r w:rsidRPr="00F548FC">
        <w:rPr>
          <w:rFonts w:ascii="Times New Roman" w:hAnsi="Times New Roman"/>
          <w:i/>
          <w:iCs/>
          <w:sz w:val="20"/>
          <w:szCs w:val="20"/>
        </w:rPr>
        <w:t xml:space="preserve"> </w:t>
      </w:r>
      <w:r w:rsidRPr="00F548FC">
        <w:rPr>
          <w:rFonts w:ascii="Times New Roman" w:hAnsi="Times New Roman"/>
          <w:iCs/>
          <w:sz w:val="20"/>
          <w:szCs w:val="20"/>
        </w:rPr>
        <w:t xml:space="preserve">is </w:t>
      </w:r>
      <w:r w:rsidRPr="00F548FC">
        <w:rPr>
          <w:rFonts w:ascii="Times New Roman" w:hAnsi="Times New Roman"/>
          <w:sz w:val="20"/>
          <w:szCs w:val="20"/>
        </w:rPr>
        <w:t xml:space="preserve">500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Å</w:t>
      </w:r>
      <w:r w:rsidRPr="00F548FC">
        <w:rPr>
          <w:rFonts w:ascii="Times New Roman" w:hAnsi="Times New Roman"/>
          <w:sz w:val="20"/>
          <w:szCs w:val="20"/>
        </w:rPr>
        <w:t xml:space="preserve">, so </w:t>
      </w:r>
      <w:r w:rsidRPr="00F548FC">
        <w:rPr>
          <w:rFonts w:ascii="Times New Roman" w:hAnsi="Times New Roman"/>
          <w:i/>
          <w:sz w:val="20"/>
          <w:szCs w:val="20"/>
        </w:rPr>
        <w:t>L</w:t>
      </w:r>
      <w:r w:rsidRPr="00F548FC">
        <w:rPr>
          <w:rFonts w:ascii="Times New Roman" w:hAnsi="Times New Roman"/>
          <w:sz w:val="20"/>
          <w:szCs w:val="20"/>
          <w:vertAlign w:val="subscript"/>
        </w:rPr>
        <w:t>z</w:t>
      </w:r>
      <w:r w:rsidRPr="00F548FC">
        <w:rPr>
          <w:rFonts w:ascii="Times New Roman" w:hAnsi="Times New Roman"/>
          <w:sz w:val="20"/>
          <w:szCs w:val="20"/>
        </w:rPr>
        <w:t xml:space="preserve"> ≈ 2</w:t>
      </w:r>
      <w:r w:rsidRPr="00F548FC">
        <w:rPr>
          <w:rFonts w:ascii="Times New Roman" w:hAnsi="Times New Roman"/>
          <w:i/>
          <w:iCs/>
          <w:sz w:val="20"/>
          <w:szCs w:val="20"/>
        </w:rPr>
        <w:t>λ</w:t>
      </w:r>
      <w:r w:rsidRPr="00F548FC">
        <w:rPr>
          <w:rFonts w:ascii="Times New Roman" w:hAnsi="Times New Roman"/>
          <w:sz w:val="20"/>
          <w:szCs w:val="20"/>
          <w:vertAlign w:val="subscript"/>
        </w:rPr>
        <w:t>0</w:t>
      </w:r>
      <w:r w:rsidRPr="00F548FC">
        <w:rPr>
          <w:rFonts w:ascii="Times New Roman" w:hAnsi="Times New Roman"/>
          <w:sz w:val="20"/>
          <w:szCs w:val="20"/>
        </w:rPr>
        <w:t xml:space="preserve">.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The wall boundaries are still the diffuse reflection wall, and the upper wall moves at </w:t>
      </w:r>
      <w:r w:rsidRPr="00F548FC">
        <w:rPr>
          <w:rFonts w:ascii="Times New Roman" w:hAnsi="Times New Roman"/>
          <w:i/>
          <w:sz w:val="20"/>
          <w:szCs w:val="20"/>
        </w:rPr>
        <w:t>u</w:t>
      </w:r>
      <w:r w:rsidRPr="00F548FC">
        <w:rPr>
          <w:rFonts w:ascii="Times New Roman" w:hAnsi="Times New Roman"/>
          <w:sz w:val="20"/>
          <w:szCs w:val="20"/>
          <w:vertAlign w:val="subscript"/>
        </w:rPr>
        <w:t>up</w:t>
      </w:r>
      <w:r w:rsidRPr="00F548FC">
        <w:rPr>
          <w:rFonts w:ascii="Times New Roman" w:hAnsi="Times New Roman"/>
          <w:sz w:val="20"/>
          <w:szCs w:val="20"/>
        </w:rPr>
        <w:t xml:space="preserve"> = 10</w:t>
      </w:r>
      <w:r w:rsidRPr="00F548FC">
        <w:rPr>
          <w:rFonts w:ascii="Times New Roman" w:hAnsi="Times New Roman"/>
          <w:i/>
          <w:sz w:val="20"/>
          <w:szCs w:val="20"/>
        </w:rPr>
        <w:t>c</w:t>
      </w:r>
      <w:r w:rsidRPr="00F548FC">
        <w:rPr>
          <w:rFonts w:ascii="Times New Roman" w:hAnsi="Times New Roman"/>
          <w:sz w:val="20"/>
          <w:szCs w:val="20"/>
          <w:vertAlign w:val="subscript"/>
        </w:rPr>
        <w:t>m</w:t>
      </w:r>
      <w:r w:rsidRPr="00F548FC">
        <w:rPr>
          <w:rFonts w:ascii="Times New Roman" w:hAnsi="Times New Roman"/>
          <w:sz w:val="20"/>
          <w:szCs w:val="20"/>
        </w:rPr>
        <w:t xml:space="preserve"> = 3535 m/s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. Newton</w:t>
      </w:r>
      <w:r w:rsidRPr="00F548FC">
        <w:rPr>
          <w:rFonts w:ascii="Times New Roman" w:hAnsi="Times New Roman" w:hint="eastAsia"/>
          <w:sz w:val="20"/>
          <w:szCs w:val="20"/>
          <w:shd w:val="clear" w:color="auto" w:fill="FFFFFF"/>
        </w:rPr>
        <w:t>ian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equations of motion are solved by the leapfrog method, and the time step (Δ</w:t>
      </w:r>
      <w:r w:rsidRPr="00F548FC">
        <w:rPr>
          <w:rFonts w:ascii="Times New Roman" w:hAnsi="Times New Roman"/>
          <w:i/>
          <w:iCs/>
          <w:sz w:val="20"/>
          <w:szCs w:val="20"/>
          <w:shd w:val="clear" w:color="auto" w:fill="FFFFFF"/>
        </w:rPr>
        <w:t>t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) is 10 fs.</w:t>
      </w:r>
      <w:r w:rsidRPr="00F548FC">
        <w:rPr>
          <w:rFonts w:hint="eastAsia"/>
          <w:szCs w:val="20"/>
        </w:rPr>
        <w:t xml:space="preserve">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The calculation domain was divided into “link-cells”</w:t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fldChar w:fldCharType="begin"/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instrText xml:space="preserve"> REF _Ref96994523 \r \h  \* MERGEFORMAT </w:instrText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fldChar w:fldCharType="separate"/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t>31</w:t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fldChar w:fldCharType="end"/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according to the average molecular spacing to accelerate computation</w:t>
      </w:r>
      <w:r w:rsidRPr="00F548FC">
        <w:rPr>
          <w:rFonts w:ascii="Times New Roman" w:hAnsi="Times New Roman"/>
          <w:sz w:val="20"/>
          <w:szCs w:val="20"/>
        </w:rPr>
        <w:t>.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</w:t>
      </w:r>
      <w:r w:rsidRPr="00F548FC">
        <w:rPr>
          <w:rFonts w:ascii="Times New Roman" w:hAnsi="Times New Roman"/>
          <w:i/>
          <w:sz w:val="20"/>
          <w:szCs w:val="20"/>
        </w:rPr>
        <w:t>L</w:t>
      </w:r>
      <w:r w:rsidRPr="00F548FC">
        <w:rPr>
          <w:rFonts w:ascii="Times New Roman" w:hAnsi="Times New Roman"/>
          <w:sz w:val="20"/>
          <w:szCs w:val="20"/>
          <w:vertAlign w:val="subscript"/>
        </w:rPr>
        <w:t>z</w:t>
      </w:r>
      <w:r w:rsidRPr="00F548FC">
        <w:rPr>
          <w:rFonts w:ascii="Times New Roman" w:hAnsi="Times New Roman" w:hint="eastAsia"/>
          <w:sz w:val="20"/>
          <w:szCs w:val="20"/>
        </w:rPr>
        <w:t xml:space="preserve"> </w:t>
      </w:r>
      <w:r w:rsidRPr="00F548FC">
        <w:rPr>
          <w:rFonts w:ascii="Times New Roman" w:hAnsi="Times New Roman"/>
          <w:sz w:val="20"/>
          <w:szCs w:val="20"/>
        </w:rPr>
        <w:t>wa</w:t>
      </w:r>
      <w:r w:rsidRPr="00F548FC">
        <w:rPr>
          <w:rFonts w:ascii="Times New Roman" w:hAnsi="Times New Roman" w:hint="eastAsia"/>
          <w:sz w:val="20"/>
          <w:szCs w:val="20"/>
        </w:rPr>
        <w:t xml:space="preserve">s divided into </w:t>
      </w:r>
      <w:r w:rsidRPr="00F548FC">
        <w:rPr>
          <w:rFonts w:ascii="Times New Roman" w:hAnsi="Times New Roman"/>
          <w:sz w:val="20"/>
          <w:szCs w:val="20"/>
        </w:rPr>
        <w:t>2</w:t>
      </w:r>
      <w:r w:rsidRPr="00F548FC">
        <w:rPr>
          <w:rFonts w:ascii="Times New Roman" w:hAnsi="Times New Roman" w:hint="eastAsia"/>
          <w:sz w:val="20"/>
          <w:szCs w:val="20"/>
        </w:rPr>
        <w:t>0</w:t>
      </w:r>
      <w:r w:rsidRPr="00F548FC">
        <w:rPr>
          <w:rFonts w:ascii="Times New Roman" w:hAnsi="Times New Roman"/>
          <w:sz w:val="20"/>
          <w:szCs w:val="20"/>
        </w:rPr>
        <w:t xml:space="preserve"> statistical</w:t>
      </w:r>
      <w:r w:rsidRPr="00F548FC">
        <w:rPr>
          <w:rFonts w:ascii="Times New Roman" w:hAnsi="Times New Roman" w:hint="eastAsia"/>
          <w:sz w:val="20"/>
          <w:szCs w:val="20"/>
        </w:rPr>
        <w:t xml:space="preserve"> layers</w:t>
      </w:r>
      <w:r w:rsidRPr="00F548FC">
        <w:rPr>
          <w:rFonts w:ascii="Times New Roman" w:hAnsi="Times New Roman"/>
          <w:sz w:val="20"/>
          <w:szCs w:val="20"/>
        </w:rPr>
        <w:t xml:space="preserve"> with a spacing of about 0.1</w:t>
      </w:r>
      <w:r w:rsidRPr="00F548FC">
        <w:rPr>
          <w:rFonts w:ascii="Times New Roman" w:hAnsi="Times New Roman"/>
          <w:i/>
          <w:iCs/>
          <w:sz w:val="20"/>
          <w:szCs w:val="20"/>
        </w:rPr>
        <w:t>λ</w:t>
      </w:r>
      <w:r w:rsidRPr="00F548FC">
        <w:rPr>
          <w:rFonts w:ascii="Times New Roman" w:hAnsi="Times New Roman"/>
          <w:sz w:val="20"/>
          <w:szCs w:val="20"/>
          <w:vertAlign w:val="subscript"/>
        </w:rPr>
        <w:t>0</w:t>
      </w:r>
      <w:r w:rsidRPr="00F548FC">
        <w:rPr>
          <w:rFonts w:ascii="Times New Roman" w:hAnsi="Times New Roman"/>
          <w:sz w:val="20"/>
          <w:szCs w:val="20"/>
        </w:rPr>
        <w:t>.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The flowfield is initialized in 10</w:t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t>6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Δ</w:t>
      </w:r>
      <w:r w:rsidRPr="00F548FC">
        <w:rPr>
          <w:rFonts w:ascii="Times New Roman" w:hAnsi="Times New Roman"/>
          <w:i/>
          <w:iCs/>
          <w:sz w:val="20"/>
          <w:szCs w:val="20"/>
          <w:shd w:val="clear" w:color="auto" w:fill="FFFFFF"/>
        </w:rPr>
        <w:t>t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, and the statistical</w:t>
      </w:r>
      <w:r w:rsidRPr="00F548FC">
        <w:rPr>
          <w:rFonts w:ascii="Times New Roman" w:hAnsi="Times New Roman"/>
          <w:i/>
          <w:sz w:val="20"/>
          <w:szCs w:val="20"/>
          <w:shd w:val="clear" w:color="auto" w:fill="FFFFFF"/>
        </w:rPr>
        <w:t xml:space="preserve">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results are obtained in later 2 </w:t>
      </w:r>
      <w:r w:rsidRPr="00F548FC">
        <w:rPr>
          <w:rFonts w:ascii="Times New Roman" w:hAnsi="Times New Roman"/>
          <w:sz w:val="20"/>
          <w:szCs w:val="20"/>
        </w:rPr>
        <w:t xml:space="preserve">×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10</w:t>
      </w:r>
      <w:r w:rsidRPr="00F548FC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t>6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Δ</w:t>
      </w:r>
      <w:r w:rsidRPr="00F548FC">
        <w:rPr>
          <w:rFonts w:ascii="Times New Roman" w:hAnsi="Times New Roman"/>
          <w:i/>
          <w:iCs/>
          <w:sz w:val="20"/>
          <w:szCs w:val="20"/>
          <w:shd w:val="clear" w:color="auto" w:fill="FFFFFF"/>
        </w:rPr>
        <w:t>t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.</w:t>
      </w:r>
    </w:p>
    <w:p w:rsidR="004E303A" w:rsidRPr="00F548FC" w:rsidRDefault="004E303A" w:rsidP="004E303A">
      <w:pPr>
        <w:adjustRightInd w:val="0"/>
        <w:ind w:firstLineChars="100" w:firstLine="200"/>
        <w:textAlignment w:val="baseline"/>
      </w:pPr>
      <w:r w:rsidRPr="00F548FC">
        <w:rPr>
          <w:rFonts w:ascii="Times New Roman" w:hAnsi="Times New Roman" w:hint="eastAsia"/>
          <w:sz w:val="20"/>
          <w:szCs w:val="20"/>
          <w:shd w:val="clear" w:color="auto" w:fill="FFFFFF"/>
        </w:rPr>
        <w:t>F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ig. 18 shows the variations of</w:t>
      </w:r>
      <w:r w:rsidRPr="00F548FC">
        <w:rPr>
          <w:rFonts w:ascii="Times New Roman" w:hAnsi="Times New Roman"/>
          <w:i/>
          <w:sz w:val="20"/>
          <w:szCs w:val="20"/>
        </w:rPr>
        <w:t xml:space="preserve"> N</w:t>
      </w:r>
      <w:r w:rsidRPr="00F548FC">
        <w:rPr>
          <w:rFonts w:ascii="Times New Roman" w:hAnsi="Times New Roman" w:hint="eastAsia"/>
          <w:iCs/>
          <w:sz w:val="20"/>
          <w:szCs w:val="20"/>
          <w:vertAlign w:val="subscript"/>
        </w:rPr>
        <w:t>v</w:t>
      </w:r>
      <w:r w:rsidRPr="00F548FC">
        <w:rPr>
          <w:rFonts w:ascii="Times New Roman" w:hAnsi="Times New Roman"/>
          <w:sz w:val="20"/>
          <w:szCs w:val="20"/>
        </w:rPr>
        <w:t>/</w:t>
      </w:r>
      <w:r w:rsidRPr="00F548FC">
        <w:rPr>
          <w:rFonts w:ascii="Times New Roman" w:hAnsi="Times New Roman"/>
          <w:i/>
          <w:sz w:val="20"/>
          <w:szCs w:val="20"/>
        </w:rPr>
        <w:t>N</w:t>
      </w:r>
      <w:r w:rsidRPr="00F548FC">
        <w:rPr>
          <w:rFonts w:ascii="Times New Roman" w:hAnsi="Times New Roman"/>
          <w:iCs/>
          <w:sz w:val="20"/>
          <w:szCs w:val="20"/>
          <w:vertAlign w:val="subscript"/>
        </w:rPr>
        <w:t>peak</w:t>
      </w:r>
      <w:r w:rsidRPr="00F548FC">
        <w:rPr>
          <w:rFonts w:ascii="Times New Roman" w:hAnsi="Times New Roman"/>
          <w:iCs/>
          <w:sz w:val="20"/>
          <w:szCs w:val="20"/>
        </w:rPr>
        <w:t xml:space="preserve"> (</w:t>
      </w:r>
      <w:r w:rsidRPr="00F548FC">
        <w:rPr>
          <w:rFonts w:ascii="Times New Roman" w:hAnsi="Times New Roman" w:hint="eastAsia"/>
          <w:iCs/>
          <w:sz w:val="20"/>
          <w:szCs w:val="20"/>
        </w:rPr>
        <w:t>where</w:t>
      </w:r>
      <w:r w:rsidRPr="00F548FC">
        <w:rPr>
          <w:rFonts w:ascii="Times New Roman" w:hAnsi="Times New Roman"/>
          <w:iCs/>
          <w:sz w:val="20"/>
          <w:szCs w:val="20"/>
        </w:rPr>
        <w:t xml:space="preserve"> </w:t>
      </w:r>
      <w:r w:rsidRPr="00F548FC">
        <w:rPr>
          <w:rFonts w:ascii="Times New Roman" w:hAnsi="Times New Roman"/>
          <w:i/>
          <w:sz w:val="20"/>
          <w:szCs w:val="20"/>
        </w:rPr>
        <w:t>N</w:t>
      </w:r>
      <w:r w:rsidRPr="00F548FC">
        <w:rPr>
          <w:rFonts w:ascii="Times New Roman" w:hAnsi="Times New Roman"/>
          <w:iCs/>
          <w:sz w:val="20"/>
          <w:szCs w:val="20"/>
          <w:vertAlign w:val="subscript"/>
        </w:rPr>
        <w:t>peak</w:t>
      </w:r>
      <w:r w:rsidRPr="00F548FC">
        <w:rPr>
          <w:rFonts w:ascii="Times New Roman" w:hAnsi="Times New Roman"/>
          <w:sz w:val="20"/>
          <w:szCs w:val="20"/>
        </w:rPr>
        <w:t xml:space="preserve"> is the peak value of</w:t>
      </w:r>
      <w:r w:rsidRPr="00F548FC">
        <w:rPr>
          <w:rFonts w:ascii="Times New Roman" w:hAnsi="Times New Roman"/>
          <w:i/>
          <w:sz w:val="20"/>
          <w:szCs w:val="20"/>
        </w:rPr>
        <w:t xml:space="preserve"> N</w:t>
      </w:r>
      <w:r w:rsidRPr="00F548FC">
        <w:rPr>
          <w:rFonts w:ascii="Times New Roman" w:hAnsi="Times New Roman" w:hint="eastAsia"/>
          <w:iCs/>
          <w:sz w:val="20"/>
          <w:szCs w:val="20"/>
          <w:vertAlign w:val="subscript"/>
        </w:rPr>
        <w:t>v</w:t>
      </w:r>
      <w:r w:rsidRPr="00F548FC">
        <w:rPr>
          <w:rFonts w:ascii="Times New Roman" w:hAnsi="Times New Roman"/>
          <w:iCs/>
          <w:sz w:val="20"/>
          <w:szCs w:val="20"/>
        </w:rPr>
        <w:t>) with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</w:t>
      </w:r>
      <w:r w:rsidRPr="00F548FC">
        <w:rPr>
          <w:rFonts w:ascii="Times New Roman" w:hAnsi="Times New Roman"/>
          <w:i/>
          <w:iCs/>
          <w:sz w:val="20"/>
          <w:szCs w:val="20"/>
        </w:rPr>
        <w:t>v</w:t>
      </w:r>
      <w:r w:rsidRPr="00F548FC">
        <w:rPr>
          <w:rFonts w:ascii="Times New Roman" w:hAnsi="Times New Roman"/>
          <w:iCs/>
          <w:sz w:val="20"/>
          <w:szCs w:val="20"/>
          <w:vertAlign w:val="subscript"/>
        </w:rPr>
        <w:t>x</w:t>
      </w:r>
      <w:r w:rsidRPr="00F548FC">
        <w:rPr>
          <w:rFonts w:ascii="Times New Roman" w:hAnsi="Times New Roman"/>
          <w:sz w:val="20"/>
          <w:szCs w:val="20"/>
        </w:rPr>
        <w:t>/</w:t>
      </w:r>
      <w:r w:rsidRPr="00F548FC">
        <w:rPr>
          <w:rFonts w:ascii="Times New Roman" w:hAnsi="Times New Roman"/>
          <w:i/>
          <w:sz w:val="20"/>
          <w:szCs w:val="20"/>
        </w:rPr>
        <w:t>c</w:t>
      </w:r>
      <w:r w:rsidRPr="00F548FC">
        <w:rPr>
          <w:rFonts w:ascii="Times New Roman" w:hAnsi="Times New Roman"/>
          <w:sz w:val="20"/>
          <w:szCs w:val="20"/>
          <w:vertAlign w:val="subscript"/>
        </w:rPr>
        <w:t>m</w:t>
      </w:r>
      <w:r w:rsidRPr="00F548FC">
        <w:rPr>
          <w:rFonts w:ascii="Times New Roman" w:hAnsi="Times New Roman"/>
          <w:iCs/>
          <w:sz w:val="20"/>
          <w:szCs w:val="20"/>
        </w:rPr>
        <w:t xml:space="preserve"> in the upward molecular flux through interfaces</w:t>
      </w:r>
      <w:r w:rsidRPr="00F548FC">
        <w:rPr>
          <w:rFonts w:ascii="Times New Roman" w:hAnsi="Times New Roman"/>
          <w:i/>
          <w:sz w:val="20"/>
          <w:szCs w:val="20"/>
        </w:rPr>
        <w:t xml:space="preserve"> z</w:t>
      </w:r>
      <w:r w:rsidRPr="00F548FC">
        <w:rPr>
          <w:rFonts w:ascii="Times New Roman" w:hAnsi="Times New Roman"/>
          <w:sz w:val="20"/>
          <w:szCs w:val="20"/>
        </w:rPr>
        <w:t xml:space="preserve"> = 0.1</w:t>
      </w:r>
      <w:r w:rsidRPr="00F548FC">
        <w:rPr>
          <w:rFonts w:ascii="Times New Roman" w:hAnsi="Times New Roman"/>
          <w:i/>
          <w:iCs/>
          <w:sz w:val="20"/>
          <w:szCs w:val="20"/>
        </w:rPr>
        <w:t>λ</w:t>
      </w:r>
      <w:r w:rsidRPr="00F548FC">
        <w:rPr>
          <w:rFonts w:ascii="Times New Roman" w:hAnsi="Times New Roman"/>
          <w:sz w:val="20"/>
          <w:szCs w:val="20"/>
          <w:vertAlign w:val="subscript"/>
        </w:rPr>
        <w:t>0</w:t>
      </w:r>
      <w:r w:rsidRPr="00F548FC">
        <w:rPr>
          <w:rFonts w:ascii="Times New Roman" w:hAnsi="Times New Roman"/>
          <w:sz w:val="20"/>
          <w:szCs w:val="20"/>
        </w:rPr>
        <w:t>, 1</w:t>
      </w:r>
      <w:r w:rsidRPr="00F548FC">
        <w:rPr>
          <w:rFonts w:ascii="Times New Roman" w:hAnsi="Times New Roman"/>
          <w:i/>
          <w:iCs/>
          <w:sz w:val="20"/>
          <w:szCs w:val="20"/>
        </w:rPr>
        <w:t>λ</w:t>
      </w:r>
      <w:r w:rsidRPr="00F548FC">
        <w:rPr>
          <w:rFonts w:ascii="Times New Roman" w:hAnsi="Times New Roman"/>
          <w:sz w:val="20"/>
          <w:szCs w:val="20"/>
          <w:vertAlign w:val="subscript"/>
        </w:rPr>
        <w:t>0</w:t>
      </w:r>
      <w:r w:rsidRPr="00F548FC">
        <w:rPr>
          <w:rFonts w:ascii="Times New Roman" w:hAnsi="Times New Roman"/>
          <w:sz w:val="20"/>
          <w:szCs w:val="20"/>
        </w:rPr>
        <w:t>, 1.7</w:t>
      </w:r>
      <w:r w:rsidRPr="00F548FC">
        <w:rPr>
          <w:rFonts w:ascii="Times New Roman" w:hAnsi="Times New Roman"/>
          <w:i/>
          <w:iCs/>
          <w:sz w:val="20"/>
          <w:szCs w:val="20"/>
        </w:rPr>
        <w:t>λ</w:t>
      </w:r>
      <w:r w:rsidRPr="00F548FC">
        <w:rPr>
          <w:rFonts w:ascii="Times New Roman" w:hAnsi="Times New Roman"/>
          <w:sz w:val="20"/>
          <w:szCs w:val="20"/>
          <w:vertAlign w:val="subscript"/>
        </w:rPr>
        <w:t>0</w:t>
      </w:r>
      <w:r w:rsidRPr="00F548FC">
        <w:rPr>
          <w:rFonts w:ascii="Times New Roman" w:hAnsi="Times New Roman"/>
          <w:sz w:val="20"/>
          <w:szCs w:val="20"/>
        </w:rPr>
        <w:t>, and 2</w:t>
      </w:r>
      <w:r w:rsidRPr="00F548FC">
        <w:rPr>
          <w:rFonts w:ascii="Times New Roman" w:hAnsi="Times New Roman"/>
          <w:i/>
          <w:iCs/>
          <w:sz w:val="20"/>
          <w:szCs w:val="20"/>
        </w:rPr>
        <w:t>λ</w:t>
      </w:r>
      <w:r w:rsidRPr="00F548FC">
        <w:rPr>
          <w:rFonts w:ascii="Times New Roman" w:hAnsi="Times New Roman"/>
          <w:sz w:val="20"/>
          <w:szCs w:val="20"/>
          <w:vertAlign w:val="subscript"/>
        </w:rPr>
        <w:t>0</w:t>
      </w:r>
      <w:r w:rsidRPr="00F548FC">
        <w:rPr>
          <w:rFonts w:ascii="Times New Roman" w:hAnsi="Times New Roman"/>
          <w:sz w:val="20"/>
          <w:szCs w:val="20"/>
        </w:rPr>
        <w:t>. In this simulation, the</w:t>
      </w:r>
      <w:r w:rsidRPr="00F548FC">
        <w:rPr>
          <w:rFonts w:ascii="Times New Roman" w:hAnsi="Times New Roman"/>
          <w:iCs/>
          <w:sz w:val="20"/>
          <w:szCs w:val="20"/>
        </w:rPr>
        <w:t xml:space="preserve"> interface </w:t>
      </w:r>
      <w:r w:rsidRPr="00F548FC">
        <w:rPr>
          <w:rFonts w:ascii="Times New Roman" w:hAnsi="Times New Roman"/>
          <w:i/>
          <w:sz w:val="20"/>
          <w:szCs w:val="20"/>
        </w:rPr>
        <w:t>z</w:t>
      </w:r>
      <w:r w:rsidRPr="00F548FC">
        <w:rPr>
          <w:rFonts w:ascii="Times New Roman" w:hAnsi="Times New Roman"/>
          <w:sz w:val="20"/>
          <w:szCs w:val="20"/>
        </w:rPr>
        <w:t xml:space="preserve"> = 1.7</w:t>
      </w:r>
      <w:r w:rsidRPr="00F548FC">
        <w:rPr>
          <w:rFonts w:ascii="Times New Roman" w:hAnsi="Times New Roman"/>
          <w:i/>
          <w:iCs/>
          <w:sz w:val="20"/>
          <w:szCs w:val="20"/>
        </w:rPr>
        <w:t>λ</w:t>
      </w:r>
      <w:r w:rsidRPr="00F548FC">
        <w:rPr>
          <w:rFonts w:ascii="Times New Roman" w:hAnsi="Times New Roman"/>
          <w:sz w:val="20"/>
          <w:szCs w:val="20"/>
          <w:vertAlign w:val="subscript"/>
        </w:rPr>
        <w:t>0</w:t>
      </w:r>
      <w:r w:rsidRPr="00F548FC">
        <w:rPr>
          <w:rFonts w:ascii="Times New Roman" w:hAnsi="Times New Roman"/>
          <w:iCs/>
          <w:sz w:val="20"/>
          <w:szCs w:val="20"/>
        </w:rPr>
        <w:t xml:space="preserve"> is the </w:t>
      </w:r>
      <w:r w:rsidRPr="00F548FC">
        <w:rPr>
          <w:rFonts w:ascii="Times New Roman" w:hAnsi="Times New Roman"/>
          <w:i/>
          <w:sz w:val="20"/>
          <w:szCs w:val="20"/>
        </w:rPr>
        <w:t>K</w:t>
      </w:r>
      <w:r w:rsidRPr="00F548FC">
        <w:rPr>
          <w:rFonts w:ascii="Times New Roman" w:hAnsi="Times New Roman"/>
          <w:sz w:val="20"/>
          <w:szCs w:val="20"/>
          <w:vertAlign w:val="subscript"/>
        </w:rPr>
        <w:t>min</w:t>
      </w:r>
      <w:r w:rsidRPr="00F548FC">
        <w:rPr>
          <w:rFonts w:ascii="Times New Roman" w:hAnsi="Times New Roman"/>
          <w:iCs/>
          <w:sz w:val="20"/>
          <w:szCs w:val="20"/>
        </w:rPr>
        <w:t xml:space="preserve"> interface, and a platform-shaped flux </w:t>
      </w:r>
      <w:r w:rsidRPr="00F548FC">
        <w:rPr>
          <w:rFonts w:ascii="Times New Roman" w:hAnsi="Times New Roman"/>
          <w:i/>
          <w:iCs/>
          <w:sz w:val="20"/>
          <w:szCs w:val="20"/>
        </w:rPr>
        <w:t>v</w:t>
      </w:r>
      <w:r w:rsidRPr="00F548FC">
        <w:rPr>
          <w:rFonts w:ascii="Times New Roman" w:hAnsi="Times New Roman"/>
          <w:iCs/>
          <w:sz w:val="20"/>
          <w:szCs w:val="20"/>
          <w:vertAlign w:val="subscript"/>
        </w:rPr>
        <w:t>x</w:t>
      </w:r>
      <w:r w:rsidRPr="00F548FC">
        <w:rPr>
          <w:rFonts w:ascii="Times New Roman" w:hAnsi="Times New Roman"/>
          <w:iCs/>
          <w:sz w:val="20"/>
          <w:szCs w:val="20"/>
        </w:rPr>
        <w:t xml:space="preserve"> distribution can be </w:t>
      </w:r>
      <w:r w:rsidRPr="00F548FC">
        <w:rPr>
          <w:rFonts w:ascii="Times New Roman" w:hAnsi="Times New Roman" w:hint="eastAsia"/>
          <w:iCs/>
          <w:sz w:val="20"/>
          <w:szCs w:val="20"/>
        </w:rPr>
        <w:t>found</w:t>
      </w:r>
      <w:r w:rsidRPr="00F548FC">
        <w:rPr>
          <w:rFonts w:ascii="Times New Roman" w:hAnsi="Times New Roman"/>
          <w:iCs/>
          <w:sz w:val="20"/>
          <w:szCs w:val="20"/>
        </w:rPr>
        <w:t xml:space="preserve"> at the </w:t>
      </w:r>
      <w:r w:rsidRPr="00F548FC">
        <w:rPr>
          <w:rFonts w:ascii="Times New Roman" w:hAnsi="Times New Roman"/>
          <w:i/>
          <w:sz w:val="20"/>
          <w:szCs w:val="20"/>
        </w:rPr>
        <w:t>K</w:t>
      </w:r>
      <w:r w:rsidRPr="00F548FC">
        <w:rPr>
          <w:rFonts w:ascii="Times New Roman" w:hAnsi="Times New Roman"/>
          <w:sz w:val="20"/>
          <w:szCs w:val="20"/>
          <w:vertAlign w:val="subscript"/>
        </w:rPr>
        <w:t>min</w:t>
      </w:r>
      <w:r w:rsidRPr="00F548FC">
        <w:rPr>
          <w:rFonts w:ascii="Times New Roman" w:hAnsi="Times New Roman"/>
          <w:iCs/>
          <w:sz w:val="20"/>
          <w:szCs w:val="20"/>
        </w:rPr>
        <w:t xml:space="preserve"> interface. Th</w:t>
      </w:r>
      <w:r w:rsidRPr="00F548FC">
        <w:rPr>
          <w:rFonts w:ascii="Times New Roman" w:hAnsi="Times New Roman" w:hint="eastAsia"/>
          <w:iCs/>
          <w:sz w:val="20"/>
          <w:szCs w:val="20"/>
        </w:rPr>
        <w:t>us</w:t>
      </w:r>
      <w:r w:rsidRPr="00F548FC">
        <w:rPr>
          <w:rFonts w:ascii="Times New Roman" w:hAnsi="Times New Roman"/>
          <w:iCs/>
          <w:sz w:val="20"/>
          <w:szCs w:val="20"/>
        </w:rPr>
        <w:t>,</w:t>
      </w:r>
      <w:r w:rsidRPr="00F548FC">
        <w:rPr>
          <w:rFonts w:ascii="Times New Roman" w:hAnsi="Times New Roman" w:hint="eastAsia"/>
          <w:sz w:val="20"/>
          <w:szCs w:val="20"/>
        </w:rPr>
        <w:t xml:space="preserve"> no</w:t>
      </w:r>
      <w:r w:rsidRPr="00F548FC">
        <w:rPr>
          <w:rFonts w:ascii="Times New Roman" w:hAnsi="Times New Roman"/>
          <w:sz w:val="20"/>
          <w:szCs w:val="20"/>
        </w:rPr>
        <w:t xml:space="preserve"> matter what </w:t>
      </w:r>
      <w:r w:rsidRPr="00F548FC">
        <w:rPr>
          <w:rFonts w:ascii="Times New Roman" w:hAnsi="Times New Roman" w:hint="eastAsia"/>
          <w:sz w:val="20"/>
          <w:szCs w:val="20"/>
        </w:rPr>
        <w:t>numerical</w:t>
      </w:r>
      <w:r w:rsidRPr="00F548FC">
        <w:rPr>
          <w:rFonts w:ascii="Times New Roman" w:hAnsi="Times New Roman"/>
          <w:sz w:val="20"/>
          <w:szCs w:val="20"/>
        </w:rPr>
        <w:t xml:space="preserve"> simulation methods is used,</w:t>
      </w:r>
      <w:r w:rsidRPr="00F548FC">
        <w:rPr>
          <w:rFonts w:ascii="Times New Roman" w:hAnsi="Times New Roman"/>
          <w:iCs/>
          <w:sz w:val="20"/>
          <w:szCs w:val="20"/>
        </w:rPr>
        <w:t xml:space="preserve"> the </w:t>
      </w:r>
      <w:r w:rsidRPr="00F548FC">
        <w:rPr>
          <w:rFonts w:ascii="Times New Roman" w:hAnsi="Times New Roman"/>
          <w:sz w:val="20"/>
          <w:szCs w:val="20"/>
        </w:rPr>
        <w:t>platform-like phenomenon still exists</w:t>
      </w:r>
      <w:r w:rsidRPr="00F548FC">
        <w:rPr>
          <w:rFonts w:ascii="Times New Roman" w:hAnsi="Times New Roman"/>
          <w:iCs/>
          <w:sz w:val="20"/>
          <w:szCs w:val="20"/>
        </w:rPr>
        <w:t>. However, compared with DSMC, because the order of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 xml:space="preserve"> magnitude of</w:t>
      </w:r>
      <w:r w:rsidRPr="00F548FC">
        <w:rPr>
          <w:rFonts w:ascii="Times New Roman" w:hAnsi="Times New Roman"/>
          <w:iCs/>
          <w:sz w:val="20"/>
          <w:szCs w:val="20"/>
        </w:rPr>
        <w:t xml:space="preserve"> </w:t>
      </w:r>
      <w:r w:rsidRPr="00F548FC">
        <w:rPr>
          <w:rFonts w:ascii="Times New Roman" w:hAnsi="Times New Roman"/>
          <w:sz w:val="20"/>
          <w:szCs w:val="20"/>
          <w:shd w:val="clear" w:color="auto" w:fill="FFFFFF"/>
        </w:rPr>
        <w:t>Δ</w:t>
      </w:r>
      <w:r w:rsidRPr="00F548FC">
        <w:rPr>
          <w:rFonts w:ascii="Times New Roman" w:hAnsi="Times New Roman"/>
          <w:i/>
          <w:iCs/>
          <w:sz w:val="20"/>
          <w:szCs w:val="20"/>
          <w:shd w:val="clear" w:color="auto" w:fill="FFFFFF"/>
        </w:rPr>
        <w:t>t</w:t>
      </w:r>
      <w:r w:rsidRPr="00F548FC">
        <w:rPr>
          <w:rFonts w:ascii="Times New Roman" w:hAnsi="Times New Roman"/>
          <w:iCs/>
          <w:sz w:val="20"/>
          <w:szCs w:val="20"/>
        </w:rPr>
        <w:t xml:space="preserve"> in MD is tiny, there are slight fluctuations in the statistical results within the acceptable calculation time.</w:t>
      </w:r>
      <w:r w:rsidRPr="00F548FC">
        <w:rPr>
          <w:rFonts w:hint="eastAsia"/>
        </w:rPr>
        <w:t xml:space="preserve"> </w:t>
      </w:r>
    </w:p>
    <w:p w:rsidR="004E303A" w:rsidRPr="00F548FC" w:rsidRDefault="004E303A" w:rsidP="004E303A">
      <w:pPr>
        <w:adjustRightInd w:val="0"/>
        <w:spacing w:beforeLines="50" w:before="120"/>
        <w:jc w:val="center"/>
        <w:textAlignment w:val="baseline"/>
        <w:rPr>
          <w:rFonts w:ascii="Times New Roman" w:hAnsi="Times New Roman"/>
          <w:sz w:val="16"/>
          <w:szCs w:val="16"/>
          <w:shd w:val="clear" w:color="auto" w:fill="FFFFFF"/>
        </w:rPr>
      </w:pPr>
      <w:r w:rsidRPr="00F548FC">
        <w:rPr>
          <w:rFonts w:ascii="Times New Roman" w:hAnsi="Times New Roman"/>
          <w:noProof/>
          <w:sz w:val="20"/>
          <w:szCs w:val="20"/>
          <w:lang w:eastAsia="en-US"/>
        </w:rPr>
        <w:drawing>
          <wp:inline distT="0" distB="0" distL="0" distR="0" wp14:anchorId="5B4B4479" wp14:editId="718ECD17">
            <wp:extent cx="1981200" cy="1737360"/>
            <wp:effectExtent l="0" t="0" r="0" b="0"/>
            <wp:docPr id="1" name="图片 1" descr="C:\Users\Admin\AppData\Local\Microsoft\Windows\INetCache\Content.Word\1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\AppData\Local\Microsoft\Windows\INetCache\Content.Word\18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A" w:rsidRPr="00F548FC" w:rsidRDefault="004E303A" w:rsidP="004E303A">
      <w:pPr>
        <w:adjustRightInd w:val="0"/>
        <w:spacing w:afterLines="50" w:after="120"/>
        <w:jc w:val="center"/>
        <w:textAlignment w:val="baseline"/>
        <w:rPr>
          <w:rFonts w:ascii="Times New Roman" w:hAnsi="Times New Roman"/>
          <w:szCs w:val="21"/>
        </w:rPr>
      </w:pPr>
      <w:r w:rsidRPr="00F548FC">
        <w:rPr>
          <w:rFonts w:ascii="Times New Roman" w:hAnsi="Times New Roman"/>
          <w:b/>
          <w:sz w:val="16"/>
          <w:szCs w:val="16"/>
        </w:rPr>
        <w:t>Fig. 18</w:t>
      </w:r>
      <w:r w:rsidRPr="00F548FC">
        <w:rPr>
          <w:rFonts w:ascii="Times New Roman" w:hAnsi="Times New Roman"/>
          <w:sz w:val="16"/>
          <w:szCs w:val="16"/>
        </w:rPr>
        <w:t xml:space="preserve"> </w:t>
      </w:r>
      <w:r w:rsidRPr="00F548FC">
        <w:rPr>
          <w:rFonts w:ascii="Times New Roman" w:hAnsi="Times New Roman"/>
          <w:sz w:val="16"/>
          <w:szCs w:val="16"/>
          <w:shd w:val="clear" w:color="auto" w:fill="FFFFFF"/>
        </w:rPr>
        <w:t xml:space="preserve">Variations of flux </w:t>
      </w:r>
      <w:r w:rsidRPr="00F548FC">
        <w:rPr>
          <w:rFonts w:ascii="Times New Roman" w:hAnsi="Times New Roman"/>
          <w:i/>
          <w:iCs/>
          <w:sz w:val="16"/>
          <w:szCs w:val="16"/>
        </w:rPr>
        <w:t>v</w:t>
      </w:r>
      <w:r w:rsidRPr="00F548FC">
        <w:rPr>
          <w:rFonts w:ascii="Times New Roman" w:hAnsi="Times New Roman"/>
          <w:iCs/>
          <w:sz w:val="16"/>
          <w:szCs w:val="16"/>
          <w:vertAlign w:val="subscript"/>
        </w:rPr>
        <w:t>x</w:t>
      </w:r>
      <w:r w:rsidRPr="00F548FC">
        <w:rPr>
          <w:rFonts w:ascii="Times New Roman" w:hAnsi="Times New Roman"/>
          <w:iCs/>
          <w:sz w:val="16"/>
          <w:szCs w:val="16"/>
        </w:rPr>
        <w:t xml:space="preserve"> distributions in MD result</w:t>
      </w:r>
      <w:r w:rsidRPr="00F548FC">
        <w:rPr>
          <w:rFonts w:ascii="Times New Roman" w:hAnsi="Times New Roman"/>
          <w:sz w:val="16"/>
          <w:szCs w:val="16"/>
        </w:rPr>
        <w:t>.</w:t>
      </w:r>
    </w:p>
    <w:p w:rsidR="00000F57" w:rsidRDefault="004E303A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03A"/>
    <w:rsid w:val="0007695B"/>
    <w:rsid w:val="004E303A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CD9AFA-0CCA-441E-99C4-F603C035F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303A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2194</Characters>
  <Application>Microsoft Office Word</Application>
  <DocSecurity>0</DocSecurity>
  <Lines>18</Lines>
  <Paragraphs>5</Paragraphs>
  <ScaleCrop>false</ScaleCrop>
  <Company>Springer Nature IT</Company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2022-05-25T10:54:00Z</dcterms:created>
  <dcterms:modified xsi:type="dcterms:W3CDTF">2022-05-25T10:54:00Z</dcterms:modified>
</cp:coreProperties>
</file>