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A972E" w14:textId="77777777" w:rsidR="004F6786" w:rsidRPr="006B7178" w:rsidRDefault="004F6786" w:rsidP="004F678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717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42DDEEA" wp14:editId="7ECD950A">
            <wp:extent cx="5274310" cy="6831155"/>
            <wp:effectExtent l="0" t="0" r="2540" b="8255"/>
            <wp:docPr id="9" name="图片 9" descr="C:\Users\Administrator\Desktop\肺癌\Figure 汇总\Schem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肺癌\Figure 汇总\Scheme 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3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68C36" w14:textId="77777777" w:rsidR="004F6786" w:rsidRPr="006B7178" w:rsidRDefault="004F6786" w:rsidP="004F678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7178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highlight w:val="yellow"/>
        </w:rPr>
        <w:t>Scheme 2.</w:t>
      </w:r>
      <w:r w:rsidRPr="006B717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Synthesis routes of PPT/D(DMA)</w:t>
      </w:r>
    </w:p>
    <w:p w14:paraId="5430BF4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86"/>
    <w:rsid w:val="004F678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2CD7A"/>
  <w15:chartTrackingRefBased/>
  <w15:docId w15:val="{6B8B787C-556B-4B2A-A82C-31B18176D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78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2020-08-27T21:02:00Z</dcterms:created>
  <dcterms:modified xsi:type="dcterms:W3CDTF">2020-08-27T21:02:00Z</dcterms:modified>
</cp:coreProperties>
</file>