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0D1" w:rsidRDefault="000E20D1" w:rsidP="000E20D1">
      <w:pPr>
        <w:pStyle w:val="TableTitle"/>
        <w:spacing w:after="40"/>
        <w:rPr>
          <w:sz w:val="20"/>
        </w:rPr>
      </w:pPr>
      <w:r>
        <w:rPr>
          <w:sz w:val="20"/>
        </w:rPr>
        <w:t>SPIRIT 2013 Checklist: Recommended items to address in a clinical trial protocol and related documents*</w:t>
      </w:r>
    </w:p>
    <w:tbl>
      <w:tblPr>
        <w:tblW w:w="5000" w:type="pct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649"/>
        <w:gridCol w:w="863"/>
        <w:gridCol w:w="5399"/>
        <w:gridCol w:w="1449"/>
      </w:tblGrid>
      <w:tr w:rsidR="000E20D1" w:rsidTr="000E20D1">
        <w:trPr>
          <w:cantSplit/>
          <w:trHeight w:val="259"/>
        </w:trPr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pStyle w:val="TableHeader"/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Section/item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20D1" w:rsidRDefault="000E20D1">
            <w:pPr>
              <w:pStyle w:val="TableHeader"/>
              <w:spacing w:line="256" w:lineRule="auto"/>
              <w:rPr>
                <w:color w:val="000000"/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Item </w:t>
            </w:r>
            <w:r>
              <w:rPr>
                <w:color w:val="000000"/>
                <w:sz w:val="20"/>
                <w:lang w:val="en-US"/>
              </w:rPr>
              <w:t>No</w:t>
            </w:r>
          </w:p>
        </w:tc>
        <w:tc>
          <w:tcPr>
            <w:tcW w:w="28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20D1" w:rsidRDefault="000E20D1">
            <w:pPr>
              <w:pStyle w:val="TableHeader"/>
              <w:spacing w:line="256" w:lineRule="auto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Description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20D1" w:rsidRDefault="000E20D1">
            <w:pPr>
              <w:pStyle w:val="TableHeader"/>
              <w:spacing w:line="256" w:lineRule="auto"/>
              <w:rPr>
                <w:color w:val="000000"/>
                <w:sz w:val="20"/>
                <w:lang w:val="en-US"/>
              </w:rPr>
            </w:pPr>
            <w:r>
              <w:rPr>
                <w:sz w:val="20"/>
                <w:lang w:val="en-US"/>
              </w:rPr>
              <w:t>Addressed on page number</w:t>
            </w:r>
          </w:p>
        </w:tc>
      </w:tr>
      <w:tr w:rsidR="000E20D1" w:rsidTr="000E20D1">
        <w:trPr>
          <w:cantSplit/>
          <w:trHeight w:val="259"/>
        </w:trPr>
        <w:tc>
          <w:tcPr>
            <w:tcW w:w="42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spacing w:before="18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Administrative information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0D1" w:rsidRDefault="000E20D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89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Descriptive title identifying the study design, population, interventions, and, if applicable, trial acronym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vMerge w:val="restar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Trial registration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2a</w:t>
            </w:r>
          </w:p>
        </w:tc>
        <w:tc>
          <w:tcPr>
            <w:tcW w:w="289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Trial identifier and registry name. If not yet registered, name of intended registry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0E20D1" w:rsidTr="000E20D1">
        <w:trPr>
          <w:cantSplit/>
          <w:trHeight w:val="259"/>
        </w:trPr>
        <w:tc>
          <w:tcPr>
            <w:tcW w:w="0" w:type="auto"/>
            <w:vMerge/>
            <w:vAlign w:val="center"/>
            <w:hideMark/>
          </w:tcPr>
          <w:p w:rsidR="000E20D1" w:rsidRDefault="000E20D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2b</w:t>
            </w:r>
          </w:p>
        </w:tc>
        <w:tc>
          <w:tcPr>
            <w:tcW w:w="289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items from the World Health Organization Trial Registration Data Set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Protocol version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 and version identifier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Funding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Sources and types of financial, material, and other support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vMerge w:val="restar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Roles and responsibilities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5a</w:t>
            </w:r>
          </w:p>
        </w:tc>
        <w:tc>
          <w:tcPr>
            <w:tcW w:w="289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Names, affiliations, and roles of protocol contributors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0E20D1" w:rsidTr="000E20D1">
        <w:trPr>
          <w:cantSplit/>
          <w:trHeight w:val="293"/>
        </w:trPr>
        <w:tc>
          <w:tcPr>
            <w:tcW w:w="0" w:type="auto"/>
            <w:vMerge/>
            <w:vAlign w:val="center"/>
            <w:hideMark/>
          </w:tcPr>
          <w:p w:rsidR="000E20D1" w:rsidRDefault="000E20D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5b</w:t>
            </w:r>
          </w:p>
        </w:tc>
        <w:tc>
          <w:tcPr>
            <w:tcW w:w="289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and contact information for the trial sponsor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5c</w:t>
            </w:r>
          </w:p>
        </w:tc>
        <w:tc>
          <w:tcPr>
            <w:tcW w:w="289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</w:tc>
        <w:tc>
          <w:tcPr>
            <w:tcW w:w="781" w:type="pct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5d</w:t>
            </w:r>
          </w:p>
        </w:tc>
        <w:tc>
          <w:tcPr>
            <w:tcW w:w="2891" w:type="pct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Composition, roles, and responsibilities of the coordinating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pct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E20D1" w:rsidRDefault="000E20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pStyle w:val="TableSubHead"/>
              <w:spacing w:before="180"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Introduction</w:t>
            </w:r>
          </w:p>
        </w:tc>
        <w:tc>
          <w:tcPr>
            <w:tcW w:w="468" w:type="pct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91" w:type="pct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pct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Background and rationale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6a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3-4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6b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Explanation for choice of comparators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Objectives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 objectives or hypotheses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1, 4, 9. 10</w:t>
            </w:r>
          </w:p>
        </w:tc>
      </w:tr>
      <w:tr w:rsidR="000E20D1" w:rsidTr="000E20D1">
        <w:trPr>
          <w:cantSplit/>
          <w:trHeight w:val="653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Trial design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of trial design including type of trial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parallel group, crossover, factorial, single group), allocation ratio, and framework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superiority, equivalence,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noninferiority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exploratory)</w:t>
            </w:r>
          </w:p>
        </w:tc>
        <w:tc>
          <w:tcPr>
            <w:tcW w:w="781" w:type="pct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2, 4, 5</w:t>
            </w:r>
          </w:p>
        </w:tc>
      </w:tr>
      <w:tr w:rsidR="000E20D1" w:rsidTr="000E20D1">
        <w:trPr>
          <w:cantSplit/>
          <w:trHeight w:val="259"/>
        </w:trPr>
        <w:tc>
          <w:tcPr>
            <w:tcW w:w="4219" w:type="pct"/>
            <w:gridSpan w:val="3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pStyle w:val="TableSubHead"/>
              <w:spacing w:before="180"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Methods: Participants, interventions, and outcomes</w:t>
            </w:r>
          </w:p>
        </w:tc>
        <w:tc>
          <w:tcPr>
            <w:tcW w:w="781" w:type="pct"/>
            <w:shd w:val="clear" w:color="auto" w:fill="FFFFFF"/>
          </w:tcPr>
          <w:p w:rsidR="000E20D1" w:rsidRDefault="000E20D1">
            <w:pPr>
              <w:pStyle w:val="TableSubHead"/>
              <w:spacing w:line="256" w:lineRule="auto"/>
              <w:rPr>
                <w:sz w:val="20"/>
                <w:lang w:val="en-US"/>
              </w:rPr>
            </w:pP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setting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of study settings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Eligibility criteria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Inclusion and exclusion criteria for participants. If applicable, eligibility criteria for study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centres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individuals who will perform the interventions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surgeons, psychotherapists)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4-5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vMerge w:val="restar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Interventions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11a</w:t>
            </w:r>
          </w:p>
        </w:tc>
        <w:tc>
          <w:tcPr>
            <w:tcW w:w="289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5-6</w:t>
            </w:r>
          </w:p>
        </w:tc>
      </w:tr>
      <w:tr w:rsidR="000E20D1" w:rsidTr="000E20D1">
        <w:trPr>
          <w:cantSplit/>
          <w:trHeight w:val="259"/>
        </w:trPr>
        <w:tc>
          <w:tcPr>
            <w:tcW w:w="0" w:type="auto"/>
            <w:vMerge/>
            <w:vAlign w:val="center"/>
            <w:hideMark/>
          </w:tcPr>
          <w:p w:rsidR="000E20D1" w:rsidRDefault="000E20D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11b</w:t>
            </w:r>
          </w:p>
        </w:tc>
        <w:tc>
          <w:tcPr>
            <w:tcW w:w="289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for discontinuing or modifying allocated interventions for a given trial participant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drug dose change in response to harms, participant request, or improving/worsening disease)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0E20D1" w:rsidTr="000E20D1">
        <w:trPr>
          <w:cantSplit/>
          <w:trHeight w:val="259"/>
        </w:trPr>
        <w:tc>
          <w:tcPr>
            <w:tcW w:w="0" w:type="auto"/>
            <w:vMerge/>
            <w:vAlign w:val="center"/>
            <w:hideMark/>
          </w:tcPr>
          <w:p w:rsidR="000E20D1" w:rsidRDefault="000E20D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11c</w:t>
            </w:r>
          </w:p>
        </w:tc>
        <w:tc>
          <w:tcPr>
            <w:tcW w:w="289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Strategies to improve adherence to intervention protocols, and any procedures for monitoring adherence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drug tablet return, laboratory tests)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6, 9</w:t>
            </w:r>
          </w:p>
        </w:tc>
      </w:tr>
      <w:tr w:rsidR="000E20D1" w:rsidTr="000E20D1">
        <w:trPr>
          <w:cantSplit/>
          <w:trHeight w:val="259"/>
        </w:trPr>
        <w:tc>
          <w:tcPr>
            <w:tcW w:w="0" w:type="auto"/>
            <w:vMerge/>
            <w:vAlign w:val="center"/>
            <w:hideMark/>
          </w:tcPr>
          <w:p w:rsidR="000E20D1" w:rsidRDefault="000E20D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11d</w:t>
            </w:r>
          </w:p>
        </w:tc>
        <w:tc>
          <w:tcPr>
            <w:tcW w:w="289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Relevant concomitant care and interventions that are permitted or prohibited during the trial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5-6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Primary, secondary, and other outcomes, including the specific measurement variable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systolic blood pressure), analysis metric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change from baseline, final value, time to event), method of aggregation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781" w:type="pct"/>
            <w:shd w:val="clear" w:color="auto" w:fill="FFFFFF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Participant timeline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schedule of enrolment, interventions (including any run-ins and washouts), assessments, and visits for participants. A schematic diagram is highly recommended (see Figure)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11-12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Recruitment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Strategies for achieving adequate participant enrolment to reach target sample size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0E20D1" w:rsidTr="000E20D1">
        <w:trPr>
          <w:cantSplit/>
          <w:trHeight w:val="259"/>
        </w:trPr>
        <w:tc>
          <w:tcPr>
            <w:tcW w:w="4219" w:type="pct"/>
            <w:gridSpan w:val="3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spacing w:before="18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Methods: Assignment of interventions (for controlled trials)</w:t>
            </w:r>
          </w:p>
        </w:tc>
        <w:tc>
          <w:tcPr>
            <w:tcW w:w="781" w:type="pct"/>
            <w:shd w:val="clear" w:color="auto" w:fill="FFFFFF"/>
          </w:tcPr>
          <w:p w:rsidR="000E20D1" w:rsidRDefault="000E20D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Allocation:</w:t>
            </w:r>
          </w:p>
        </w:tc>
        <w:tc>
          <w:tcPr>
            <w:tcW w:w="468" w:type="pct"/>
            <w:shd w:val="clear" w:color="auto" w:fill="FFFFFF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pct"/>
            <w:shd w:val="clear" w:color="auto" w:fill="FFFFFF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tabs>
                <w:tab w:val="left" w:pos="180"/>
              </w:tabs>
              <w:ind w:left="27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Sequence generation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16a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Method of generating the allocation sequence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computer-generated random numbers), and list of any factors for stratification. To reduce predictability of a random sequence, details of any planned restriction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blocking) should be provided in a separate document that is unavailable to those who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enrol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participants or assign interventions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ind w:left="27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Allocation concealment mechanism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16b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Mechanism of implementing the allocation sequence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ind w:left="27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Implementation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16c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 will generate the allocation sequence, who will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enrol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participants, and who will assign participants to interventions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Blinding (masking)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17a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 will be blinded after assignment to interventions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trial participants, care providers, outcome assessors, data analysts), and how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17b</w:t>
            </w:r>
          </w:p>
        </w:tc>
        <w:tc>
          <w:tcPr>
            <w:tcW w:w="289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If blinded, circumstances under which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unblinding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permissible, and procedure for revealing a participant’s allocated intervention during the trial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0E20D1" w:rsidTr="000E20D1">
        <w:trPr>
          <w:cantSplit/>
          <w:trHeight w:val="259"/>
        </w:trPr>
        <w:tc>
          <w:tcPr>
            <w:tcW w:w="4219" w:type="pct"/>
            <w:gridSpan w:val="3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spacing w:before="18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Methods: Data collection, management, and analysis</w:t>
            </w:r>
          </w:p>
        </w:tc>
        <w:tc>
          <w:tcPr>
            <w:tcW w:w="781" w:type="pct"/>
            <w:shd w:val="clear" w:color="auto" w:fill="FFFFFF"/>
          </w:tcPr>
          <w:p w:rsidR="000E20D1" w:rsidRDefault="000E20D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 collection methods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18a</w:t>
            </w:r>
          </w:p>
        </w:tc>
        <w:tc>
          <w:tcPr>
            <w:tcW w:w="289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Plans for assessment and collection of outcome, baseline, and other trial data, including any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related processes to promote data quality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duplicate measurements, training of assessors) and a description of study instruments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6-7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18b</w:t>
            </w:r>
          </w:p>
        </w:tc>
        <w:tc>
          <w:tcPr>
            <w:tcW w:w="289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 management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Plans for data entry, coding, security, and storage, including any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related processes to promote data quality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double data entry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; range checks for data values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 Reference to where details of data management procedures can be found, if not in the protocol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Statistical methods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20a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Statistical methods for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analysing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20b</w:t>
            </w:r>
          </w:p>
        </w:tc>
        <w:tc>
          <w:tcPr>
            <w:tcW w:w="289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Methods for any additional analyses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subgroup and adjusted analyses)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20c</w:t>
            </w:r>
          </w:p>
        </w:tc>
        <w:tc>
          <w:tcPr>
            <w:tcW w:w="289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Definition of analysis population relating to protocol non-adherence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as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randomised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analysis), and any statistical methods to handle missing data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multiple imputation)</w:t>
            </w:r>
          </w:p>
        </w:tc>
        <w:tc>
          <w:tcPr>
            <w:tcW w:w="781" w:type="pct"/>
            <w:shd w:val="clear" w:color="auto" w:fill="FFFFFF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0E20D1" w:rsidTr="000E20D1">
        <w:trPr>
          <w:cantSplit/>
          <w:trHeight w:val="259"/>
        </w:trPr>
        <w:tc>
          <w:tcPr>
            <w:tcW w:w="4219" w:type="pct"/>
            <w:gridSpan w:val="3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spacing w:before="18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Methods: Monitoring</w:t>
            </w:r>
          </w:p>
        </w:tc>
        <w:tc>
          <w:tcPr>
            <w:tcW w:w="781" w:type="pct"/>
            <w:shd w:val="clear" w:color="auto" w:fill="FFFFFF"/>
          </w:tcPr>
          <w:p w:rsidR="000E20D1" w:rsidRDefault="000E20D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 monitoring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21a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 Alternatively, an explanation of why a DMC is not needed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0E20D1" w:rsidTr="000E20D1">
        <w:trPr>
          <w:cantSplit/>
          <w:trHeight w:val="491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21b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Harms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Auditing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781" w:type="pct"/>
            <w:shd w:val="clear" w:color="auto" w:fill="FFFFFF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E20D1" w:rsidTr="000E20D1">
        <w:trPr>
          <w:cantSplit/>
          <w:trHeight w:val="259"/>
        </w:trPr>
        <w:tc>
          <w:tcPr>
            <w:tcW w:w="4219" w:type="pct"/>
            <w:gridSpan w:val="3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pStyle w:val="TableSubHead"/>
              <w:spacing w:before="180"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Ethics and dissemination</w:t>
            </w:r>
          </w:p>
        </w:tc>
        <w:tc>
          <w:tcPr>
            <w:tcW w:w="781" w:type="pct"/>
          </w:tcPr>
          <w:p w:rsidR="000E20D1" w:rsidRDefault="000E20D1">
            <w:pPr>
              <w:pStyle w:val="TableSubHead"/>
              <w:spacing w:line="256" w:lineRule="auto"/>
              <w:rPr>
                <w:sz w:val="20"/>
                <w:lang w:val="en-US"/>
              </w:rPr>
            </w:pP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 ethics approval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Plans for seeking research ethics committee/institutional review board (REC/IRB) approval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 approval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Protocol amendments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Plans for communicating important protocol modifications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changes to eligibility criteria, outcomes, analyses) to relevant parties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investigators, REC/IRBs, trial participants, trial registries, journals, regulators)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13-14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Consent or assent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26a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 will obtain informed consent or assent from potential trial participants 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authorised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surrogates, and how (see Item 32)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26b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Confidentiality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Declaration of interests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Financial and other competing interests for principal investigators for the overall trial and each study site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Access to data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Ancillary and post-trial care</w:t>
            </w:r>
          </w:p>
        </w:tc>
        <w:tc>
          <w:tcPr>
            <w:tcW w:w="468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2891" w:type="pct"/>
            <w:shd w:val="clear" w:color="auto" w:fill="FFFFFF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Provisions, if any, for ancillary and post-trial care, and for compensation to those who suffer harm from trial participation</w:t>
            </w:r>
          </w:p>
        </w:tc>
        <w:tc>
          <w:tcPr>
            <w:tcW w:w="781" w:type="pct"/>
            <w:shd w:val="clear" w:color="auto" w:fill="FFFFFF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Dissemination policy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31a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via publication, reporting in results databases, or other data sharing arrangements), including any publication restrictions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31b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Authorship eligibility guidelines and any intended use of professional writers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31c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Plans, if any, for granting public access to the full protocol, participant-level dataset, and statistical code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pStyle w:val="TableSubHead"/>
              <w:spacing w:before="180"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Appendices</w:t>
            </w:r>
          </w:p>
        </w:tc>
        <w:tc>
          <w:tcPr>
            <w:tcW w:w="468" w:type="pct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91" w:type="pct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pct"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Informed consent materials</w:t>
            </w:r>
          </w:p>
        </w:tc>
        <w:tc>
          <w:tcPr>
            <w:tcW w:w="468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2891" w:type="pct"/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consent form and other related documentation given to participants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authorised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surrogates</w:t>
            </w:r>
          </w:p>
        </w:tc>
        <w:tc>
          <w:tcPr>
            <w:tcW w:w="781" w:type="pct"/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</w:t>
            </w:r>
          </w:p>
        </w:tc>
      </w:tr>
      <w:tr w:rsidR="000E20D1" w:rsidTr="000E20D1">
        <w:trPr>
          <w:cantSplit/>
          <w:trHeight w:val="259"/>
        </w:trPr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Biological specimens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289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5" w:type="dxa"/>
              <w:left w:w="56" w:type="dxa"/>
              <w:bottom w:w="85" w:type="dxa"/>
              <w:right w:w="56" w:type="dxa"/>
            </w:tcMar>
            <w:hideMark/>
          </w:tcPr>
          <w:p w:rsidR="000E20D1" w:rsidRDefault="000E20D1">
            <w:pPr>
              <w:spacing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20D1" w:rsidRDefault="000E20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:rsidR="000E20D1" w:rsidRDefault="000E20D1" w:rsidP="000E20D1">
      <w:pPr>
        <w:spacing w:before="6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*It is strongly recommended that this checklist be read in conjunction with the SPIRIT 2013 Explanation &amp; Elaboration for important clarification on the items. Amendments to the protocol should be tracked and dated. The SPIRIT checklist is copyrighted by the SPIRIT Group under the Creative Commons “</w:t>
      </w:r>
      <w:hyperlink r:id="rId4" w:tgtFrame="_blank" w:history="1">
        <w:r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Attribution-</w:t>
        </w:r>
        <w:proofErr w:type="spellStart"/>
        <w:r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NonCommercial</w:t>
        </w:r>
        <w:proofErr w:type="spellEnd"/>
        <w:r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-</w:t>
        </w:r>
        <w:proofErr w:type="spellStart"/>
        <w:r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NoDerivs</w:t>
        </w:r>
        <w:proofErr w:type="spellEnd"/>
        <w:r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 xml:space="preserve"> 3.0 </w:t>
        </w:r>
        <w:proofErr w:type="spellStart"/>
        <w:r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Unported</w:t>
        </w:r>
        <w:proofErr w:type="spellEnd"/>
      </w:hyperlink>
      <w:r>
        <w:rPr>
          <w:rFonts w:ascii="Times New Roman" w:hAnsi="Times New Roman" w:cs="Times New Roman"/>
          <w:sz w:val="20"/>
          <w:szCs w:val="20"/>
          <w:lang w:val="en-US"/>
        </w:rPr>
        <w:t>” license.</w:t>
      </w: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0D1"/>
    <w:rsid w:val="000E20D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9E9E91-7C12-4F22-BC28-1AEF3B96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0D1"/>
    <w:pPr>
      <w:spacing w:line="256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0E20D1"/>
    <w:rPr>
      <w:color w:val="0000FF"/>
      <w:u w:val="single"/>
    </w:rPr>
  </w:style>
  <w:style w:type="paragraph" w:customStyle="1" w:styleId="TableTitle">
    <w:name w:val="TableTitle"/>
    <w:basedOn w:val="Normal"/>
    <w:rsid w:val="000E20D1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0E20D1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0E2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reativecommons.org/licenses/by-nc-nd/3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2022-07-26T12:15:00Z</dcterms:created>
  <dcterms:modified xsi:type="dcterms:W3CDTF">2022-07-26T12:15:00Z</dcterms:modified>
</cp:coreProperties>
</file>