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62F" w:rsidRDefault="00F32C9B" w:rsidP="00ED562F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0" w:name="OLE_LINK60"/>
      <w:bookmarkStart w:id="1" w:name="OLE_LINK59"/>
      <w:r>
        <w:rPr>
          <w:rFonts w:ascii="Times New Roman" w:hAnsi="Times New Roman" w:cs="Times New Roman"/>
          <w:b/>
          <w:sz w:val="24"/>
          <w:szCs w:val="24"/>
        </w:rPr>
        <w:t>Table S3</w:t>
      </w:r>
      <w:bookmarkStart w:id="2" w:name="_GoBack"/>
      <w:bookmarkEnd w:id="2"/>
      <w:r w:rsidR="00ED562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D0216" w:rsidRPr="005D0216">
        <w:rPr>
          <w:rFonts w:ascii="Times New Roman" w:hAnsi="Times New Roman" w:cs="Times New Roman"/>
          <w:b/>
          <w:sz w:val="24"/>
          <w:szCs w:val="24"/>
        </w:rPr>
        <w:t>Adverse event rate within the switch cohort according to the reason of prasugrel substitution</w:t>
      </w:r>
    </w:p>
    <w:bookmarkEnd w:id="0"/>
    <w:bookmarkEnd w:id="1"/>
    <w:tbl>
      <w:tblPr>
        <w:tblStyle w:val="1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969"/>
        <w:gridCol w:w="1701"/>
        <w:gridCol w:w="1701"/>
        <w:gridCol w:w="1701"/>
        <w:gridCol w:w="1701"/>
        <w:gridCol w:w="1701"/>
        <w:gridCol w:w="1134"/>
      </w:tblGrid>
      <w:tr w:rsidR="00ED562F" w:rsidTr="00ED56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D562F" w:rsidRDefault="00ED562F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ED562F" w:rsidRDefault="00ED562F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ED562F" w:rsidRDefault="00ED562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Necessity for a more potent antiplatelet agent</w:t>
            </w:r>
          </w:p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(N=1324)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Decreased medication compliance with a twice-daily regimen</w:t>
            </w:r>
          </w:p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(N=625)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Adverse events of the previous agent</w:t>
            </w:r>
          </w:p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(N=247)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Drug interaction between the previous agent and other concomitant medications</w:t>
            </w:r>
          </w:p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(N=91)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Over-inhibition of platelet aggregation of the previous agent</w:t>
            </w:r>
          </w:p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(N=37)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 w:rsidR="00ED562F" w:rsidTr="00ED5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>MACCE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(2.4)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(1.4)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(0.4)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0.172</w:t>
            </w:r>
          </w:p>
        </w:tc>
      </w:tr>
      <w:tr w:rsidR="00ED562F" w:rsidTr="00ED56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Key Secondary Endpoints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D562F" w:rsidTr="00ED5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 w:right="400"/>
              <w:jc w:val="both"/>
            </w:pPr>
            <w:r>
              <w:t>Effectiveness endpoint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(1.5)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(0.6)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(0.4)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0.317</w:t>
            </w:r>
          </w:p>
        </w:tc>
      </w:tr>
      <w:tr w:rsidR="00ED562F" w:rsidTr="00ED56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 w:right="400"/>
              <w:jc w:val="both"/>
            </w:pPr>
            <w:r>
              <w:t>Safety endpoint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(2.8)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(3.4)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(4.1)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(2.7)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0.634</w:t>
            </w:r>
          </w:p>
        </w:tc>
      </w:tr>
      <w:tr w:rsidR="00ED562F" w:rsidTr="00ED5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Individual Events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D562F" w:rsidTr="00ED562F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 w:right="400"/>
              <w:jc w:val="both"/>
            </w:pPr>
            <w:r>
              <w:t>All-cause death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(0.5)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(0.8)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(0.8)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(2.7)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0.367</w:t>
            </w:r>
          </w:p>
        </w:tc>
      </w:tr>
      <w:tr w:rsidR="00ED562F" w:rsidTr="00ED5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 w:right="400"/>
              <w:jc w:val="both"/>
            </w:pPr>
            <w:r>
              <w:lastRenderedPageBreak/>
              <w:t>Cardiovascular death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(0.2)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1.0000</w:t>
            </w:r>
          </w:p>
        </w:tc>
      </w:tr>
      <w:tr w:rsidR="00ED562F" w:rsidTr="00ED562F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/>
              <w:jc w:val="both"/>
            </w:pPr>
            <w:r>
              <w:t>Nonfatal MI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(0.7)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(0.3)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0.622</w:t>
            </w:r>
          </w:p>
        </w:tc>
      </w:tr>
      <w:tr w:rsidR="00ED562F" w:rsidTr="00ED5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/>
              <w:jc w:val="both"/>
            </w:pPr>
            <w:r>
              <w:t>Stent thrombosis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(0.5)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(0.2)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(0.8)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(2.7)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0.079</w:t>
            </w:r>
          </w:p>
        </w:tc>
      </w:tr>
      <w:tr w:rsidR="00ED562F" w:rsidTr="00ED562F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/>
              <w:jc w:val="both"/>
            </w:pPr>
            <w:r>
              <w:t>Urgent target vessel revascularization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(0.8)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(2.7)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0.023</w:t>
            </w:r>
          </w:p>
        </w:tc>
      </w:tr>
      <w:tr w:rsidR="00ED562F" w:rsidTr="00ED5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 w:rsidP="00F31D3D">
            <w:pPr>
              <w:pStyle w:val="a3"/>
              <w:numPr>
                <w:ilvl w:val="0"/>
                <w:numId w:val="1"/>
              </w:numPr>
              <w:spacing w:line="480" w:lineRule="auto"/>
              <w:ind w:leftChars="0"/>
              <w:jc w:val="both"/>
            </w:pPr>
            <w:r>
              <w:t>Bleeding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D562F" w:rsidTr="00ED562F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ind w:right="400" w:firstLineChars="350" w:firstLine="8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TIMI major bleeding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(1.2)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(0.8)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hideMark/>
          </w:tcPr>
          <w:p w:rsidR="00ED562F" w:rsidRDefault="00ED56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0.385</w:t>
            </w:r>
          </w:p>
        </w:tc>
      </w:tr>
      <w:tr w:rsidR="00ED562F" w:rsidTr="00ED5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ind w:right="400" w:firstLineChars="350" w:firstLine="8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TIMI minor bleeding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(3.1)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(4.1)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D562F" w:rsidRDefault="00ED56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0.170</w:t>
            </w:r>
          </w:p>
        </w:tc>
      </w:tr>
    </w:tbl>
    <w:p w:rsidR="00ED562F" w:rsidRDefault="00ED562F" w:rsidP="00ED562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Effectiveness endpoint denotes a composite of cardiovascular death, nonfatal MI, and nonfatal stroke; Safety endpoints denotes a composite of TIMI major or minor bleeding unrelated to CABG.</w:t>
      </w:r>
    </w:p>
    <w:p w:rsidR="00ED562F" w:rsidRDefault="00ED562F" w:rsidP="00ED562F">
      <w:pPr>
        <w:rPr>
          <w:rFonts w:ascii="Times New Roman" w:hAnsi="Times New Roman" w:cs="Times New Roman"/>
          <w:b/>
          <w:sz w:val="24"/>
          <w:szCs w:val="24"/>
        </w:rPr>
      </w:pPr>
    </w:p>
    <w:p w:rsidR="003D7514" w:rsidRPr="00ED562F" w:rsidRDefault="003D7514"/>
    <w:sectPr w:rsidR="003D7514" w:rsidRPr="00ED562F" w:rsidSect="00ED562F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19A" w:rsidRDefault="0098619A" w:rsidP="005D0216">
      <w:pPr>
        <w:spacing w:after="0" w:line="240" w:lineRule="auto"/>
      </w:pPr>
      <w:r>
        <w:separator/>
      </w:r>
    </w:p>
  </w:endnote>
  <w:endnote w:type="continuationSeparator" w:id="0">
    <w:p w:rsidR="0098619A" w:rsidRDefault="0098619A" w:rsidP="005D0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19A" w:rsidRDefault="0098619A" w:rsidP="005D0216">
      <w:pPr>
        <w:spacing w:after="0" w:line="240" w:lineRule="auto"/>
      </w:pPr>
      <w:r>
        <w:separator/>
      </w:r>
    </w:p>
  </w:footnote>
  <w:footnote w:type="continuationSeparator" w:id="0">
    <w:p w:rsidR="0098619A" w:rsidRDefault="0098619A" w:rsidP="005D0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C1AC7"/>
    <w:multiLevelType w:val="hybridMultilevel"/>
    <w:tmpl w:val="4C84EEDC"/>
    <w:lvl w:ilvl="0" w:tplc="466871CE">
      <w:start w:val="1"/>
      <w:numFmt w:val="bullet"/>
      <w:lvlText w:val="-"/>
      <w:lvlJc w:val="left"/>
      <w:pPr>
        <w:ind w:left="478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ind w:left="918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18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18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18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18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18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18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18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62F"/>
    <w:rsid w:val="003D7514"/>
    <w:rsid w:val="005D0216"/>
    <w:rsid w:val="0098619A"/>
    <w:rsid w:val="00B54D0B"/>
    <w:rsid w:val="00ED562F"/>
    <w:rsid w:val="00F32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5B1F2A-C9B3-45A4-B467-5760AFE1D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62F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table" w:styleId="1">
    <w:name w:val="List Table 1 Light"/>
    <w:basedOn w:val="a1"/>
    <w:uiPriority w:val="46"/>
    <w:rsid w:val="00ED562F"/>
    <w:pPr>
      <w:spacing w:after="0" w:line="240" w:lineRule="auto"/>
      <w:jc w:val="left"/>
    </w:pPr>
    <w:rPr>
      <w:kern w:val="0"/>
      <w:sz w:val="24"/>
      <w:szCs w:val="24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5D02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D0216"/>
  </w:style>
  <w:style w:type="paragraph" w:styleId="a5">
    <w:name w:val="footer"/>
    <w:basedOn w:val="a"/>
    <w:link w:val="Char0"/>
    <w:uiPriority w:val="99"/>
    <w:unhideWhenUsed/>
    <w:rsid w:val="005D02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D0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0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Ji-Su, Goag</dc:creator>
  <cp:keywords/>
  <dc:description/>
  <cp:lastModifiedBy>Ji-Su, Goag</cp:lastModifiedBy>
  <cp:revision>3</cp:revision>
  <dcterms:created xsi:type="dcterms:W3CDTF">2022-04-19T06:44:00Z</dcterms:created>
  <dcterms:modified xsi:type="dcterms:W3CDTF">2022-05-27T14:31:00Z</dcterms:modified>
</cp:coreProperties>
</file>