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8B9" w:rsidRPr="00C76378" w:rsidRDefault="002058B9" w:rsidP="002058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b/>
          <w:bCs/>
          <w:sz w:val="24"/>
          <w:szCs w:val="24"/>
        </w:rPr>
        <w:t>Supplementary figures and tables:</w:t>
      </w: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7646DFAC" wp14:editId="17FFB010">
            <wp:extent cx="5274310" cy="51263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8B9" w:rsidRPr="00C76378" w:rsidRDefault="002058B9" w:rsidP="002058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t xml:space="preserve">Supplementary figure 1: A) Overlay visualization map of global research </w:t>
      </w:r>
      <w:r w:rsidRPr="00C76378">
        <w:rPr>
          <w:rFonts w:ascii="Times New Roman" w:eastAsia="DengXian" w:hAnsi="Times New Roman" w:cs="Times New Roman"/>
          <w:sz w:val="24"/>
          <w:szCs w:val="24"/>
        </w:rPr>
        <w:t>relationships</w:t>
      </w:r>
      <w:r w:rsidRPr="00C76378">
        <w:rPr>
          <w:rFonts w:ascii="Times New Roman" w:hAnsi="Times New Roman" w:cs="Times New Roman"/>
          <w:sz w:val="24"/>
          <w:szCs w:val="24"/>
        </w:rPr>
        <w:t xml:space="preserve"> among the most cited journals on diseases in </w:t>
      </w:r>
      <w:r w:rsidRPr="00C76378">
        <w:rPr>
          <w:rFonts w:ascii="Times New Roman" w:eastAsia="DengXian" w:hAnsi="Times New Roman" w:cs="Times New Roman"/>
          <w:sz w:val="24"/>
          <w:szCs w:val="24"/>
        </w:rPr>
        <w:t xml:space="preserve">the </w:t>
      </w:r>
      <w:r w:rsidRPr="00C76378">
        <w:rPr>
          <w:rFonts w:ascii="Times New Roman" w:hAnsi="Times New Roman" w:cs="Times New Roman"/>
          <w:sz w:val="24"/>
          <w:szCs w:val="24"/>
        </w:rPr>
        <w:t xml:space="preserve">elderly population according to the average year of </w:t>
      </w:r>
      <w:r w:rsidRPr="00C76378">
        <w:rPr>
          <w:rFonts w:ascii="Times New Roman" w:eastAsia="DengXian" w:hAnsi="Times New Roman" w:cs="Times New Roman"/>
          <w:sz w:val="24"/>
          <w:szCs w:val="24"/>
        </w:rPr>
        <w:t>publication</w:t>
      </w:r>
      <w:r w:rsidRPr="00C76378">
        <w:rPr>
          <w:rFonts w:ascii="Times New Roman" w:hAnsi="Times New Roman" w:cs="Times New Roman"/>
          <w:sz w:val="24"/>
          <w:szCs w:val="24"/>
        </w:rPr>
        <w:t>. Blue circles represent years before 2010</w:t>
      </w:r>
      <w:r w:rsidRPr="00C76378">
        <w:rPr>
          <w:rFonts w:ascii="Times New Roman" w:eastAsia="DengXian" w:hAnsi="Times New Roman" w:cs="Times New Roman"/>
          <w:sz w:val="24"/>
          <w:szCs w:val="24"/>
        </w:rPr>
        <w:t>,</w:t>
      </w:r>
      <w:r w:rsidRPr="00C76378">
        <w:rPr>
          <w:rFonts w:ascii="Times New Roman" w:hAnsi="Times New Roman" w:cs="Times New Roman"/>
          <w:sz w:val="24"/>
          <w:szCs w:val="24"/>
        </w:rPr>
        <w:t xml:space="preserve"> and red circles represent years after 2018. This visualized map of </w:t>
      </w:r>
      <w:r w:rsidRPr="00C76378">
        <w:rPr>
          <w:rFonts w:ascii="Times New Roman" w:eastAsia="DengXian" w:hAnsi="Times New Roman" w:cs="Times New Roman"/>
          <w:sz w:val="24"/>
          <w:szCs w:val="24"/>
        </w:rPr>
        <w:t>citations</w:t>
      </w:r>
      <w:r w:rsidRPr="00C76378">
        <w:rPr>
          <w:rFonts w:ascii="Times New Roman" w:hAnsi="Times New Roman" w:cs="Times New Roman"/>
          <w:sz w:val="24"/>
          <w:szCs w:val="24"/>
        </w:rPr>
        <w:t xml:space="preserve"> included the journals </w:t>
      </w:r>
      <w:r w:rsidRPr="00C76378">
        <w:rPr>
          <w:rFonts w:ascii="Times New Roman" w:eastAsia="DengXian" w:hAnsi="Times New Roman" w:cs="Times New Roman"/>
          <w:sz w:val="24"/>
          <w:szCs w:val="24"/>
        </w:rPr>
        <w:t xml:space="preserve">that </w:t>
      </w:r>
      <w:r w:rsidRPr="00C76378">
        <w:rPr>
          <w:rFonts w:ascii="Times New Roman" w:hAnsi="Times New Roman" w:cs="Times New Roman"/>
          <w:sz w:val="24"/>
          <w:szCs w:val="24"/>
        </w:rPr>
        <w:t xml:space="preserve">published at least 30 documents. Of the 2,467 journals, 64 reached this threshold. The size of the circles indicates the number of citations of the </w:t>
      </w:r>
      <w:r w:rsidRPr="00C76378">
        <w:rPr>
          <w:rFonts w:ascii="Times New Roman" w:eastAsia="DengXian" w:hAnsi="Times New Roman" w:cs="Times New Roman"/>
          <w:sz w:val="24"/>
          <w:szCs w:val="24"/>
        </w:rPr>
        <w:t>keyword. B)</w:t>
      </w:r>
      <w:r w:rsidRPr="00C76378">
        <w:rPr>
          <w:rFonts w:ascii="Times New Roman" w:hAnsi="Times New Roman" w:cs="Times New Roman"/>
          <w:sz w:val="24"/>
          <w:szCs w:val="24"/>
        </w:rPr>
        <w:t xml:space="preserve"> Top 20 most</w:t>
      </w:r>
      <w:r w:rsidRPr="00C76378">
        <w:rPr>
          <w:rFonts w:ascii="Times New Roman" w:eastAsia="DengXian" w:hAnsi="Times New Roman" w:cs="Times New Roman"/>
          <w:sz w:val="24"/>
          <w:szCs w:val="24"/>
        </w:rPr>
        <w:t xml:space="preserve">-cited </w:t>
      </w:r>
      <w:r w:rsidRPr="00C76378">
        <w:rPr>
          <w:rFonts w:ascii="Times New Roman" w:hAnsi="Times New Roman" w:cs="Times New Roman"/>
          <w:sz w:val="24"/>
          <w:szCs w:val="24"/>
        </w:rPr>
        <w:t>journals</w:t>
      </w:r>
      <w:r w:rsidRPr="00C76378">
        <w:rPr>
          <w:rFonts w:ascii="Times New Roman" w:hAnsi="Times New Roman" w:cs="Times New Roman"/>
        </w:rPr>
        <w:t xml:space="preserve"> </w:t>
      </w:r>
      <w:r w:rsidRPr="00C76378">
        <w:rPr>
          <w:rFonts w:ascii="Times New Roman" w:hAnsi="Times New Roman" w:cs="Times New Roman"/>
          <w:sz w:val="24"/>
          <w:szCs w:val="24"/>
        </w:rPr>
        <w:t xml:space="preserve">from the period from 2000 to 2021 on diseases in </w:t>
      </w:r>
      <w:r w:rsidRPr="00C76378">
        <w:rPr>
          <w:rFonts w:ascii="Times New Roman" w:eastAsia="DengXian" w:hAnsi="Times New Roman" w:cs="Times New Roman"/>
          <w:sz w:val="24"/>
          <w:szCs w:val="24"/>
        </w:rPr>
        <w:t xml:space="preserve">the </w:t>
      </w:r>
      <w:r w:rsidRPr="00C76378">
        <w:rPr>
          <w:rFonts w:ascii="Times New Roman" w:hAnsi="Times New Roman" w:cs="Times New Roman"/>
          <w:sz w:val="24"/>
          <w:szCs w:val="24"/>
        </w:rPr>
        <w:t>elderly population</w:t>
      </w:r>
      <w:r w:rsidRPr="00C76378">
        <w:rPr>
          <w:rFonts w:ascii="Times New Roman" w:eastAsia="DengXian" w:hAnsi="Times New Roman" w:cs="Times New Roman"/>
          <w:sz w:val="24"/>
          <w:szCs w:val="24"/>
        </w:rPr>
        <w:t>. The</w:t>
      </w:r>
      <w:r w:rsidRPr="00C76378">
        <w:rPr>
          <w:rFonts w:ascii="Times New Roman" w:hAnsi="Times New Roman" w:cs="Times New Roman"/>
          <w:sz w:val="24"/>
          <w:szCs w:val="24"/>
        </w:rPr>
        <w:t xml:space="preserve"> blue column represents the number of publications</w:t>
      </w:r>
      <w:r w:rsidRPr="00C76378">
        <w:rPr>
          <w:rFonts w:ascii="Times New Roman" w:eastAsia="DengXian" w:hAnsi="Times New Roman" w:cs="Times New Roman"/>
          <w:sz w:val="24"/>
          <w:szCs w:val="24"/>
        </w:rPr>
        <w:t>,</w:t>
      </w:r>
      <w:r w:rsidRPr="00C76378">
        <w:rPr>
          <w:rFonts w:ascii="Times New Roman" w:hAnsi="Times New Roman" w:cs="Times New Roman"/>
          <w:sz w:val="24"/>
          <w:szCs w:val="24"/>
        </w:rPr>
        <w:t xml:space="preserve"> and the red column represents </w:t>
      </w:r>
      <w:r w:rsidRPr="00C76378">
        <w:rPr>
          <w:rFonts w:ascii="Times New Roman" w:hAnsi="Times New Roman" w:cs="Times New Roman"/>
          <w:sz w:val="24"/>
          <w:szCs w:val="24"/>
        </w:rPr>
        <w:lastRenderedPageBreak/>
        <w:t xml:space="preserve">the number of citations for the </w:t>
      </w:r>
      <w:r w:rsidRPr="00C76378">
        <w:rPr>
          <w:rFonts w:ascii="Times New Roman" w:eastAsia="DengXian" w:hAnsi="Times New Roman" w:cs="Times New Roman"/>
          <w:sz w:val="24"/>
          <w:szCs w:val="24"/>
        </w:rPr>
        <w:t>journal</w:t>
      </w:r>
      <w:r w:rsidRPr="00C76378">
        <w:rPr>
          <w:rFonts w:ascii="Times New Roman" w:hAnsi="Times New Roman" w:cs="Times New Roman"/>
          <w:sz w:val="24"/>
          <w:szCs w:val="24"/>
        </w:rPr>
        <w:t>.</w:t>
      </w:r>
    </w:p>
    <w:p w:rsidR="002058B9" w:rsidRPr="00C76378" w:rsidRDefault="002058B9" w:rsidP="002058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471222EA" wp14:editId="1DD24154">
            <wp:extent cx="5274310" cy="34753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8B9" w:rsidRPr="00C76378" w:rsidRDefault="002058B9" w:rsidP="002058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t>Supplementary Figure 2: Overlay visualization map of keywords of publications related to diseases in the elderly population in the past 5 years according to the average year of appearance. Blue tags represent the years before 2018, and red tags represent the years after 2020.</w:t>
      </w: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t xml:space="preserve">Supplementary Table 1: List of the top 10 journals from the period from 2000 to 2021 with the most publications on diseases in the elderly population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1134"/>
        <w:gridCol w:w="3225"/>
        <w:gridCol w:w="1453"/>
        <w:gridCol w:w="992"/>
        <w:gridCol w:w="1508"/>
      </w:tblGrid>
      <w:tr w:rsidR="002058B9" w:rsidRPr="00C76378" w:rsidTr="00F40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Ranking</w:t>
            </w:r>
          </w:p>
        </w:tc>
        <w:tc>
          <w:tcPr>
            <w:tcW w:w="1940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Publication Journal</w:t>
            </w:r>
          </w:p>
        </w:tc>
        <w:tc>
          <w:tcPr>
            <w:tcW w:w="874" w:type="pct"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Publications</w:t>
            </w:r>
          </w:p>
        </w:tc>
        <w:tc>
          <w:tcPr>
            <w:tcW w:w="597" w:type="pct"/>
            <w:noWrap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Citations</w:t>
            </w:r>
          </w:p>
        </w:tc>
        <w:tc>
          <w:tcPr>
            <w:tcW w:w="907" w:type="pct"/>
            <w:noWrap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Mean IF in five years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PLOS ONE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322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7,197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3.788</w:t>
            </w:r>
          </w:p>
        </w:tc>
      </w:tr>
      <w:tr w:rsidR="002058B9" w:rsidRPr="00C76378" w:rsidTr="00F4027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Journal of the American Geriatrics Society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247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9,298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5.984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Journals of Gerontology 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129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5,446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6.356</w:t>
            </w:r>
          </w:p>
        </w:tc>
      </w:tr>
      <w:tr w:rsidR="002058B9" w:rsidRPr="00C76378" w:rsidTr="00F4027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BMC Public Health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126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2,359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4.003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bookmarkStart w:id="0" w:name="_Hlk100326062"/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BMJ OPEN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1,559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3.424</w:t>
            </w:r>
          </w:p>
        </w:tc>
      </w:tr>
      <w:bookmarkEnd w:id="0"/>
      <w:tr w:rsidR="002058B9" w:rsidRPr="00C76378" w:rsidTr="00F4027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IGERPH</w:t>
            </w: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120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751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3.789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Circulation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111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6,231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27.474</w:t>
            </w:r>
          </w:p>
        </w:tc>
      </w:tr>
      <w:tr w:rsidR="002058B9" w:rsidRPr="00C76378" w:rsidTr="00F4027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BMC GERIATRICS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104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1,445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4.878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Archives of Gerontology and Geriatrics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103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1,790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3.737</w:t>
            </w:r>
          </w:p>
        </w:tc>
      </w:tr>
      <w:tr w:rsidR="002058B9" w:rsidRPr="00C76378" w:rsidTr="00F4027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94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Scientific Reports</w:t>
            </w:r>
          </w:p>
        </w:tc>
        <w:tc>
          <w:tcPr>
            <w:tcW w:w="874" w:type="pct"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597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1,056</w:t>
            </w:r>
          </w:p>
        </w:tc>
        <w:tc>
          <w:tcPr>
            <w:tcW w:w="907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5.134</w:t>
            </w:r>
          </w:p>
        </w:tc>
      </w:tr>
    </w:tbl>
    <w:p w:rsidR="002058B9" w:rsidRPr="00C76378" w:rsidRDefault="002058B9" w:rsidP="002058B9">
      <w:pPr>
        <w:rPr>
          <w:rFonts w:ascii="Times New Roman" w:hAnsi="Times New Roman" w:cs="Times New Roman"/>
        </w:rPr>
      </w:pPr>
      <w:r w:rsidRPr="00C76378">
        <w:rPr>
          <w:rFonts w:ascii="Times New Roman" w:hAnsi="Times New Roman" w:cs="Times New Roman"/>
        </w:rPr>
        <w:t>a: IGERPH: International Journal of Environmental Research and Public Health</w:t>
      </w: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t xml:space="preserve">Supplementary table 2: List of the top 10 documents from the period from 2000 to 2021 publishing research on diseases in the elderly population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149"/>
        <w:gridCol w:w="3815"/>
        <w:gridCol w:w="1937"/>
        <w:gridCol w:w="1411"/>
      </w:tblGrid>
      <w:tr w:rsidR="002058B9" w:rsidRPr="00C76378" w:rsidTr="00F40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Ranking</w:t>
            </w:r>
          </w:p>
        </w:tc>
        <w:tc>
          <w:tcPr>
            <w:tcW w:w="229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Documents type</w:t>
            </w:r>
          </w:p>
        </w:tc>
        <w:tc>
          <w:tcPr>
            <w:tcW w:w="116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Record Count</w:t>
            </w:r>
          </w:p>
        </w:tc>
        <w:tc>
          <w:tcPr>
            <w:tcW w:w="85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percent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</w:p>
        </w:tc>
        <w:tc>
          <w:tcPr>
            <w:tcW w:w="229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Articles</w:t>
            </w:r>
          </w:p>
        </w:tc>
        <w:tc>
          <w:tcPr>
            <w:tcW w:w="116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10,264</w:t>
            </w:r>
          </w:p>
        </w:tc>
        <w:tc>
          <w:tcPr>
            <w:tcW w:w="85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84.77%</w:t>
            </w:r>
          </w:p>
        </w:tc>
      </w:tr>
      <w:tr w:rsidR="002058B9" w:rsidRPr="00C76378" w:rsidTr="00F4027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Meeting Abstracts</w:t>
            </w:r>
          </w:p>
        </w:tc>
        <w:tc>
          <w:tcPr>
            <w:tcW w:w="116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691</w:t>
            </w:r>
          </w:p>
        </w:tc>
        <w:tc>
          <w:tcPr>
            <w:tcW w:w="85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5.71%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Reviews</w:t>
            </w:r>
          </w:p>
        </w:tc>
        <w:tc>
          <w:tcPr>
            <w:tcW w:w="1165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541</w:t>
            </w:r>
          </w:p>
        </w:tc>
        <w:tc>
          <w:tcPr>
            <w:tcW w:w="850" w:type="pct"/>
            <w:noWrap/>
            <w:vAlign w:val="bottom"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4.47%</w:t>
            </w:r>
          </w:p>
        </w:tc>
      </w:tr>
      <w:tr w:rsidR="002058B9" w:rsidRPr="00C76378" w:rsidTr="00F4027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Proceedings Papers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182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1.50%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Editorial Materials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164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1.35%</w:t>
            </w:r>
          </w:p>
        </w:tc>
      </w:tr>
      <w:tr w:rsidR="002058B9" w:rsidRPr="00C76378" w:rsidTr="00F4027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Letters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138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1.14%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Early Access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0.66%</w:t>
            </w:r>
          </w:p>
        </w:tc>
      </w:tr>
      <w:tr w:rsidR="002058B9" w:rsidRPr="00C76378" w:rsidTr="00F4027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Corrections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0.29%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Book Chapters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0.07%</w:t>
            </w:r>
          </w:p>
        </w:tc>
      </w:tr>
      <w:tr w:rsidR="002058B9" w:rsidRPr="00C76378" w:rsidTr="00F4027F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9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News Items</w:t>
            </w:r>
          </w:p>
        </w:tc>
        <w:tc>
          <w:tcPr>
            <w:tcW w:w="1165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850" w:type="pct"/>
            <w:noWrap/>
            <w:vAlign w:val="bottom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0.06%</w:t>
            </w:r>
          </w:p>
        </w:tc>
      </w:tr>
    </w:tbl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t xml:space="preserve">Supplementary table 3: List of the top 10 funding agencies from the period from 2000 to 2021 with the most publications on diseases in the elderly population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1134"/>
        <w:gridCol w:w="1420"/>
        <w:gridCol w:w="938"/>
      </w:tblGrid>
      <w:tr w:rsidR="002058B9" w:rsidRPr="00C76378" w:rsidTr="00F40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Ranking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hAnsi="Times New Roman" w:cs="Times New Roman"/>
              </w:rPr>
              <w:t>Funding agency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Country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Publications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percent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st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United States Department of Health Human Services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1,904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15.73%</w:t>
            </w:r>
          </w:p>
        </w:tc>
      </w:tr>
      <w:tr w:rsidR="002058B9" w:rsidRPr="00C76378" w:rsidTr="00F4027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nd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National Institutes of Health (NIH)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1,852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15.30%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rd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National Institute on Aging (NIA)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950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7.85%</w:t>
            </w:r>
          </w:p>
        </w:tc>
      </w:tr>
      <w:tr w:rsidR="002058B9" w:rsidRPr="00C76378" w:rsidTr="00F4027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European Commission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European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707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5.84%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National Natural Science Foundation of China (NNSFC)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476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3.93%</w:t>
            </w:r>
          </w:p>
        </w:tc>
      </w:tr>
      <w:tr w:rsidR="002058B9" w:rsidRPr="00C76378" w:rsidTr="00F4027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National Heart Lung Blood Institute (NHLBI)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USA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382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3.16%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UK Research Innovation (UKRI)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UK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320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2.64%</w:t>
            </w:r>
          </w:p>
        </w:tc>
      </w:tr>
      <w:tr w:rsidR="002058B9" w:rsidRPr="00C76378" w:rsidTr="00F4027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Medical Research Council (MRC)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UK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280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2.31%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Ministry of Education Culture Sports Science and Technology 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Japan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256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2.11%</w:t>
            </w:r>
          </w:p>
        </w:tc>
      </w:tr>
      <w:tr w:rsidR="002058B9" w:rsidRPr="00C76378" w:rsidTr="00F4027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th</w:t>
            </w: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302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 xml:space="preserve">National Health and Medical Research Council  </w:t>
            </w:r>
          </w:p>
        </w:tc>
        <w:tc>
          <w:tcPr>
            <w:tcW w:w="682" w:type="pct"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Australia</w:t>
            </w:r>
          </w:p>
        </w:tc>
        <w:tc>
          <w:tcPr>
            <w:tcW w:w="85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182</w:t>
            </w:r>
          </w:p>
        </w:tc>
        <w:tc>
          <w:tcPr>
            <w:tcW w:w="564" w:type="pct"/>
            <w:noWrap/>
            <w:hideMark/>
          </w:tcPr>
          <w:p w:rsidR="002058B9" w:rsidRPr="00C76378" w:rsidRDefault="002058B9" w:rsidP="00F4027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sz w:val="22"/>
              </w:rPr>
              <w:t>1.50%</w:t>
            </w:r>
          </w:p>
        </w:tc>
      </w:tr>
    </w:tbl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br w:type="page"/>
      </w: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2058B9" w:rsidRPr="00C76378" w:rsidSect="00517572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6378">
        <w:rPr>
          <w:rFonts w:ascii="Times New Roman" w:hAnsi="Times New Roman" w:cs="Times New Roman"/>
          <w:sz w:val="24"/>
          <w:szCs w:val="24"/>
        </w:rPr>
        <w:lastRenderedPageBreak/>
        <w:t>Supplementary Table 4: List of the top 10 publications from the period from 2000 to 2021 with the most citations from different parts of the documents on diseases in the elderly population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1285"/>
        <w:gridCol w:w="701"/>
        <w:gridCol w:w="1485"/>
        <w:gridCol w:w="4497"/>
        <w:gridCol w:w="1672"/>
        <w:gridCol w:w="1926"/>
        <w:gridCol w:w="770"/>
        <w:gridCol w:w="1622"/>
      </w:tblGrid>
      <w:tr w:rsidR="002058B9" w:rsidRPr="00C76378" w:rsidTr="00F40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Categorizes</w:t>
            </w: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Year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Authors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Article Title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Source Title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Document Type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DOI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 w:val="restart"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Background</w:t>
            </w: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Clegg, A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Frailty in elderly people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2950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10.1016/S0140-6736(12)62167-9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Lewington, S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Age-specific relevance of usual blood pressure to vascular mortality: a meta-analysis of individual data for one million adults in 61 prospective studies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6518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10.1016/s0140-6736(02)11911-8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Lozano, R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Global and regional mortality from 235 causes of death for 20 age groups in 1990 and 2010: a systematic analysis for the Global Burden of Disease Study 2010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7325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10.1016/S0140-6736(12)61728-0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Ngandu, T et al. 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 2 year multidomain intervention of diet, exercise, cognitive training, and vascular risk monitoring versus control to prevent cognitive decline in at-risk elderly people (FINGER): a randomized controlled trial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1335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10.1016/S0140-6736(15)60461-5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Gore, FM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Global burden of disease in young people aged 10-24 years: a systematic analysis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1110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10.1016/S0140-6736(11)60512-6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Rapsomaniki, E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Blood pressure and incidence of twelve cardiovascular diseases: lifetime risks, healthy life-years lost, and age-specific associations in 1.25 million people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10.1016/S0140-6736(14)60685-1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Bauer, J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Evidence-Based Recommendations for Optimal Dietary Protein Intake in Older People: A Position Paper From the PROT-AGE Study Group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THE AMERICAN MEDICAL DIRECTORS ASSOCIATION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1106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10.1016/j.jamda.2013.05.021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Nita, 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The Role of the Reactive Oxygen Species and Oxidative Stress in the Pathomechanism of the Age-Related Ocular Diseases and Other Pathologies of the Anterior and Posterior Eye Segments in Adults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OXIDATIVE MEDICINE AND CELLULAR LONGEVITY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Review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10.1155/2016/3164734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Martin, DF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Ranibizumab and Bevacizumab for Neovascular Age-Related Macular Degeneration The CATT Research Group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NEJM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1870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10.1056/NEJMoa1102673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Williams, CD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Prevalence of Nonalcoholic Fatty Liver Disease and Nonalcoholic Steatohepatitis Among a Largely Middle-Aged Population Utilizing Ultrasound and Liver Biopsy: A Prospective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GASTROENTEROLOGY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1379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10.1053/j.gastro.2010.09.038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 w:val="restart"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Support</w:t>
            </w: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Fernandez-Ballarth, JD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Relative validity of a semi-quantitative food-frequency questionnaire in an elderly Mediterranean population of Spain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BRITISH JOURNAL OF NUTRITION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10.1017/S0007114509993837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Good, CD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 voxel-based morphometric study of ageing in 465 normal adult human brains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NEUROIMAGE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3490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10.1006/nimg.2001.0786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Steffen, TM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Age- and gender-related test performance in community-dwelling elderly people: Six-Minute Walk Test, Berg Balance Scale, Timed Up &amp; Go Test, and gait speeds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PHYSICAL THERAPY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1198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10.1093/ptj/82.2.128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Marcus, DS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Open access series of imaging studies (OASIS): Cross-sectional MRI data in young, middle aged, nondemented, and demented older adults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COGNITIVE NEUROSCIENCE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808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10.1162/jocn.2007.19.9.1498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Li, HZ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Mini-Mental State Examination in Elderly Chinese: A Population-Based Normative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ALZHEIMERS DISEASE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10.3233/JAD-160119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Bauer, J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Evidence-Based Recommendations for Optimal Dietary Protein Intake in Older People: A Position Paper From the PROT-AGE Study Group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THE AMERICAN MEDICAL DIRECTORS ASSOCIATION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1106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10.1016/j.jamda.2013.05.021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Creavin, ST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Mini-Mental State Examination (MMSE) for the detection of dementia in clinically unevaluated people aged 65 and over in community and primary care populations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COCHRANE DATABASE OF SYSTEMATIC REVIEWS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Review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10.1002/14651858.CD011145.pub2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Ling, CHY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Accuracy of direct segmental multi-frequency bioimpedance analysis in the assessment of total body </w:t>
            </w: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lastRenderedPageBreak/>
              <w:t>and segmental body composition in middle-aged adult population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lastRenderedPageBreak/>
              <w:t>CLINICAL NUTRITION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10.1016/j.clnu.2011.04.001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Kivipelto, 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Risk score for the prediction of dementia risk in 20 years among middle aged people: a longitudinal, population-based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 NEUROLOGY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10.1016/S1474-4422(06)70537-3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Frenkel, WJ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Validation of the Charlson Comorbidity Index in Acutely Hospitalized Elderly Adults: A Prospective Cohort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THE AMERICAN GERIATRICS SOCIETY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10.1111/jgs.12635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 w:val="restart"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Difference</w:t>
            </w: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Fidler, MM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Cancer incidence and mortality among young adults aged 20-39 years worldwide in 2012: a population-based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 ONCOLOGY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10.1016/S1470-2045(17)30677-0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Klein, S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Sex, age, and hospitalization drive antibody responses in a COVID-19 convalescent plasma donor population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CLINICAL INVESTIGATION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10.1172/JCI142004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Nelson, PT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Limbic-predominant age-related TDP-43 encephalopathy (LATE): consensus working group report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Review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10.1093/brain/awz099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Roche, JJW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Effect of comorbidities and postoperative complications on mortality after hip fracture in elderly people: prospective observational cohort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BMJ-BRITISH MEDICAL JOURNAL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10.1136/bmj.38643.663843.55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Toussie, D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Clinical and Chest Radiography Features Determine Patient Outcomes in Young and Middle-aged Adults with COVID-19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RADIOLOGY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10.1148/radiol.2020201754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Lewington, S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Age-specific relevance of usual blood pressure to vascular mortality: a meta-analysis of individual data for one million adults in 61 prospective studies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6518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10.1016/s0140-6736(02)11911-8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Zaninotto, P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Cognitive function trajectories and their determinants in older people: 8 years of follow-up in the English Longitudinal Study of Ageing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EPIDEMIOLOGY AND COMMUNITY HEALTH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10.1136/jech-2017-210116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Bouhrara, 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Adult brain aging investigated using BMC-mcDESPOT-based myelin water fraction imaging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NEUROBIOLOGY OF AGING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10.1016/j.neurobiolaging.2019.10.003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Jia, LF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Prevalence, risk factors, and management of dementia and mild cognitive impairment in adults aged 60 years or older in China: a cross-sectional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 PUBLIC HEALTH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10.1016/S2468-2667(20)30185-7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Falsey, AR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Respiratory syncytial virus infection in elderly and high-risk adults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NEJM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1191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10.1056/NEJMoa043951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 w:val="restart"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Discussion</w:t>
            </w: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Jia, LF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Prevalence, risk factors, and management of dementia and mild cognitive impairment in adults aged 60 years or older in China: a cross-sectional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LANCET PUBLIC HEALTH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10.1016/S2468-2667(20)30185-7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Martin, DF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Ranibizumab and Bevacizumab for Neovascular Age-Related Macular Degeneration: The CATT Research Group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NEJM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1870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10.1056/NEJMoa1102673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Trief, PM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 comparison of health-related quality of life of elderly and younger insulin-treated adults with diabetes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AGE AND AGEING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10.1093/ageing/afg105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Shearer, WT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Lymphocyte subsets in healthy children from birth through 18 years of age: The pediatric AIDS clinical trials group P1009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ALLERGY AND CLINICAL IMMUNOLOGY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10.1016/j.jaci.2003.07.003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Bosy-Westphal, A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Phase angle from bioelectrical impedance analysis: Population reference values by age, sex, and body mass index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JOURNAL OF PARENTERAL AND ENTERAL NUTRITION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10.1177/0148607106030004309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2008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Hagiwara, A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Validity and reliability of the Physical Activity Scale for the Elderly (PASE) in Japanese elderly people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GERIATRICS &amp; GERONTOLOGY INTERNATIONAL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10.1111/j.1447-0594.2008.00463.x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Dratva, J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Is age at menopause increasing across Europe? Results on age at menopause and determinants from two population-based studies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MENOPAUSE-THE JOURNAL OF THE NORTH AMERICAN </w:t>
            </w: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lastRenderedPageBreak/>
              <w:t>MENOPAUSE SOCIETY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lastRenderedPageBreak/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10.1097/gme.0b013e31818aefef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Tettamanti, M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Prevalence, incidence and types of mild anemia in the elderly: the Health and Anemia population-based study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HAEMATOLOGICA-THE HEMATOLOGY JOURNAL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10.3324/haematol.2010.023101</w:t>
            </w:r>
          </w:p>
        </w:tc>
      </w:tr>
      <w:tr w:rsidR="002058B9" w:rsidRPr="00C76378" w:rsidTr="00F4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Vashist, P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Prevalence of Cataract in an Older Population in India: The India Study of Age-related Eye Disease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OPHTHALMOLOGY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10.1016/j.ophtha.2010.05.020</w:t>
            </w:r>
          </w:p>
        </w:tc>
      </w:tr>
      <w:tr w:rsidR="002058B9" w:rsidRPr="00C76378" w:rsidTr="00F4027F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" w:type="pct"/>
            <w:vMerge/>
            <w:noWrap/>
            <w:hideMark/>
          </w:tcPr>
          <w:p w:rsidR="002058B9" w:rsidRPr="00C76378" w:rsidRDefault="002058B9" w:rsidP="00F4027F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5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532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Guaraldi, G et al.</w:t>
            </w:r>
          </w:p>
        </w:tc>
        <w:tc>
          <w:tcPr>
            <w:tcW w:w="161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Premature Age-Related Comorbidities Among HIV-Infected Persons Compared with the General Population</w:t>
            </w:r>
          </w:p>
        </w:tc>
        <w:tc>
          <w:tcPr>
            <w:tcW w:w="599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CLINICAL INFECTIOUS DISEASES</w:t>
            </w:r>
          </w:p>
        </w:tc>
        <w:tc>
          <w:tcPr>
            <w:tcW w:w="690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Article</w:t>
            </w:r>
          </w:p>
        </w:tc>
        <w:tc>
          <w:tcPr>
            <w:tcW w:w="276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784</w:t>
            </w:r>
          </w:p>
        </w:tc>
        <w:tc>
          <w:tcPr>
            <w:tcW w:w="581" w:type="pct"/>
            <w:noWrap/>
            <w:hideMark/>
          </w:tcPr>
          <w:p w:rsidR="002058B9" w:rsidRPr="00C76378" w:rsidRDefault="002058B9" w:rsidP="00F4027F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76378">
              <w:rPr>
                <w:rFonts w:ascii="Times New Roman" w:eastAsia="DengXian" w:hAnsi="Times New Roman" w:cs="Times New Roman"/>
                <w:sz w:val="20"/>
                <w:szCs w:val="20"/>
              </w:rPr>
              <w:t>10.1093/cid/cir627</w:t>
            </w:r>
          </w:p>
        </w:tc>
      </w:tr>
    </w:tbl>
    <w:p w:rsidR="002058B9" w:rsidRPr="00C76378" w:rsidRDefault="002058B9" w:rsidP="002058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55780" w:rsidRDefault="00755780">
      <w:bookmarkStart w:id="1" w:name="_GoBack"/>
      <w:bookmarkEnd w:id="1"/>
    </w:p>
    <w:sectPr w:rsidR="00755780" w:rsidSect="00C7637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8B9"/>
    <w:rsid w:val="002058B9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32F0A6-CC9C-4AE1-96DE-A2DB2A5E8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8B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058B9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1770</Words>
  <Characters>10091</Characters>
  <Application>Microsoft Office Word</Application>
  <DocSecurity>0</DocSecurity>
  <Lines>84</Lines>
  <Paragraphs>23</Paragraphs>
  <ScaleCrop>false</ScaleCrop>
  <Company>Springer Nature IT</Company>
  <LinksUpToDate>false</LinksUpToDate>
  <CharactersWithSpaces>11838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2022-06-03T12:49:00Z</dcterms:created>
  <dcterms:modified xsi:type="dcterms:W3CDTF">2022-06-03T12:49:00Z</dcterms:modified>
</cp:coreProperties>
</file>