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E63D07" w14:textId="77777777" w:rsidR="007A7D21" w:rsidRDefault="007A7D21" w:rsidP="007A7D21">
      <w:pPr>
        <w:pStyle w:val="Heading1"/>
        <w:jc w:val="both"/>
      </w:pPr>
      <w:r>
        <w:t>Supplementary legends</w:t>
      </w:r>
    </w:p>
    <w:p w14:paraId="23BFFF20" w14:textId="77777777" w:rsidR="007A7D21" w:rsidRDefault="007A7D21" w:rsidP="007A7D21">
      <w:pPr>
        <w:widowControl w:val="0"/>
        <w:jc w:val="both"/>
      </w:pPr>
      <w:r>
        <w:t>Figure S1. Overview of human lung dataset across five locations (a) H&amp;E sections of the deep human tissue biopsies from multiple regions showing all major structures of the lungs and airways. (b) Expression of cell type marker genes in the master cell type groups, from both single cell and single nuclei R</w:t>
      </w:r>
      <w:bookmarkStart w:id="0" w:name="_GoBack"/>
      <w:bookmarkEnd w:id="0"/>
      <w:r>
        <w:t>NA-seq combined. (c) Protein staining of chondrocyte markers in the cartilage of human bronchus from the Human Protein Atlas. (d) Proportion of mesenchyme cell type groups in the airways from cells and nuclei. (e) UMAP of sequencing material (cells or nuclei) and location (trachea, bronchi, parenchyma).  (f) Variance of gene expression explained by metadata variables in the combined sc/snRNA-seq dataset, scRNA-seq and snRNA-seq datasets.</w:t>
      </w:r>
    </w:p>
    <w:p w14:paraId="17AB3057" w14:textId="77777777" w:rsidR="007A7D21" w:rsidRDefault="007A7D21" w:rsidP="007A7D21">
      <w:pPr>
        <w:widowControl w:val="0"/>
        <w:jc w:val="both"/>
      </w:pPr>
    </w:p>
    <w:p w14:paraId="1D6A388C" w14:textId="77777777" w:rsidR="007A7D21" w:rsidRDefault="007A7D21" w:rsidP="007A7D21">
      <w:pPr>
        <w:widowControl w:val="0"/>
        <w:jc w:val="both"/>
      </w:pPr>
      <w:r>
        <w:t>Figure S2. Overview of Spatial Transcriptomics slides used in the study. H&amp;E staining as well as the number of UMI counts per spot are visualised for each section. RNA-seq sample names match those in Supplementary Table 3.</w:t>
      </w:r>
    </w:p>
    <w:p w14:paraId="0F081C84" w14:textId="77777777" w:rsidR="007A7D21" w:rsidRDefault="007A7D21" w:rsidP="007A7D21">
      <w:pPr>
        <w:jc w:val="both"/>
      </w:pPr>
    </w:p>
    <w:p w14:paraId="453ABCA2" w14:textId="77777777" w:rsidR="007A7D21" w:rsidRDefault="007A7D21" w:rsidP="007A7D21">
      <w:pPr>
        <w:jc w:val="both"/>
      </w:pPr>
      <w:r>
        <w:t>Figure S3: Novel fibroblast subsets. (a) Dot plot of marker gene expression for indicated cell types. (b) UMAP of location and sequencing material from fibroblasts. (c) Heatmap showing annotated cell types to the predicted labels for fibroblasts from Travaglini et al. (Travaglini et al. 2020) by the Azimuth tool, coloured by proportion. Labels by the proportion of annotated cells and the total number of cells mapping to the reference. (d) Violin plots with predicted annotation score for each of the annotated cell types to the reference. Small dots represent cells, circles represent mean values and bars show standard deviation. (e) Dot plot showing the cell type cross-validation by transferring cell type labels from our dataset (row) to cell types from Travaglini et al. 2020 (column). For each column (each cell type from the Travaglini et al. 2020), size of a dot denotes the proportion of cells assigned to a given cell type in our dataset and colour denotes the average probability. Rectangles mark the airway-enriched cell types.</w:t>
      </w:r>
    </w:p>
    <w:p w14:paraId="79637408" w14:textId="77777777" w:rsidR="007A7D21" w:rsidRDefault="007A7D21" w:rsidP="007A7D21">
      <w:pPr>
        <w:widowControl w:val="0"/>
        <w:spacing w:line="240" w:lineRule="auto"/>
        <w:jc w:val="both"/>
      </w:pPr>
    </w:p>
    <w:p w14:paraId="7767474C" w14:textId="77777777" w:rsidR="007A7D21" w:rsidRDefault="007A7D21" w:rsidP="007A7D21">
      <w:pPr>
        <w:jc w:val="both"/>
      </w:pPr>
      <w:r>
        <w:t>Figure S4: Validation of immune recruiting fibroblasts and their tissue localisation. (a) smFISH staining in human bronchi tissue for IR-Fibro markers (CCL21, CCL19) showing independent localisation from immune cells (PTPR) and smooth muscle cells (ACTA2).  (b) H&amp;E staining on Visium ST with manually annotated immune infiltrate in blue. Cell2location mapping density scores with zoom into the region of interest, showing density values for IR-Fibro and relevant immune cells from the current lung study as well as for germinal center cell types from a gut dataset</w:t>
      </w:r>
      <w:hyperlink r:id="rId4">
        <w:r>
          <w:rPr>
            <w:color w:val="000000"/>
            <w:vertAlign w:val="superscript"/>
          </w:rPr>
          <w:t>34</w:t>
        </w:r>
      </w:hyperlink>
      <w:r>
        <w:t>. Dashed lines are added for better visual comparison between the cell types and regions.</w:t>
      </w:r>
    </w:p>
    <w:p w14:paraId="50271A21" w14:textId="77777777" w:rsidR="007A7D21" w:rsidRDefault="007A7D21" w:rsidP="007A7D21">
      <w:pPr>
        <w:jc w:val="both"/>
      </w:pPr>
    </w:p>
    <w:p w14:paraId="07225702" w14:textId="77777777" w:rsidR="007A7D21" w:rsidRDefault="007A7D21" w:rsidP="007A7D21">
      <w:pPr>
        <w:jc w:val="both"/>
      </w:pPr>
      <w:r>
        <w:t>Figure S5: Peribronchial and perichondrial fibroblasts. (a) Protein staining of PB-Fibro markers (COL15A and ENTPD1) in human bronchus sections from the Human Protein Atlas. (b) Marker genes for PB-fibro and PC-fibro. (c) Protein staining of PC-Fibro marker (COL12A1) in human bronchus from the Human Protein Atlas mapping to cartilage. (d) UMAP of adventitial fibroblasts, PC-fibro and chondrocytes from single nuclei data coloured by monocle 3 pseudotime and cell type. (e) Expression of genes associated with bone/cartilage function, markers of PC-fibro and cartilage genes in the nuclei as shown on (d), ordered by pseudotime. (f) PC-fibro marker gene enrichment in Human Phenotype Ontology by g:Profiler.</w:t>
      </w:r>
    </w:p>
    <w:p w14:paraId="4B70943C" w14:textId="77777777" w:rsidR="007A7D21" w:rsidRDefault="007A7D21" w:rsidP="007A7D21">
      <w:pPr>
        <w:jc w:val="both"/>
      </w:pPr>
    </w:p>
    <w:p w14:paraId="38F39797" w14:textId="77777777" w:rsidR="007A7D21" w:rsidRDefault="007A7D21" w:rsidP="007A7D21">
      <w:pPr>
        <w:widowControl w:val="0"/>
        <w:spacing w:line="240" w:lineRule="auto"/>
        <w:jc w:val="both"/>
      </w:pPr>
      <w:r>
        <w:t xml:space="preserve">Figure S6. Schwann cells and nerve-associated fibroblasts (NAF). (a) Marker dot plot for myelinating, non-myelinating Schwann cells and for epi- and endoneurial NAF-s. (b) g:Profiler enrichment results for myelinating Schwann cell markers with detailed results for myelination and transcription factor EVX1. </w:t>
      </w:r>
      <w:r w:rsidRPr="007A7D21">
        <w:rPr>
          <w:lang w:val="nb-NO"/>
        </w:rPr>
        <w:t xml:space="preserve">(c) g:Profiler enrichment results for non-myelinating Schwann cell markers. </w:t>
      </w:r>
      <w:r>
        <w:t xml:space="preserve">(d) Expression in Transcript per million (TPM) of NAF markers in GTEx bulk RNA-seq data. (e) Visium ST H&amp;E staining of human bronchi, with enlarged nerve bundle and Cell2location cell type mapping density scores for Schwann and NAF cell types. (f-h) Human Protein Atlas antibody staining of (f) non-myelinating Schwann cell markers (CADM, GRIK2, NCAM1, ITGB4 and L1CAM) (g) endoneurial NAF marker (USP54) and (h) perineurial NAF markers (SLC22A3 and SORBS1) within the nerve bundles in human bronchus. Arrows indicate nerve bundles. (i) RNAscope staining for myelinating (MLIP) and non-myelinating (SCN7A, SOX10) Schwann cell and perineurial (SLC2A1) NAF specific genes in bronchial nerves. (j) Expression of neuropathy associated genes in Schwann and NAF cell types. Previously unknown cell type specific expression shown in colour: light green for novel expression pattern, light blue for distinguishing expression for nmSchwann cells. </w:t>
      </w:r>
    </w:p>
    <w:p w14:paraId="740B54DE" w14:textId="77777777" w:rsidR="007A7D21" w:rsidRDefault="007A7D21" w:rsidP="007A7D21">
      <w:pPr>
        <w:widowControl w:val="0"/>
        <w:spacing w:line="240" w:lineRule="auto"/>
        <w:jc w:val="both"/>
      </w:pPr>
    </w:p>
    <w:p w14:paraId="71C3C0C1" w14:textId="77777777" w:rsidR="007A7D21" w:rsidRDefault="007A7D21" w:rsidP="007A7D21">
      <w:pPr>
        <w:widowControl w:val="0"/>
        <w:spacing w:line="240" w:lineRule="auto"/>
        <w:jc w:val="both"/>
      </w:pPr>
      <w:r>
        <w:t>Figure S7. Vascular and smooth muscle cell types. (a) Markers dot plot for vascular endothelia. (b) Bronchi section with H&amp;E and Cell2location analysis density score for airway smooth muscle population on a Visium ST slide. (c) NPR2 staining in oesophagus and bronchus from the Human Protein Atlas. Black arrows indicate the airway and oesophagus surrounding non-vascular smooth muscle. (d) ASM marker expression in all GTEX tissues. Tissues are ordered by unsupervised clustering based on expression similarity. The dotted line highlights tissues which are surrounded by a thick smooth muscle layer. The orange rectangle shows muscular tissues from oesophagus, and the blue rectangle shows the non-muscular mucous layer of oesophagus tissue. (e) Cell2location density scores of pulmonary and vascular endothelium for parenchyma and bronchi Visium ST sections. (f) IR-Ven-peri markers localise at the venous vessels in the airway. smFISH staining for IR-Ven-peri (CCL21, CCL19), venous endothelia (ACKR1) and smooth muscle (ACTA2) markers. (g) Leukocyte rolling and homing genes, and chemokines expressed in Endothelia and SM/Perivascular cells together with their interaction partners expression in immune cell groups. Interaction partners are indicated with blue shades.</w:t>
      </w:r>
    </w:p>
    <w:p w14:paraId="7DC6B2E8" w14:textId="77777777" w:rsidR="007A7D21" w:rsidRDefault="007A7D21" w:rsidP="007A7D21">
      <w:pPr>
        <w:widowControl w:val="0"/>
        <w:spacing w:line="240" w:lineRule="auto"/>
        <w:jc w:val="both"/>
      </w:pPr>
    </w:p>
    <w:p w14:paraId="4ACA65CB" w14:textId="77777777" w:rsidR="007A7D21" w:rsidRDefault="007A7D21" w:rsidP="007A7D21">
      <w:pPr>
        <w:jc w:val="both"/>
      </w:pPr>
      <w:r>
        <w:t xml:space="preserve">Figure S8. Epithelial cell annotations and location specific ciliated cell gene expression. (a) Marker gene expression dot plot for airway epithelial cells. (b) UMAP of airway epithelial cells from scRNA-seq data. (c) RNA velocity results on UMAP plot for single cells from airway epithelia, with colours indicating cell types as in (b). (d) Cell type proportion analysis with fold changes and Local True Sign Rate (LTRS) score for all cell type groups with regards to location, donor, sequencing material and dissociation protocol. (e) smFISH staining for mucous (MUC5B), serous (LPO) and duct (MIA / ALDH1A3 / RARRES1) cell markers in human bronchus section. (f) smFISH staining of secretory goblet/club (SCGB1A1), ciliated (FOXJ1) and duct (ALDH1A3 / RARRES1) cells in human bronchus section. (g) Visium ST H&amp;E from bronchial section and Cell2location density values for mapping duct, mucous, serous, ciliated and myoepithelial cells. (h) smFISH staining for muscle (TAGLN), basal epithelia (KRT14), duct (ALDH1A3) and myoepithelium (FHOD3) cell type markers in human bronchus section. (i) Human Protein Atlas staining for muscle and epithelial marker proteins in the glands of the human bronchus section. (j) Marker gene expression dot plot with myoepithelial marker genes. (k) Linear mixed model analysis revealed 80 differentially expressed genes in ciliated cells between trachea and other locations (bronchi and parenchyma). Violin plots of normalised log-transformed expression separated by location in </w:t>
      </w:r>
      <w:r>
        <w:lastRenderedPageBreak/>
        <w:t xml:space="preserve">the single nuclei RNA-seq data for three representative genes upregulated in nasopharyngeal carcinoma gene set from GSEA database with LTSR&gt;0.9 consistently higher expressed in the trachea. (l) SARS-CoV-2 receptor and viral entry gene expression in airway epithelial cells, with expression levels of ACE-2 in the ciliated cells from snRNA-seq data shown by location in a violin plot. </w:t>
      </w:r>
    </w:p>
    <w:p w14:paraId="51AFEBCB" w14:textId="77777777" w:rsidR="007A7D21" w:rsidRDefault="007A7D21" w:rsidP="007A7D21">
      <w:pPr>
        <w:jc w:val="both"/>
      </w:pPr>
    </w:p>
    <w:p w14:paraId="64F5BCC9" w14:textId="77777777" w:rsidR="007A7D21" w:rsidRDefault="007A7D21" w:rsidP="007A7D21">
      <w:pPr>
        <w:widowControl w:val="0"/>
        <w:spacing w:line="240" w:lineRule="auto"/>
        <w:jc w:val="both"/>
      </w:pPr>
      <w:r>
        <w:t>Figure S9. Immune cell type groups. (a) Marker genes dot plot for myeloid cells. (b) Marker genes dot plot for T &amp; NK cells. (c) UMAP for Megakaryocytes and Mast cells along with marker gene expression dot plot. (d) Cell2Location density scores for CD8-TRM, Ciliated and CD8-EM cell types in human bronchi sections and corresponding H&amp;E. (e) Fraction of clonally expanded cells in T &amp; NKT cell types from VDJ data. (f) Proportion of shared TCR clonotypes between samples from VDJ data. colour bars indicate location and donor. (g-i) Effect of location, donor, material and protocol on immune cell type proportions. Cell type proportion analysis with fold changes and Local True Sign Rate (LTRS) score for myeloid cell types (g), T &amp; NK cell types (h) and B lineage cell types (i). (j) Marker gene expression dot plot for B-lineage cells. (k) Gene expression dot plot for top differentially expressed genes between IgA and IgG plasma cells. (l) Number of B lineage cells with different Ig isotypes in parenchyma from the analysis of VDJ amplified libraries.</w:t>
      </w:r>
    </w:p>
    <w:p w14:paraId="42585664" w14:textId="77777777" w:rsidR="007A7D21" w:rsidRDefault="007A7D21" w:rsidP="007A7D21">
      <w:pPr>
        <w:widowControl w:val="0"/>
        <w:spacing w:line="240" w:lineRule="auto"/>
        <w:jc w:val="both"/>
      </w:pPr>
    </w:p>
    <w:p w14:paraId="51F71F55" w14:textId="77777777" w:rsidR="007A7D21" w:rsidRDefault="007A7D21" w:rsidP="007A7D21">
      <w:pPr>
        <w:widowControl w:val="0"/>
        <w:spacing w:line="240" w:lineRule="auto"/>
        <w:jc w:val="both"/>
      </w:pPr>
      <w:r>
        <w:t xml:space="preserve">Figure S10. Additional gland associated immune niche data. (a)  Human Protein Atlas staining for B plasma marker MZB1 in the bronchus (a) and nasopharyngeal glands (b). (c) An example of FFPE Visium slide region with mucous and non-mucous glands annotated per voxel, and enrichment of cell types by Cell2Location in the micro-anatomical tissue environments across FFPE sections. (d) Multiplex IHC of human trachea for Ig isotypes showing distinction between glands (dashed lines) and non-gland regions of tissue. (e) Expression dot plot of relevant ligands and corresponding receptors as shown in Figure 5h. (f) smFISH (CCL28) plus IHC (IgA2) staining in submucosal glands of trachea and bronchi (top panels) and representative image of IHC staining of CCL28 and IgA2 in airway submucosal glands (lower panels) (g) Gene expression dot plot from sc/snRNAseq showing expression of </w:t>
      </w:r>
      <w:r>
        <w:rPr>
          <w:i/>
        </w:rPr>
        <w:t>TNFSF13</w:t>
      </w:r>
      <w:r>
        <w:t xml:space="preserve">, </w:t>
      </w:r>
      <w:r>
        <w:rPr>
          <w:i/>
        </w:rPr>
        <w:t>IL-6</w:t>
      </w:r>
      <w:r>
        <w:t xml:space="preserve"> and </w:t>
      </w:r>
      <w:r>
        <w:rPr>
          <w:i/>
        </w:rPr>
        <w:t>CCL28</w:t>
      </w:r>
      <w:r>
        <w:t xml:space="preserve"> along the tracheobronchial tree. (h) smFISH on the human trachea with DAPI, </w:t>
      </w:r>
      <w:r>
        <w:rPr>
          <w:i/>
        </w:rPr>
        <w:t>TNFSF13</w:t>
      </w:r>
      <w:r>
        <w:t xml:space="preserve">/APRIL, </w:t>
      </w:r>
      <w:r>
        <w:rPr>
          <w:i/>
        </w:rPr>
        <w:t xml:space="preserve">RARRES1 </w:t>
      </w:r>
      <w:r>
        <w:t>and</w:t>
      </w:r>
      <w:r>
        <w:rPr>
          <w:i/>
        </w:rPr>
        <w:t xml:space="preserve"> LPO. </w:t>
      </w:r>
      <w:r>
        <w:t>Dashed lines show regions of duct, mucous and serous glands. (i) smFISH (</w:t>
      </w:r>
      <w:r>
        <w:rPr>
          <w:i/>
        </w:rPr>
        <w:t>TNFSF13</w:t>
      </w:r>
      <w:r>
        <w:t xml:space="preserve">/APRIL, and </w:t>
      </w:r>
      <w:r>
        <w:rPr>
          <w:i/>
        </w:rPr>
        <w:t>CD79A</w:t>
      </w:r>
      <w:r>
        <w:t>)</w:t>
      </w:r>
      <w:r>
        <w:rPr>
          <w:i/>
        </w:rPr>
        <w:t xml:space="preserve"> </w:t>
      </w:r>
      <w:r>
        <w:t>and IHC (IgA2) of human tracheal SMG</w:t>
      </w:r>
      <w:r>
        <w:rPr>
          <w:i/>
        </w:rPr>
        <w:t xml:space="preserve">. </w:t>
      </w:r>
      <w:r>
        <w:t>APRIL</w:t>
      </w:r>
      <w:r>
        <w:rPr>
          <w:i/>
        </w:rPr>
        <w:t xml:space="preserve">+ </w:t>
      </w:r>
      <w:r>
        <w:t xml:space="preserve">glands shows localisation of </w:t>
      </w:r>
      <w:r>
        <w:rPr>
          <w:i/>
        </w:rPr>
        <w:t xml:space="preserve">CD79A+ </w:t>
      </w:r>
      <w:r>
        <w:t>(mature B) and IgA2+ (IgA plasma) cells within APRIL high regions of glands, while APRIL- glands shows areas within the same trachea section with low APRIL expression and very few B/plasma cells. (j)</w:t>
      </w:r>
      <w:r>
        <w:rPr>
          <w:i/>
        </w:rPr>
        <w:t xml:space="preserve"> </w:t>
      </w:r>
      <w:r>
        <w:t>Violin plot for expression of AICDA in B cell subsets. (k) IHC from the Human Protein Atlas showing HLA-DR, MUC5B and PRR4 staining with HLA-DR+ regions corresponding with non-mucous areas of gland. (l) smFISH (MUC5B) plus IHC (HLA-DR) staining in human airway SMG. (m) IHC staining of CD4, CD45RO (memory marker), CD45RA (naive marker), IgA2 and EpCAM in the SMG showing presence of majority memory CD4 T cells. Blue arrows indicate CD4+CD45RA+ cells. (n) IHC staining of HLA-DR, EpCAM, CD3, CD31 and CD4 in the airway SMG showing localisation of CD4+ T cells in the HLA-DR+ regions of gland. Arrows point to CD3+CD4+ cells. (o) IHC staining of CD4, CD45RO, HLA-DR and EpCAM in the airway SMG showing close interactions between CD4+CD45RO+ T cells with HLA-DR+ glands. Arrows point to CD4+CD45RO+ cells.</w:t>
      </w:r>
    </w:p>
    <w:p w14:paraId="1079D407" w14:textId="77777777" w:rsidR="007A7D21" w:rsidRDefault="007A7D21" w:rsidP="007A7D21">
      <w:pPr>
        <w:widowControl w:val="0"/>
        <w:spacing w:line="240" w:lineRule="auto"/>
        <w:jc w:val="both"/>
      </w:pPr>
    </w:p>
    <w:p w14:paraId="24D6CB53" w14:textId="77777777" w:rsidR="007A7D21" w:rsidRDefault="007A7D21"/>
    <w:sectPr w:rsidR="007A7D21" w:rsidSect="001A02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7D21"/>
    <w:rsid w:val="001A02A0"/>
    <w:rsid w:val="007A7D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F0DEA4"/>
  <w15:chartTrackingRefBased/>
  <w15:docId w15:val="{073BE2CC-021F-7C4A-999A-71B2920844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A7D21"/>
    <w:pPr>
      <w:spacing w:line="276" w:lineRule="auto"/>
    </w:pPr>
    <w:rPr>
      <w:rFonts w:ascii="Arial" w:eastAsia="Arial" w:hAnsi="Arial" w:cs="Arial"/>
      <w:sz w:val="22"/>
      <w:szCs w:val="22"/>
      <w:lang w:val="en-GB"/>
    </w:rPr>
  </w:style>
  <w:style w:type="paragraph" w:styleId="Heading1">
    <w:name w:val="heading 1"/>
    <w:basedOn w:val="Normal"/>
    <w:next w:val="Normal"/>
    <w:link w:val="Heading1Char"/>
    <w:uiPriority w:val="9"/>
    <w:qFormat/>
    <w:rsid w:val="007A7D21"/>
    <w:pPr>
      <w:keepNext/>
      <w:keepLines/>
      <w:spacing w:before="400" w:after="120"/>
      <w:outlineLvl w:val="0"/>
    </w:pPr>
    <w:rPr>
      <w:sz w:val="40"/>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7D21"/>
    <w:rPr>
      <w:rFonts w:ascii="Arial" w:eastAsia="Arial" w:hAnsi="Arial" w:cs="Arial"/>
      <w:sz w:val="40"/>
      <w:szCs w:val="4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paperpile.com/c/uW1uOL/xlvp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1674</Words>
  <Characters>9543</Characters>
  <Application>Microsoft Office Word</Application>
  <DocSecurity>0</DocSecurity>
  <Lines>79</Lines>
  <Paragraphs>22</Paragraphs>
  <ScaleCrop>false</ScaleCrop>
  <Company/>
  <LinksUpToDate>false</LinksUpToDate>
  <CharactersWithSpaces>11195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2022-05-20T14:04:00Z</dcterms:created>
  <dcterms:modified xsi:type="dcterms:W3CDTF">2022-05-20T14:05:00Z</dcterms:modified>
</cp:coreProperties>
</file>