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F2E7" w14:textId="624F583F" w:rsidR="00123724" w:rsidRPr="00D1430D" w:rsidRDefault="00D1430D" w:rsidP="00B91E6E">
      <w:pPr>
        <w:adjustRightInd w:val="0"/>
        <w:snapToGrid w:val="0"/>
        <w:contextualSpacing/>
        <w:outlineLvl w:val="0"/>
        <w:rPr>
          <w:rFonts w:ascii="Calibri" w:hAnsi="Calibri" w:cs="Calibri"/>
          <w:b/>
          <w:bCs/>
          <w:sz w:val="32"/>
          <w:szCs w:val="32"/>
        </w:rPr>
      </w:pPr>
      <w:r w:rsidRPr="00D1430D">
        <w:rPr>
          <w:rFonts w:ascii="Calibri" w:hAnsi="Calibri" w:cs="Calibri" w:hint="eastAsia"/>
          <w:b/>
          <w:bCs/>
          <w:sz w:val="32"/>
          <w:szCs w:val="32"/>
        </w:rPr>
        <w:t>S</w:t>
      </w:r>
      <w:r w:rsidRPr="00D1430D">
        <w:rPr>
          <w:rFonts w:ascii="Calibri" w:hAnsi="Calibri" w:cs="Calibri"/>
          <w:b/>
          <w:bCs/>
          <w:sz w:val="32"/>
          <w:szCs w:val="32"/>
        </w:rPr>
        <w:t>upplementary Methods</w:t>
      </w:r>
    </w:p>
    <w:p w14:paraId="41B27191" w14:textId="03B63A58" w:rsidR="00B91E6E" w:rsidRPr="00123724" w:rsidRDefault="00B91E6E" w:rsidP="00B91E6E">
      <w:pPr>
        <w:adjustRightInd w:val="0"/>
        <w:snapToGrid w:val="0"/>
        <w:contextualSpacing/>
        <w:outlineLvl w:val="0"/>
        <w:rPr>
          <w:rFonts w:ascii="Calibri" w:hAnsi="Calibri" w:cs="Calibri"/>
          <w:b/>
          <w:bCs/>
          <w:szCs w:val="21"/>
        </w:rPr>
      </w:pPr>
      <w:r w:rsidRPr="00123724">
        <w:rPr>
          <w:rFonts w:ascii="Calibri" w:hAnsi="Calibri" w:cs="Calibri"/>
          <w:b/>
          <w:bCs/>
          <w:szCs w:val="21"/>
        </w:rPr>
        <w:t>Sample collection</w:t>
      </w:r>
    </w:p>
    <w:p w14:paraId="75BB90F4" w14:textId="77777777" w:rsidR="00B91E6E" w:rsidRPr="00123724" w:rsidRDefault="00B91E6E" w:rsidP="00B91E6E">
      <w:pPr>
        <w:adjustRightInd w:val="0"/>
        <w:snapToGrid w:val="0"/>
        <w:contextualSpacing/>
        <w:outlineLvl w:val="0"/>
        <w:rPr>
          <w:rFonts w:ascii="Calibri" w:hAnsi="Calibri" w:cs="Calibri"/>
          <w:szCs w:val="21"/>
        </w:rPr>
      </w:pPr>
      <w:r w:rsidRPr="00123724">
        <w:rPr>
          <w:rFonts w:ascii="Calibri" w:hAnsi="Calibri" w:cs="Calibri"/>
          <w:szCs w:val="21"/>
        </w:rPr>
        <w:t>Venous blood samples were collected in EDTA anticoagulant polypropylene tubes from all the participants. Blood samples were centrifuged for 20 min at 10,000 rpm (16211 g) for serum separation. Serum samples were stored at −80 °C prior to the assay. Repeated freeze–thaw cycles were avoided.</w:t>
      </w:r>
    </w:p>
    <w:p w14:paraId="37B4D335" w14:textId="77777777" w:rsidR="00B91E6E" w:rsidRPr="00123724" w:rsidRDefault="00B91E6E" w:rsidP="00B91E6E">
      <w:pPr>
        <w:adjustRightInd w:val="0"/>
        <w:snapToGrid w:val="0"/>
        <w:contextualSpacing/>
        <w:outlineLvl w:val="0"/>
        <w:rPr>
          <w:rFonts w:ascii="Calibri" w:hAnsi="Calibri" w:cs="Calibri"/>
          <w:b/>
          <w:bCs/>
          <w:szCs w:val="21"/>
        </w:rPr>
      </w:pPr>
      <w:r w:rsidRPr="00123724">
        <w:rPr>
          <w:rFonts w:ascii="Calibri" w:hAnsi="Calibri" w:cs="Calibri"/>
          <w:b/>
          <w:bCs/>
          <w:szCs w:val="21"/>
        </w:rPr>
        <w:t>Removal of high abundant proteins</w:t>
      </w:r>
    </w:p>
    <w:p w14:paraId="2F1767C1" w14:textId="77777777" w:rsidR="00B91E6E" w:rsidRPr="00123724" w:rsidRDefault="00B91E6E" w:rsidP="00B91E6E">
      <w:pPr>
        <w:adjustRightInd w:val="0"/>
        <w:snapToGrid w:val="0"/>
        <w:contextualSpacing/>
        <w:outlineLvl w:val="0"/>
        <w:rPr>
          <w:rFonts w:ascii="Calibri" w:hAnsi="Calibri" w:cs="Calibri"/>
          <w:szCs w:val="21"/>
        </w:rPr>
      </w:pPr>
      <w:r w:rsidRPr="00123724">
        <w:rPr>
          <w:rFonts w:ascii="Calibri" w:hAnsi="Calibri" w:cs="Calibri"/>
          <w:szCs w:val="21"/>
        </w:rPr>
        <w:t>The most abundant proteins in serum samples were removed by Agilent Human 14 Multiple Affinity Removal System Column following the manufacturer’s protocol (Agilent Technologies). Then these samples were quantified with the BCA Protein Assay Kit (Bio-Rad, USA). Proteins were digested into peptides by filter-aided sample preparation (FASP digestion). The peptide content was estimated by UV light spectral density at 280 nm. Protein normalization was confirmed using 12.5% sodium dodecyl sulfate polyacrylamide gel electrophoresis (SDS-PAGE).</w:t>
      </w:r>
    </w:p>
    <w:p w14:paraId="2FF4263D" w14:textId="77777777" w:rsidR="00B91E6E" w:rsidRPr="00123724" w:rsidRDefault="00B91E6E" w:rsidP="00B91E6E">
      <w:pPr>
        <w:adjustRightInd w:val="0"/>
        <w:snapToGrid w:val="0"/>
        <w:contextualSpacing/>
        <w:outlineLvl w:val="0"/>
        <w:rPr>
          <w:rFonts w:ascii="Calibri" w:hAnsi="Calibri" w:cs="Calibri"/>
          <w:b/>
          <w:bCs/>
          <w:szCs w:val="21"/>
        </w:rPr>
      </w:pPr>
      <w:proofErr w:type="spellStart"/>
      <w:r w:rsidRPr="00123724">
        <w:rPr>
          <w:rFonts w:ascii="Calibri" w:hAnsi="Calibri" w:cs="Calibri"/>
          <w:b/>
          <w:bCs/>
          <w:szCs w:val="21"/>
        </w:rPr>
        <w:t>iTRAQ</w:t>
      </w:r>
      <w:proofErr w:type="spellEnd"/>
      <w:r w:rsidRPr="00123724">
        <w:rPr>
          <w:rFonts w:ascii="Calibri" w:hAnsi="Calibri" w:cs="Calibri"/>
          <w:b/>
          <w:bCs/>
          <w:szCs w:val="21"/>
        </w:rPr>
        <w:t xml:space="preserve"> labeling and SCX-based fractionation</w:t>
      </w:r>
    </w:p>
    <w:p w14:paraId="446BC4CE" w14:textId="4F607157" w:rsidR="00B91E6E" w:rsidRPr="00123724" w:rsidRDefault="00B91E6E" w:rsidP="00B91E6E">
      <w:pPr>
        <w:adjustRightInd w:val="0"/>
        <w:snapToGrid w:val="0"/>
        <w:contextualSpacing/>
        <w:outlineLvl w:val="0"/>
        <w:rPr>
          <w:rFonts w:ascii="Calibri" w:hAnsi="Calibri" w:cs="Calibri"/>
          <w:szCs w:val="21"/>
        </w:rPr>
      </w:pPr>
      <w:r w:rsidRPr="00123724">
        <w:rPr>
          <w:rFonts w:ascii="Calibri" w:hAnsi="Calibri" w:cs="Calibri"/>
          <w:szCs w:val="21"/>
        </w:rPr>
        <w:t xml:space="preserve">Protein digestion was performed according to the filter-aided sample preparation procedure described by </w:t>
      </w:r>
      <w:proofErr w:type="spellStart"/>
      <w:r w:rsidRPr="00123724">
        <w:rPr>
          <w:rFonts w:ascii="Calibri" w:hAnsi="Calibri" w:cs="Calibri"/>
          <w:szCs w:val="21"/>
        </w:rPr>
        <w:t>Wisniewsdki</w:t>
      </w:r>
      <w:proofErr w:type="spellEnd"/>
      <w:r w:rsidRPr="00123724">
        <w:rPr>
          <w:rFonts w:ascii="Calibri" w:hAnsi="Calibri" w:cs="Calibri"/>
          <w:szCs w:val="21"/>
        </w:rPr>
        <w:t xml:space="preserve"> et al</w:t>
      </w:r>
      <w:r w:rsidRPr="00123724">
        <w:rPr>
          <w:rFonts w:ascii="Calibri" w:hAnsi="Calibri" w:cs="Calibri"/>
          <w:szCs w:val="21"/>
        </w:rPr>
        <w:fldChar w:fldCharType="begin">
          <w:fldData xml:space="preserve">PEVuZE5vdGU+PENpdGU+PEF1dGhvcj5XaXNuaWV3c2tpPC9BdXRob3I+PFllYXI+MjAwOTwvWWVh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</w:fldData>
        </w:fldChar>
      </w:r>
      <w:r w:rsidRPr="00123724">
        <w:rPr>
          <w:rFonts w:ascii="Calibri" w:hAnsi="Calibri" w:cs="Calibri"/>
          <w:szCs w:val="21"/>
        </w:rPr>
        <w:instrText xml:space="preserve"> ADDIN EN.CITE </w:instrText>
      </w:r>
      <w:r w:rsidRPr="00123724">
        <w:rPr>
          <w:rFonts w:ascii="Calibri" w:hAnsi="Calibri" w:cs="Calibri"/>
          <w:szCs w:val="21"/>
        </w:rPr>
        <w:fldChar w:fldCharType="begin">
          <w:fldData xml:space="preserve">PEVuZE5vdGU+PENpdGU+PEF1dGhvcj5XaXNuaWV3c2tpPC9BdXRob3I+PFllYXI+MjAwOTwvWWVh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</w:fldData>
        </w:fldChar>
      </w:r>
      <w:r w:rsidRPr="00123724">
        <w:rPr>
          <w:rFonts w:ascii="Calibri" w:hAnsi="Calibri" w:cs="Calibri"/>
          <w:szCs w:val="21"/>
        </w:rPr>
        <w:instrText xml:space="preserve"> ADDIN EN.CITE.DATA </w:instrText>
      </w:r>
      <w:r w:rsidRPr="00123724">
        <w:rPr>
          <w:rFonts w:ascii="Calibri" w:hAnsi="Calibri" w:cs="Calibri"/>
          <w:szCs w:val="21"/>
        </w:rPr>
      </w:r>
      <w:r w:rsidRPr="00123724">
        <w:rPr>
          <w:rFonts w:ascii="Calibri" w:hAnsi="Calibri" w:cs="Calibri"/>
          <w:szCs w:val="21"/>
        </w:rPr>
        <w:fldChar w:fldCharType="end"/>
      </w:r>
      <w:r w:rsidRPr="00123724">
        <w:rPr>
          <w:rFonts w:ascii="Calibri" w:hAnsi="Calibri" w:cs="Calibri"/>
          <w:szCs w:val="21"/>
        </w:rPr>
      </w:r>
      <w:r w:rsidRPr="00123724">
        <w:rPr>
          <w:rFonts w:ascii="Calibri" w:hAnsi="Calibri" w:cs="Calibri"/>
          <w:szCs w:val="21"/>
        </w:rPr>
        <w:fldChar w:fldCharType="separate"/>
      </w:r>
      <w:r w:rsidRPr="00123724">
        <w:rPr>
          <w:rFonts w:ascii="Calibri" w:hAnsi="Calibri" w:cs="Calibri"/>
          <w:noProof/>
          <w:szCs w:val="21"/>
        </w:rPr>
        <w:t>(Wisniewski et al., 2009)</w:t>
      </w:r>
      <w:r w:rsidRPr="00123724">
        <w:rPr>
          <w:rFonts w:ascii="Calibri" w:hAnsi="Calibri" w:cs="Calibri"/>
          <w:szCs w:val="21"/>
        </w:rPr>
        <w:fldChar w:fldCharType="end"/>
      </w:r>
      <w:r w:rsidRPr="00123724">
        <w:rPr>
          <w:rFonts w:ascii="Calibri" w:hAnsi="Calibri" w:cs="Calibri"/>
          <w:szCs w:val="21"/>
        </w:rPr>
        <w:t>.</w:t>
      </w:r>
    </w:p>
    <w:p w14:paraId="7569FA16" w14:textId="77777777" w:rsidR="00B91E6E" w:rsidRPr="00123724" w:rsidRDefault="00B91E6E" w:rsidP="00B91E6E">
      <w:pPr>
        <w:adjustRightInd w:val="0"/>
        <w:snapToGrid w:val="0"/>
        <w:contextualSpacing/>
        <w:outlineLvl w:val="0"/>
        <w:rPr>
          <w:rFonts w:ascii="Calibri" w:hAnsi="Calibri" w:cs="Calibri"/>
          <w:szCs w:val="21"/>
        </w:rPr>
      </w:pPr>
      <w:r w:rsidRPr="00123724">
        <w:rPr>
          <w:rFonts w:ascii="Calibri" w:hAnsi="Calibri" w:cs="Calibri"/>
          <w:szCs w:val="21"/>
        </w:rPr>
        <w:t xml:space="preserve">After protein digestion, 100 </w:t>
      </w:r>
      <w:proofErr w:type="spellStart"/>
      <w:r w:rsidRPr="00123724">
        <w:rPr>
          <w:rFonts w:ascii="Calibri" w:hAnsi="Calibri" w:cs="Calibri"/>
          <w:szCs w:val="21"/>
        </w:rPr>
        <w:t>μg</w:t>
      </w:r>
      <w:proofErr w:type="spellEnd"/>
      <w:r w:rsidRPr="00123724">
        <w:rPr>
          <w:rFonts w:ascii="Calibri" w:hAnsi="Calibri" w:cs="Calibri"/>
          <w:szCs w:val="21"/>
        </w:rPr>
        <w:t xml:space="preserve"> peptide mixture of each sample was labeled using </w:t>
      </w:r>
      <w:proofErr w:type="spellStart"/>
      <w:r w:rsidRPr="00123724">
        <w:rPr>
          <w:rFonts w:ascii="Calibri" w:hAnsi="Calibri" w:cs="Calibri"/>
          <w:szCs w:val="21"/>
        </w:rPr>
        <w:t>iTRAQ</w:t>
      </w:r>
      <w:proofErr w:type="spellEnd"/>
      <w:r w:rsidRPr="00123724">
        <w:rPr>
          <w:rFonts w:ascii="Calibri" w:hAnsi="Calibri" w:cs="Calibri"/>
          <w:szCs w:val="21"/>
        </w:rPr>
        <w:t xml:space="preserve"> reagent according to the manufacturer’s instructions (Applied Biosystems). </w:t>
      </w:r>
    </w:p>
    <w:p w14:paraId="7DAC035E" w14:textId="77777777" w:rsidR="00B91E6E" w:rsidRPr="00123724" w:rsidRDefault="00B91E6E" w:rsidP="00B91E6E">
      <w:pPr>
        <w:adjustRightInd w:val="0"/>
        <w:snapToGrid w:val="0"/>
        <w:contextualSpacing/>
        <w:outlineLvl w:val="0"/>
        <w:rPr>
          <w:rFonts w:ascii="Calibri" w:hAnsi="Calibri" w:cs="Calibri"/>
          <w:szCs w:val="21"/>
        </w:rPr>
      </w:pPr>
      <w:proofErr w:type="spellStart"/>
      <w:r w:rsidRPr="00123724">
        <w:rPr>
          <w:rFonts w:ascii="Calibri" w:hAnsi="Calibri" w:cs="Calibri"/>
          <w:szCs w:val="21"/>
        </w:rPr>
        <w:t>iTRAQ</w:t>
      </w:r>
      <w:proofErr w:type="spellEnd"/>
      <w:r w:rsidRPr="00123724">
        <w:rPr>
          <w:rFonts w:ascii="Calibri" w:hAnsi="Calibri" w:cs="Calibri"/>
          <w:szCs w:val="21"/>
        </w:rPr>
        <w:t xml:space="preserve"> labeled peptides were fractionated by Strong Cation Exchange (SCX) chromatography using the AKTA Purifier system (GE Healthcare). The dried peptide mixture was reconstituted and acidified using buffer A (10 mM KH2PO4 in 25% of ACN, pH 3.0) and loaded onto a </w:t>
      </w:r>
      <w:proofErr w:type="spellStart"/>
      <w:r w:rsidRPr="00123724">
        <w:rPr>
          <w:rFonts w:ascii="Calibri" w:hAnsi="Calibri" w:cs="Calibri"/>
          <w:szCs w:val="21"/>
        </w:rPr>
        <w:t>PolySULFOETHYL</w:t>
      </w:r>
      <w:proofErr w:type="spellEnd"/>
      <w:r w:rsidRPr="00123724">
        <w:rPr>
          <w:rFonts w:ascii="Calibri" w:hAnsi="Calibri" w:cs="Calibri"/>
          <w:szCs w:val="21"/>
        </w:rPr>
        <w:t xml:space="preserve"> 4.6 x 100 mm column (5 µm, 200 Å, </w:t>
      </w:r>
      <w:proofErr w:type="spellStart"/>
      <w:r w:rsidRPr="00123724">
        <w:rPr>
          <w:rFonts w:ascii="Calibri" w:hAnsi="Calibri" w:cs="Calibri"/>
          <w:szCs w:val="21"/>
        </w:rPr>
        <w:t>PolyLC</w:t>
      </w:r>
      <w:proofErr w:type="spellEnd"/>
      <w:r w:rsidRPr="00123724">
        <w:rPr>
          <w:rFonts w:ascii="Calibri" w:hAnsi="Calibri" w:cs="Calibri"/>
          <w:szCs w:val="21"/>
        </w:rPr>
        <w:t xml:space="preserve"> Inc, Maryland, U.S.A.). The peptides were eluted at a flow rate of 1 ml/min with a gradient of 0%–100% buffer B (500 mM </w:t>
      </w:r>
      <w:proofErr w:type="spellStart"/>
      <w:r w:rsidRPr="00123724">
        <w:rPr>
          <w:rFonts w:ascii="Calibri" w:hAnsi="Calibri" w:cs="Calibri"/>
          <w:szCs w:val="21"/>
        </w:rPr>
        <w:t>KCl</w:t>
      </w:r>
      <w:proofErr w:type="spellEnd"/>
      <w:r w:rsidRPr="00123724">
        <w:rPr>
          <w:rFonts w:ascii="Calibri" w:hAnsi="Calibri" w:cs="Calibri"/>
          <w:szCs w:val="21"/>
        </w:rPr>
        <w:t xml:space="preserve">, 10 mM KH2PO4 in 25% of ACN, pH 3.0) for the 58min. The </w:t>
      </w:r>
      <w:proofErr w:type="spellStart"/>
      <w:r w:rsidRPr="00123724">
        <w:rPr>
          <w:rFonts w:ascii="Calibri" w:hAnsi="Calibri" w:cs="Calibri"/>
          <w:szCs w:val="21"/>
        </w:rPr>
        <w:t>ellution</w:t>
      </w:r>
      <w:proofErr w:type="spellEnd"/>
      <w:r w:rsidRPr="00123724">
        <w:rPr>
          <w:rFonts w:ascii="Calibri" w:hAnsi="Calibri" w:cs="Calibri"/>
          <w:szCs w:val="21"/>
        </w:rPr>
        <w:t xml:space="preserve"> was monitored by absorbance at 214 nm, and fractions were collected for every 1 min. The collected fractions from OCD and Healthy Control group were merged into 3 samples respectively for analysis. Merged samples were separately desalted on C18 Cartridges (</w:t>
      </w:r>
      <w:proofErr w:type="spellStart"/>
      <w:r w:rsidRPr="00123724">
        <w:rPr>
          <w:rFonts w:ascii="Calibri" w:hAnsi="Calibri" w:cs="Calibri"/>
          <w:szCs w:val="21"/>
        </w:rPr>
        <w:t>Empore</w:t>
      </w:r>
      <w:proofErr w:type="spellEnd"/>
      <w:r w:rsidRPr="00123724">
        <w:rPr>
          <w:rFonts w:ascii="Calibri" w:hAnsi="Calibri" w:cs="Calibri"/>
          <w:szCs w:val="21"/>
        </w:rPr>
        <w:t>™ SPE Cartridges C18 (standard density), bed I.D. 7 mm, volume 3 ml, Sigma) and concentrated by vacuum centrifugation.</w:t>
      </w:r>
    </w:p>
    <w:p w14:paraId="4B0A2436" w14:textId="77777777" w:rsidR="00B91E6E" w:rsidRPr="00123724" w:rsidRDefault="00B91E6E" w:rsidP="00B91E6E">
      <w:pPr>
        <w:adjustRightInd w:val="0"/>
        <w:snapToGrid w:val="0"/>
        <w:contextualSpacing/>
        <w:outlineLvl w:val="0"/>
        <w:rPr>
          <w:rFonts w:ascii="Calibri" w:hAnsi="Calibri" w:cs="Calibri"/>
          <w:b/>
          <w:bCs/>
          <w:szCs w:val="21"/>
        </w:rPr>
      </w:pPr>
      <w:r w:rsidRPr="00123724">
        <w:rPr>
          <w:rFonts w:ascii="Calibri" w:hAnsi="Calibri" w:cs="Calibri"/>
          <w:b/>
          <w:bCs/>
          <w:szCs w:val="21"/>
        </w:rPr>
        <w:t>LC-MS/MS analysis</w:t>
      </w:r>
    </w:p>
    <w:p w14:paraId="5F1BF738" w14:textId="77777777" w:rsidR="00B91E6E" w:rsidRPr="00123724" w:rsidRDefault="00B91E6E" w:rsidP="00B91E6E">
      <w:pPr>
        <w:adjustRightInd w:val="0"/>
        <w:snapToGrid w:val="0"/>
        <w:contextualSpacing/>
        <w:outlineLvl w:val="0"/>
        <w:rPr>
          <w:rFonts w:ascii="Calibri" w:hAnsi="Calibri" w:cs="Calibri"/>
          <w:szCs w:val="21"/>
        </w:rPr>
      </w:pPr>
      <w:r w:rsidRPr="00123724">
        <w:rPr>
          <w:rFonts w:ascii="Calibri" w:hAnsi="Calibri" w:cs="Calibri"/>
          <w:szCs w:val="21"/>
        </w:rPr>
        <w:t xml:space="preserve">Each fraction was injected for </w:t>
      </w:r>
      <w:proofErr w:type="spellStart"/>
      <w:r w:rsidRPr="00123724">
        <w:rPr>
          <w:rFonts w:ascii="Calibri" w:hAnsi="Calibri" w:cs="Calibri"/>
          <w:szCs w:val="21"/>
        </w:rPr>
        <w:t>nanoLC</w:t>
      </w:r>
      <w:proofErr w:type="spellEnd"/>
      <w:r w:rsidRPr="00123724">
        <w:rPr>
          <w:rFonts w:ascii="Calibri" w:hAnsi="Calibri" w:cs="Calibri"/>
          <w:szCs w:val="21"/>
        </w:rPr>
        <w:t>-MS/MS analysis. The peptide mixture was loaded onto a reverse phase trap column (</w:t>
      </w:r>
      <w:proofErr w:type="spellStart"/>
      <w:r w:rsidRPr="00123724">
        <w:rPr>
          <w:rFonts w:ascii="Calibri" w:hAnsi="Calibri" w:cs="Calibri"/>
          <w:szCs w:val="21"/>
        </w:rPr>
        <w:t>Thermo</w:t>
      </w:r>
      <w:proofErr w:type="spellEnd"/>
      <w:r w:rsidRPr="00123724">
        <w:rPr>
          <w:rFonts w:ascii="Calibri" w:hAnsi="Calibri" w:cs="Calibri"/>
          <w:szCs w:val="21"/>
        </w:rPr>
        <w:t xml:space="preserve"> Scientific Acclaim PepMap100, 100μm*2cm, </w:t>
      </w:r>
      <w:proofErr w:type="spellStart"/>
      <w:r w:rsidRPr="00123724">
        <w:rPr>
          <w:rFonts w:ascii="Calibri" w:hAnsi="Calibri" w:cs="Calibri"/>
          <w:szCs w:val="21"/>
        </w:rPr>
        <w:t>nanoViper</w:t>
      </w:r>
      <w:proofErr w:type="spellEnd"/>
      <w:r w:rsidRPr="00123724">
        <w:rPr>
          <w:rFonts w:ascii="Calibri" w:hAnsi="Calibri" w:cs="Calibri"/>
          <w:szCs w:val="21"/>
        </w:rPr>
        <w:t xml:space="preserve"> C18) connected to the C18-reversed phase analytical column (</w:t>
      </w:r>
      <w:proofErr w:type="spellStart"/>
      <w:r w:rsidRPr="00123724">
        <w:rPr>
          <w:rFonts w:ascii="Calibri" w:hAnsi="Calibri" w:cs="Calibri"/>
          <w:szCs w:val="21"/>
        </w:rPr>
        <w:t>Thermo</w:t>
      </w:r>
      <w:proofErr w:type="spellEnd"/>
      <w:r w:rsidRPr="00123724">
        <w:rPr>
          <w:rFonts w:ascii="Calibri" w:hAnsi="Calibri" w:cs="Calibri"/>
          <w:szCs w:val="21"/>
        </w:rPr>
        <w:t xml:space="preserve"> Scientific Easy Column, 10 cm long, 75 </w:t>
      </w:r>
      <w:proofErr w:type="spellStart"/>
      <w:r w:rsidRPr="00123724">
        <w:rPr>
          <w:rFonts w:ascii="Calibri" w:hAnsi="Calibri" w:cs="Calibri"/>
          <w:szCs w:val="21"/>
        </w:rPr>
        <w:t>μm</w:t>
      </w:r>
      <w:proofErr w:type="spellEnd"/>
      <w:r w:rsidRPr="00123724">
        <w:rPr>
          <w:rFonts w:ascii="Calibri" w:hAnsi="Calibri" w:cs="Calibri"/>
          <w:szCs w:val="21"/>
        </w:rPr>
        <w:t xml:space="preserve"> inner diameter, 3μm resin) in buffer A (0.1% Formic acid) and separated with a linear gradient of buffer B (84% acetonitrile and 0.1% Formic acid) at a flow rate of 300 </w:t>
      </w:r>
      <w:proofErr w:type="spellStart"/>
      <w:r w:rsidRPr="00123724">
        <w:rPr>
          <w:rFonts w:ascii="Calibri" w:hAnsi="Calibri" w:cs="Calibri"/>
          <w:szCs w:val="21"/>
        </w:rPr>
        <w:t>nl</w:t>
      </w:r>
      <w:proofErr w:type="spellEnd"/>
      <w:r w:rsidRPr="00123724">
        <w:rPr>
          <w:rFonts w:ascii="Calibri" w:hAnsi="Calibri" w:cs="Calibri"/>
          <w:szCs w:val="21"/>
        </w:rPr>
        <w:t xml:space="preserve">/min controlled by </w:t>
      </w:r>
      <w:proofErr w:type="spellStart"/>
      <w:r w:rsidRPr="00123724">
        <w:rPr>
          <w:rFonts w:ascii="Calibri" w:hAnsi="Calibri" w:cs="Calibri"/>
          <w:szCs w:val="21"/>
        </w:rPr>
        <w:t>IntelliFlow</w:t>
      </w:r>
      <w:proofErr w:type="spellEnd"/>
      <w:r w:rsidRPr="00123724">
        <w:rPr>
          <w:rFonts w:ascii="Calibri" w:hAnsi="Calibri" w:cs="Calibri"/>
          <w:szCs w:val="21"/>
        </w:rPr>
        <w:t xml:space="preserve"> technology. </w:t>
      </w:r>
    </w:p>
    <w:p w14:paraId="4EE803BF" w14:textId="77777777" w:rsidR="00B91E6E" w:rsidRPr="00123724" w:rsidRDefault="00B91E6E" w:rsidP="00B91E6E">
      <w:pPr>
        <w:adjustRightInd w:val="0"/>
        <w:snapToGrid w:val="0"/>
        <w:contextualSpacing/>
        <w:outlineLvl w:val="0"/>
        <w:rPr>
          <w:rFonts w:ascii="Calibri" w:hAnsi="Calibri" w:cs="Calibri"/>
          <w:szCs w:val="21"/>
        </w:rPr>
      </w:pPr>
      <w:r w:rsidRPr="00123724">
        <w:rPr>
          <w:rFonts w:ascii="Calibri" w:hAnsi="Calibri" w:cs="Calibri"/>
          <w:szCs w:val="21"/>
        </w:rPr>
        <w:t xml:space="preserve">LC-MS/MS analysis was performed on a Q </w:t>
      </w:r>
      <w:proofErr w:type="spellStart"/>
      <w:r w:rsidRPr="00123724">
        <w:rPr>
          <w:rFonts w:ascii="Calibri" w:hAnsi="Calibri" w:cs="Calibri"/>
          <w:szCs w:val="21"/>
        </w:rPr>
        <w:t>Exactive</w:t>
      </w:r>
      <w:proofErr w:type="spellEnd"/>
      <w:r w:rsidRPr="00123724">
        <w:rPr>
          <w:rFonts w:ascii="Calibri" w:hAnsi="Calibri" w:cs="Calibri"/>
          <w:szCs w:val="21"/>
        </w:rPr>
        <w:t xml:space="preserve"> mass spectrometer (</w:t>
      </w:r>
      <w:proofErr w:type="spellStart"/>
      <w:r w:rsidRPr="00123724">
        <w:rPr>
          <w:rFonts w:ascii="Calibri" w:hAnsi="Calibri" w:cs="Calibri"/>
          <w:szCs w:val="21"/>
        </w:rPr>
        <w:t>Thermo</w:t>
      </w:r>
      <w:proofErr w:type="spellEnd"/>
      <w:r w:rsidRPr="00123724">
        <w:rPr>
          <w:rFonts w:ascii="Calibri" w:hAnsi="Calibri" w:cs="Calibri"/>
          <w:szCs w:val="21"/>
        </w:rPr>
        <w:t xml:space="preserve"> Scientific) that was coupled to Easy </w:t>
      </w:r>
      <w:proofErr w:type="spellStart"/>
      <w:r w:rsidRPr="00123724">
        <w:rPr>
          <w:rFonts w:ascii="Calibri" w:hAnsi="Calibri" w:cs="Calibri"/>
          <w:szCs w:val="21"/>
        </w:rPr>
        <w:t>nLC</w:t>
      </w:r>
      <w:proofErr w:type="spellEnd"/>
      <w:r w:rsidRPr="00123724">
        <w:rPr>
          <w:rFonts w:ascii="Calibri" w:hAnsi="Calibri" w:cs="Calibri"/>
          <w:szCs w:val="21"/>
        </w:rPr>
        <w:t xml:space="preserve"> (</w:t>
      </w:r>
      <w:proofErr w:type="spellStart"/>
      <w:r w:rsidRPr="00123724">
        <w:rPr>
          <w:rFonts w:ascii="Calibri" w:hAnsi="Calibri" w:cs="Calibri"/>
          <w:szCs w:val="21"/>
        </w:rPr>
        <w:t>Proxeon</w:t>
      </w:r>
      <w:proofErr w:type="spellEnd"/>
      <w:r w:rsidRPr="00123724">
        <w:rPr>
          <w:rFonts w:ascii="Calibri" w:hAnsi="Calibri" w:cs="Calibri"/>
          <w:szCs w:val="21"/>
        </w:rPr>
        <w:t xml:space="preserve"> Biosystems, now </w:t>
      </w:r>
      <w:proofErr w:type="spellStart"/>
      <w:r w:rsidRPr="00123724">
        <w:rPr>
          <w:rFonts w:ascii="Calibri" w:hAnsi="Calibri" w:cs="Calibri"/>
          <w:szCs w:val="21"/>
        </w:rPr>
        <w:t>Thermo</w:t>
      </w:r>
      <w:proofErr w:type="spellEnd"/>
      <w:r w:rsidRPr="00123724">
        <w:rPr>
          <w:rFonts w:ascii="Calibri" w:hAnsi="Calibri" w:cs="Calibri"/>
          <w:szCs w:val="21"/>
        </w:rPr>
        <w:t xml:space="preserve"> Fisher Scientific) for 60 min. The mass spectrometer was operated in positive ion mode. MS data was acquired using a data-dependent top10 method dynamically choosing the most abundant precursor ions from the survey scan (300–1800 m/z) for HCD fragmentation. Automatic gain control (AGC) target was set to 3e6, and maximum inject time to 10 </w:t>
      </w:r>
      <w:proofErr w:type="spellStart"/>
      <w:r w:rsidRPr="00123724">
        <w:rPr>
          <w:rFonts w:ascii="Calibri" w:hAnsi="Calibri" w:cs="Calibri"/>
          <w:szCs w:val="21"/>
        </w:rPr>
        <w:t>ms.</w:t>
      </w:r>
      <w:proofErr w:type="spellEnd"/>
      <w:r w:rsidRPr="00123724">
        <w:rPr>
          <w:rFonts w:ascii="Calibri" w:hAnsi="Calibri" w:cs="Calibri"/>
          <w:szCs w:val="21"/>
        </w:rPr>
        <w:t xml:space="preserve"> Dynamic exclusion duration was 40.0 s. Survey scans were acquired at a resolution of 70,000 at m/z 200 and resolution for HCD spectra was set to 17,500 at m/z 200, and isolation width was 2 m/z. Normalized collision energy was 30 eV and the underfill ratio, which specifies the minimum percentage of the target value likely to be reached at maximum fill time, was defined as 0.1%. The instrument was run with peptide recognition mode enabled.</w:t>
      </w:r>
    </w:p>
    <w:p w14:paraId="35E49F83" w14:textId="77777777" w:rsidR="00B91E6E" w:rsidRPr="00123724" w:rsidRDefault="00B91E6E" w:rsidP="00B91E6E">
      <w:pPr>
        <w:adjustRightInd w:val="0"/>
        <w:snapToGrid w:val="0"/>
        <w:contextualSpacing/>
        <w:outlineLvl w:val="0"/>
        <w:rPr>
          <w:rFonts w:ascii="Calibri" w:hAnsi="Calibri" w:cs="Calibri"/>
          <w:b/>
          <w:bCs/>
          <w:szCs w:val="21"/>
        </w:rPr>
      </w:pPr>
      <w:r w:rsidRPr="00123724">
        <w:rPr>
          <w:rFonts w:ascii="Calibri" w:hAnsi="Calibri" w:cs="Calibri"/>
          <w:b/>
          <w:bCs/>
          <w:szCs w:val="21"/>
        </w:rPr>
        <w:t>Data analysis</w:t>
      </w:r>
    </w:p>
    <w:p w14:paraId="0226FE1D" w14:textId="77777777" w:rsidR="00B91E6E" w:rsidRPr="00123724" w:rsidRDefault="00B91E6E" w:rsidP="00B91E6E">
      <w:pPr>
        <w:adjustRightInd w:val="0"/>
        <w:snapToGrid w:val="0"/>
        <w:contextualSpacing/>
        <w:outlineLvl w:val="0"/>
        <w:rPr>
          <w:rFonts w:ascii="Calibri" w:hAnsi="Calibri" w:cs="Calibri"/>
          <w:szCs w:val="21"/>
        </w:rPr>
      </w:pPr>
      <w:bookmarkStart w:id="0" w:name="_Hlk101104613"/>
      <w:r w:rsidRPr="00123724">
        <w:rPr>
          <w:rFonts w:ascii="Calibri" w:hAnsi="Calibri" w:cs="Calibri"/>
          <w:szCs w:val="21"/>
        </w:rPr>
        <w:t xml:space="preserve">MS raw data </w:t>
      </w:r>
      <w:bookmarkEnd w:id="0"/>
      <w:r w:rsidRPr="00123724">
        <w:rPr>
          <w:rFonts w:ascii="Calibri" w:hAnsi="Calibri" w:cs="Calibri"/>
          <w:szCs w:val="21"/>
        </w:rPr>
        <w:t xml:space="preserve">was analyzed by Proteome Discoverer 1.4 and its embedded MASCOT engine (Matrix Science, London, UK; version 2.2). The database was </w:t>
      </w:r>
      <w:proofErr w:type="spellStart"/>
      <w:r w:rsidRPr="00123724">
        <w:rPr>
          <w:rFonts w:ascii="Calibri" w:hAnsi="Calibri" w:cs="Calibri"/>
          <w:szCs w:val="21"/>
        </w:rPr>
        <w:t>Uniprot</w:t>
      </w:r>
      <w:proofErr w:type="spellEnd"/>
      <w:r w:rsidRPr="00123724">
        <w:rPr>
          <w:rFonts w:ascii="Calibri" w:hAnsi="Calibri" w:cs="Calibri"/>
          <w:szCs w:val="21"/>
        </w:rPr>
        <w:t xml:space="preserve"> Human database (Uniprot_Homo_Sapiens_151919_20160405.fasta, 151919 sequences, downloaded on 5th April, 2016). The parameters were set as follows: trypsin as digestion enzyme, an allowance of 2 missed cleavages, oxidized methionine and </w:t>
      </w:r>
      <w:proofErr w:type="spellStart"/>
      <w:r w:rsidRPr="00123724">
        <w:rPr>
          <w:rFonts w:ascii="Calibri" w:hAnsi="Calibri" w:cs="Calibri"/>
          <w:szCs w:val="21"/>
        </w:rPr>
        <w:t>iTRAQ</w:t>
      </w:r>
      <w:proofErr w:type="spellEnd"/>
      <w:r w:rsidRPr="00123724">
        <w:rPr>
          <w:rFonts w:ascii="Calibri" w:hAnsi="Calibri" w:cs="Calibri"/>
          <w:szCs w:val="21"/>
        </w:rPr>
        <w:t xml:space="preserve"> 4-plex (Y) as the variable modification, fixed modifications that included carbamidomethyl (C) and </w:t>
      </w:r>
      <w:proofErr w:type="spellStart"/>
      <w:r w:rsidRPr="00123724">
        <w:rPr>
          <w:rFonts w:ascii="Calibri" w:hAnsi="Calibri" w:cs="Calibri"/>
          <w:szCs w:val="21"/>
        </w:rPr>
        <w:t>iTRAQ</w:t>
      </w:r>
      <w:proofErr w:type="spellEnd"/>
      <w:r w:rsidRPr="00123724">
        <w:rPr>
          <w:rFonts w:ascii="Calibri" w:hAnsi="Calibri" w:cs="Calibri"/>
          <w:szCs w:val="21"/>
        </w:rPr>
        <w:t xml:space="preserve"> modification at the N-terminus of the peptide and </w:t>
      </w:r>
      <w:proofErr w:type="spellStart"/>
      <w:r w:rsidRPr="00123724">
        <w:rPr>
          <w:rFonts w:ascii="Calibri" w:hAnsi="Calibri" w:cs="Calibri"/>
          <w:szCs w:val="21"/>
        </w:rPr>
        <w:t>iTRAQ</w:t>
      </w:r>
      <w:proofErr w:type="spellEnd"/>
      <w:r w:rsidRPr="00123724">
        <w:rPr>
          <w:rFonts w:ascii="Calibri" w:hAnsi="Calibri" w:cs="Calibri"/>
          <w:szCs w:val="21"/>
        </w:rPr>
        <w:t xml:space="preserve"> 4-plex (K). The peptide mass tolerance and fragment mass tolerance </w:t>
      </w:r>
      <w:proofErr w:type="gramStart"/>
      <w:r w:rsidRPr="00123724">
        <w:rPr>
          <w:rFonts w:ascii="Calibri" w:hAnsi="Calibri" w:cs="Calibri"/>
          <w:szCs w:val="21"/>
        </w:rPr>
        <w:t>was</w:t>
      </w:r>
      <w:proofErr w:type="gramEnd"/>
      <w:r w:rsidRPr="00123724">
        <w:rPr>
          <w:rFonts w:ascii="Calibri" w:hAnsi="Calibri" w:cs="Calibri"/>
          <w:szCs w:val="21"/>
        </w:rPr>
        <w:t xml:space="preserve"> set as </w:t>
      </w:r>
      <w:r w:rsidRPr="00123724">
        <w:rPr>
          <w:rFonts w:ascii="Calibri" w:hAnsi="Calibri" w:cs="Calibri"/>
          <w:szCs w:val="21"/>
        </w:rPr>
        <w:lastRenderedPageBreak/>
        <w:t>20 ppm and 0.1 Da respectively. A decoy database search strategy was adopted to estimate the false discovery rate (FDR) for peptide identification. High confidence peptides reaching the threshold of FDR≤0.01 were used for protein identifications. Only unique peptides with high confidence and rank 1 were used for protein identifications.</w:t>
      </w:r>
    </w:p>
    <w:p w14:paraId="3CCE26EF" w14:textId="525FB667" w:rsidR="00B91E6E" w:rsidRPr="00123724" w:rsidRDefault="00B91E6E" w:rsidP="00B91E6E">
      <w:pPr>
        <w:adjustRightInd w:val="0"/>
        <w:snapToGrid w:val="0"/>
        <w:contextualSpacing/>
        <w:rPr>
          <w:rFonts w:ascii="Calibri" w:hAnsi="Calibri" w:cs="Calibri"/>
          <w:szCs w:val="21"/>
        </w:rPr>
      </w:pPr>
      <w:r w:rsidRPr="00123724">
        <w:rPr>
          <w:rFonts w:ascii="Calibri" w:hAnsi="Calibri" w:cs="Calibri"/>
          <w:szCs w:val="21"/>
        </w:rPr>
        <w:t>Protein identified according to the peptide matches from all samples. The protein ratios were calculated with the median of only unique peptides.</w:t>
      </w:r>
      <w:r w:rsidR="00AD10F7" w:rsidRPr="00AD10F7">
        <w:rPr>
          <w:rFonts w:ascii="Calibri" w:hAnsi="Calibri" w:cs="Calibri"/>
          <w:szCs w:val="21"/>
        </w:rPr>
        <w:t xml:space="preserve"> </w:t>
      </w:r>
      <w:r w:rsidR="00AD10F7" w:rsidRPr="00AD10F7">
        <w:rPr>
          <w:rFonts w:ascii="Calibri" w:hAnsi="Calibri" w:cs="Calibri"/>
          <w:szCs w:val="21"/>
        </w:rPr>
        <w:t>All peptide ratios were normalized by the median</w:t>
      </w:r>
      <w:r w:rsidR="00AD10F7" w:rsidRPr="00AD10F7">
        <w:rPr>
          <w:rFonts w:ascii="Calibri" w:hAnsi="Calibri" w:cs="Calibri" w:hint="eastAsia"/>
          <w:szCs w:val="21"/>
        </w:rPr>
        <w:t xml:space="preserve"> </w:t>
      </w:r>
      <w:r w:rsidR="00AD10F7" w:rsidRPr="00AD10F7">
        <w:rPr>
          <w:rFonts w:ascii="Calibri" w:hAnsi="Calibri" w:cs="Calibri"/>
          <w:szCs w:val="21"/>
        </w:rPr>
        <w:t>protein ratio that should be 1 after the normalization.</w:t>
      </w:r>
    </w:p>
    <w:p w14:paraId="7C05E570" w14:textId="1A1B1327" w:rsidR="00B91E6E" w:rsidRPr="00123724" w:rsidRDefault="00B91E6E" w:rsidP="00B91E6E">
      <w:pPr>
        <w:adjustRightInd w:val="0"/>
        <w:snapToGrid w:val="0"/>
        <w:contextualSpacing/>
        <w:rPr>
          <w:rFonts w:ascii="Calibri" w:hAnsi="Calibri" w:cs="Calibri"/>
          <w:b/>
          <w:bCs/>
          <w:szCs w:val="21"/>
        </w:rPr>
      </w:pPr>
      <w:r w:rsidRPr="00123724">
        <w:rPr>
          <w:rFonts w:ascii="Calibri" w:hAnsi="Calibri" w:cs="Calibri"/>
          <w:b/>
          <w:bCs/>
          <w:szCs w:val="21"/>
        </w:rPr>
        <w:t>Reference</w:t>
      </w:r>
    </w:p>
    <w:p w14:paraId="104EC625" w14:textId="4357B955" w:rsidR="00B91E6E" w:rsidRPr="00123724" w:rsidRDefault="00B91E6E" w:rsidP="00B91E6E">
      <w:pPr>
        <w:pStyle w:val="EndNoteBibliography"/>
        <w:adjustRightInd w:val="0"/>
        <w:snapToGrid w:val="0"/>
        <w:ind w:left="720" w:hanging="720"/>
        <w:contextualSpacing/>
        <w:rPr>
          <w:rFonts w:ascii="Calibri" w:hAnsi="Calibri" w:cs="Calibri"/>
          <w:sz w:val="21"/>
          <w:szCs w:val="21"/>
        </w:rPr>
      </w:pPr>
      <w:r w:rsidRPr="00123724">
        <w:rPr>
          <w:rFonts w:ascii="Calibri" w:hAnsi="Calibri" w:cs="Calibri"/>
          <w:sz w:val="21"/>
          <w:szCs w:val="21"/>
        </w:rPr>
        <w:fldChar w:fldCharType="begin"/>
      </w:r>
      <w:r w:rsidRPr="00123724">
        <w:rPr>
          <w:rFonts w:ascii="Calibri" w:hAnsi="Calibri" w:cs="Calibri"/>
          <w:sz w:val="21"/>
          <w:szCs w:val="21"/>
        </w:rPr>
        <w:instrText xml:space="preserve"> ADDIN EN.REFLIST </w:instrText>
      </w:r>
      <w:r w:rsidRPr="00123724">
        <w:rPr>
          <w:rFonts w:ascii="Calibri" w:hAnsi="Calibri" w:cs="Calibri"/>
          <w:sz w:val="21"/>
          <w:szCs w:val="21"/>
        </w:rPr>
        <w:fldChar w:fldCharType="separate"/>
      </w:r>
      <w:r w:rsidRPr="00123724">
        <w:rPr>
          <w:rFonts w:ascii="Calibri" w:hAnsi="Calibri" w:cs="Calibri"/>
          <w:sz w:val="21"/>
          <w:szCs w:val="21"/>
        </w:rPr>
        <w:t xml:space="preserve">Wisniewski, J. R., Zougman, A., Nagaraj, N., &amp; Mann, M., 2009. Universal sample preparation method for proteome analysis. </w:t>
      </w:r>
      <w:r w:rsidRPr="00123724">
        <w:rPr>
          <w:rFonts w:ascii="Calibri" w:hAnsi="Calibri" w:cs="Calibri"/>
          <w:i/>
          <w:sz w:val="21"/>
          <w:szCs w:val="21"/>
        </w:rPr>
        <w:t>Nat. Methods</w:t>
      </w:r>
      <w:r w:rsidRPr="00123724">
        <w:rPr>
          <w:rFonts w:ascii="Calibri" w:hAnsi="Calibri" w:cs="Calibri"/>
          <w:sz w:val="21"/>
          <w:szCs w:val="21"/>
        </w:rPr>
        <w:t>,</w:t>
      </w:r>
      <w:r w:rsidRPr="00123724">
        <w:rPr>
          <w:rFonts w:ascii="Calibri" w:hAnsi="Calibri" w:cs="Calibri"/>
          <w:i/>
          <w:sz w:val="21"/>
          <w:szCs w:val="21"/>
        </w:rPr>
        <w:t xml:space="preserve"> 6</w:t>
      </w:r>
      <w:r w:rsidRPr="00123724">
        <w:rPr>
          <w:rFonts w:ascii="Calibri" w:hAnsi="Calibri" w:cs="Calibri"/>
          <w:sz w:val="21"/>
          <w:szCs w:val="21"/>
        </w:rPr>
        <w:t xml:space="preserve">(5), 359-362. </w:t>
      </w:r>
      <w:hyperlink r:id="rId6" w:history="1">
        <w:r w:rsidRPr="00123724">
          <w:rPr>
            <w:rStyle w:val="a7"/>
            <w:rFonts w:ascii="Calibri" w:hAnsi="Calibri" w:cs="Calibri"/>
            <w:sz w:val="21"/>
            <w:szCs w:val="21"/>
          </w:rPr>
          <w:t>https://doi.org/10.1038/nmeth.1322</w:t>
        </w:r>
      </w:hyperlink>
      <w:r w:rsidRPr="00123724">
        <w:rPr>
          <w:rFonts w:ascii="Calibri" w:hAnsi="Calibri" w:cs="Calibri"/>
          <w:sz w:val="21"/>
          <w:szCs w:val="21"/>
        </w:rPr>
        <w:t xml:space="preserve"> </w:t>
      </w:r>
    </w:p>
    <w:p w14:paraId="2FD6BF3C" w14:textId="230EF80D" w:rsidR="000B3873" w:rsidRPr="00123724" w:rsidRDefault="00B91E6E" w:rsidP="00B91E6E">
      <w:pPr>
        <w:adjustRightInd w:val="0"/>
        <w:snapToGrid w:val="0"/>
        <w:contextualSpacing/>
        <w:rPr>
          <w:rFonts w:ascii="Calibri" w:hAnsi="Calibri" w:cs="Calibri"/>
          <w:szCs w:val="21"/>
        </w:rPr>
      </w:pPr>
      <w:r w:rsidRPr="00123724">
        <w:rPr>
          <w:rFonts w:ascii="Calibri" w:hAnsi="Calibri" w:cs="Calibri"/>
          <w:szCs w:val="21"/>
        </w:rPr>
        <w:fldChar w:fldCharType="end"/>
      </w:r>
    </w:p>
    <w:sectPr w:rsidR="000B3873" w:rsidRPr="001237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BC4E" w14:textId="77777777" w:rsidR="00606FB4" w:rsidRDefault="00606FB4" w:rsidP="00B91E6E">
      <w:r>
        <w:separator/>
      </w:r>
    </w:p>
  </w:endnote>
  <w:endnote w:type="continuationSeparator" w:id="0">
    <w:p w14:paraId="4E23C24F" w14:textId="77777777" w:rsidR="00606FB4" w:rsidRDefault="00606FB4" w:rsidP="00B9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846F" w14:textId="77777777" w:rsidR="00606FB4" w:rsidRDefault="00606FB4" w:rsidP="00B91E6E">
      <w:r>
        <w:separator/>
      </w:r>
    </w:p>
  </w:footnote>
  <w:footnote w:type="continuationSeparator" w:id="0">
    <w:p w14:paraId="2EC64A3B" w14:textId="77777777" w:rsidR="00606FB4" w:rsidRDefault="00606FB4" w:rsidP="00B91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z0vwwvm0drxke5s9gxdp0qfzetspxe0szd&quot;&gt;遗传家系9.3&lt;record-ids&gt;&lt;item&gt;1255&lt;/item&gt;&lt;/record-ids&gt;&lt;/item&gt;&lt;/Libraries&gt;"/>
  </w:docVars>
  <w:rsids>
    <w:rsidRoot w:val="000B3873"/>
    <w:rsid w:val="00020904"/>
    <w:rsid w:val="000B3873"/>
    <w:rsid w:val="00123724"/>
    <w:rsid w:val="002633A1"/>
    <w:rsid w:val="00462566"/>
    <w:rsid w:val="00606FB4"/>
    <w:rsid w:val="00AD10F7"/>
    <w:rsid w:val="00B91E6E"/>
    <w:rsid w:val="00D1430D"/>
    <w:rsid w:val="00F9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7BDC"/>
  <w15:chartTrackingRefBased/>
  <w15:docId w15:val="{40E7DB93-3C0E-4179-BBC1-3486AD52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E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E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1E6E"/>
    <w:rPr>
      <w:sz w:val="18"/>
      <w:szCs w:val="18"/>
    </w:rPr>
  </w:style>
  <w:style w:type="paragraph" w:styleId="a5">
    <w:name w:val="footer"/>
    <w:basedOn w:val="a"/>
    <w:link w:val="a6"/>
    <w:uiPriority w:val="99"/>
    <w:unhideWhenUsed/>
    <w:rsid w:val="00B91E6E"/>
    <w:pPr>
      <w:tabs>
        <w:tab w:val="center" w:pos="4153"/>
        <w:tab w:val="right" w:pos="8306"/>
      </w:tabs>
      <w:snapToGrid w:val="0"/>
      <w:jc w:val="left"/>
    </w:pPr>
    <w:rPr>
      <w:sz w:val="18"/>
      <w:szCs w:val="18"/>
    </w:rPr>
  </w:style>
  <w:style w:type="character" w:customStyle="1" w:styleId="a6">
    <w:name w:val="页脚 字符"/>
    <w:basedOn w:val="a0"/>
    <w:link w:val="a5"/>
    <w:uiPriority w:val="99"/>
    <w:rsid w:val="00B91E6E"/>
    <w:rPr>
      <w:sz w:val="18"/>
      <w:szCs w:val="18"/>
    </w:rPr>
  </w:style>
  <w:style w:type="paragraph" w:customStyle="1" w:styleId="EndNoteBibliographyTitle">
    <w:name w:val="EndNote Bibliography Title"/>
    <w:basedOn w:val="a"/>
    <w:link w:val="EndNoteBibliographyTitle0"/>
    <w:rsid w:val="00B91E6E"/>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B91E6E"/>
    <w:rPr>
      <w:rFonts w:ascii="等线" w:eastAsia="等线" w:hAnsi="等线"/>
      <w:noProof/>
      <w:sz w:val="20"/>
    </w:rPr>
  </w:style>
  <w:style w:type="paragraph" w:customStyle="1" w:styleId="EndNoteBibliography">
    <w:name w:val="EndNote Bibliography"/>
    <w:basedOn w:val="a"/>
    <w:link w:val="EndNoteBibliography0"/>
    <w:rsid w:val="00B91E6E"/>
    <w:rPr>
      <w:rFonts w:ascii="等线" w:eastAsia="等线" w:hAnsi="等线"/>
      <w:noProof/>
      <w:sz w:val="20"/>
    </w:rPr>
  </w:style>
  <w:style w:type="character" w:customStyle="1" w:styleId="EndNoteBibliography0">
    <w:name w:val="EndNote Bibliography 字符"/>
    <w:basedOn w:val="a0"/>
    <w:link w:val="EndNoteBibliography"/>
    <w:rsid w:val="00B91E6E"/>
    <w:rPr>
      <w:rFonts w:ascii="等线" w:eastAsia="等线" w:hAnsi="等线"/>
      <w:noProof/>
      <w:sz w:val="20"/>
    </w:rPr>
  </w:style>
  <w:style w:type="character" w:styleId="a7">
    <w:name w:val="Hyperlink"/>
    <w:basedOn w:val="a0"/>
    <w:uiPriority w:val="99"/>
    <w:unhideWhenUsed/>
    <w:rsid w:val="00B91E6E"/>
    <w:rPr>
      <w:color w:val="0563C1" w:themeColor="hyperlink"/>
      <w:u w:val="single"/>
    </w:rPr>
  </w:style>
  <w:style w:type="character" w:styleId="a8">
    <w:name w:val="Unresolved Mention"/>
    <w:basedOn w:val="a0"/>
    <w:uiPriority w:val="99"/>
    <w:semiHidden/>
    <w:unhideWhenUsed/>
    <w:rsid w:val="00B91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8/nmeth.132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 MH</dc:creator>
  <cp:keywords/>
  <dc:description/>
  <cp:lastModifiedBy>Deng MH</cp:lastModifiedBy>
  <cp:revision>5</cp:revision>
  <dcterms:created xsi:type="dcterms:W3CDTF">2022-04-17T07:42:00Z</dcterms:created>
  <dcterms:modified xsi:type="dcterms:W3CDTF">2022-04-17T08:36:00Z</dcterms:modified>
</cp:coreProperties>
</file>