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0B54C" w14:textId="4A1F0523" w:rsidR="00880C69" w:rsidRDefault="008C5E75" w:rsidP="00F14FA1">
      <w:pPr>
        <w:spacing w:after="80"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New </w:t>
      </w:r>
      <w:r w:rsidR="008B420F" w:rsidRPr="008B420F">
        <w:rPr>
          <w:rFonts w:ascii="Times New Roman" w:hAnsi="Times New Roman" w:cs="Times New Roman" w:hint="eastAsia"/>
          <w:b/>
          <w:bCs/>
          <w:sz w:val="28"/>
          <w:szCs w:val="28"/>
        </w:rPr>
        <w:t>C</w:t>
      </w:r>
      <w:r w:rsidR="008B420F" w:rsidRPr="008B420F">
        <w:rPr>
          <w:rFonts w:ascii="Times New Roman" w:hAnsi="Times New Roman" w:cs="Times New Roman"/>
          <w:b/>
          <w:bCs/>
          <w:sz w:val="28"/>
          <w:szCs w:val="28"/>
        </w:rPr>
        <w:t>onstraints on Cenozoic Subduction between India and Tibet</w:t>
      </w:r>
    </w:p>
    <w:p w14:paraId="329E9B4F" w14:textId="5D15CB2F" w:rsidR="004E78F6" w:rsidRPr="00805DFC" w:rsidRDefault="004E78F6" w:rsidP="00F14FA1">
      <w:pPr>
        <w:spacing w:after="80" w:line="360" w:lineRule="auto"/>
        <w:jc w:val="center"/>
        <w:rPr>
          <w:rFonts w:ascii="Times New Roman" w:hAnsi="Times New Roman" w:cs="Times New Roman"/>
          <w:sz w:val="24"/>
          <w:szCs w:val="24"/>
          <w:lang w:val="en"/>
        </w:rPr>
      </w:pPr>
      <w:r>
        <w:rPr>
          <w:rFonts w:ascii="Times New Roman" w:hAnsi="Times New Roman" w:cs="Times New Roman"/>
          <w:sz w:val="24"/>
          <w:szCs w:val="24"/>
        </w:rPr>
        <w:t>Liang Liu</w:t>
      </w:r>
      <w:r>
        <w:rPr>
          <w:rFonts w:ascii="Times New Roman" w:hAnsi="Times New Roman" w:cs="Times New Roman"/>
          <w:sz w:val="24"/>
          <w:szCs w:val="24"/>
          <w:vertAlign w:val="superscript"/>
        </w:rPr>
        <w:t>1,2,3</w:t>
      </w:r>
      <w:r>
        <w:rPr>
          <w:rFonts w:ascii="Times New Roman" w:hAnsi="Times New Roman" w:cs="Times New Roman"/>
          <w:sz w:val="24"/>
          <w:szCs w:val="24"/>
        </w:rPr>
        <w:t>*, Lijun Liu</w:t>
      </w:r>
      <w:r>
        <w:rPr>
          <w:rFonts w:ascii="Times New Roman" w:hAnsi="Times New Roman" w:cs="Times New Roman"/>
          <w:sz w:val="24"/>
          <w:szCs w:val="24"/>
          <w:vertAlign w:val="superscript"/>
        </w:rPr>
        <w:t>2</w:t>
      </w:r>
      <w:r w:rsidRPr="00884E4C">
        <w:rPr>
          <w:rFonts w:ascii="Times New Roman" w:hAnsi="Times New Roman" w:cs="Times New Roman"/>
          <w:sz w:val="24"/>
          <w:szCs w:val="24"/>
          <w:vertAlign w:val="superscript"/>
        </w:rPr>
        <w:t>**</w:t>
      </w:r>
      <w:r>
        <w:rPr>
          <w:rFonts w:ascii="Times New Roman" w:hAnsi="Times New Roman" w:cs="Times New Roman"/>
          <w:sz w:val="24"/>
          <w:szCs w:val="24"/>
        </w:rPr>
        <w:t>, Jason. P. Morgan</w:t>
      </w:r>
      <w:r w:rsidRPr="00E107F1">
        <w:rPr>
          <w:rFonts w:ascii="Times New Roman" w:hAnsi="Times New Roman" w:cs="Times New Roman"/>
          <w:sz w:val="24"/>
          <w:szCs w:val="24"/>
          <w:vertAlign w:val="superscript"/>
        </w:rPr>
        <w:t>4</w:t>
      </w:r>
      <w:r>
        <w:rPr>
          <w:rFonts w:ascii="Times New Roman" w:hAnsi="Times New Roman" w:cs="Times New Roman"/>
          <w:sz w:val="24"/>
          <w:szCs w:val="24"/>
        </w:rPr>
        <w:t>, Yi-Gang Xu</w:t>
      </w:r>
      <w:r>
        <w:rPr>
          <w:rFonts w:ascii="Times New Roman" w:hAnsi="Times New Roman" w:cs="Times New Roman"/>
          <w:sz w:val="24"/>
          <w:szCs w:val="24"/>
          <w:vertAlign w:val="superscript"/>
        </w:rPr>
        <w:t>1,3</w:t>
      </w:r>
      <w:r w:rsidRPr="00884E4C">
        <w:rPr>
          <w:rFonts w:ascii="Times New Roman" w:hAnsi="Times New Roman" w:cs="Times New Roman"/>
          <w:sz w:val="24"/>
          <w:szCs w:val="24"/>
        </w:rPr>
        <w:t>,</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Diandian</w:t>
      </w:r>
      <w:proofErr w:type="spellEnd"/>
      <w:r>
        <w:rPr>
          <w:rFonts w:ascii="Times New Roman" w:hAnsi="Times New Roman" w:cs="Times New Roman"/>
          <w:sz w:val="24"/>
          <w:szCs w:val="24"/>
        </w:rPr>
        <w:t xml:space="preserve"> Peng</w:t>
      </w:r>
      <w:r>
        <w:rPr>
          <w:rFonts w:ascii="Times New Roman" w:hAnsi="Times New Roman" w:cs="Times New Roman"/>
          <w:sz w:val="24"/>
          <w:szCs w:val="24"/>
          <w:vertAlign w:val="superscript"/>
        </w:rPr>
        <w:t>2</w:t>
      </w:r>
    </w:p>
    <w:p w14:paraId="09B8EDDC" w14:textId="77777777" w:rsidR="004E78F6" w:rsidRDefault="004E78F6" w:rsidP="00F14FA1">
      <w:pPr>
        <w:spacing w:after="80" w:line="360" w:lineRule="auto"/>
        <w:jc w:val="both"/>
        <w:rPr>
          <w:rFonts w:ascii="Times New Roman" w:hAnsi="Times New Roman" w:cs="Times New Roman"/>
          <w:sz w:val="24"/>
          <w:szCs w:val="24"/>
          <w:lang w:val="en"/>
        </w:rPr>
      </w:pPr>
    </w:p>
    <w:p w14:paraId="1689C154" w14:textId="77777777" w:rsidR="004E78F6" w:rsidRDefault="004E78F6" w:rsidP="00F14FA1">
      <w:pPr>
        <w:spacing w:after="80" w:line="276" w:lineRule="auto"/>
        <w:ind w:left="180" w:hanging="180"/>
        <w:jc w:val="both"/>
        <w:rPr>
          <w:rFonts w:ascii="Times New Roman" w:hAnsi="Times New Roman" w:cs="Times New Roman"/>
        </w:rPr>
      </w:pPr>
      <w:r>
        <w:rPr>
          <w:rFonts w:ascii="Times New Roman" w:hAnsi="Times New Roman" w:cs="Times New Roman"/>
          <w:vertAlign w:val="superscript"/>
        </w:rPr>
        <w:t xml:space="preserve">1. </w:t>
      </w:r>
      <w:r w:rsidRPr="00983014">
        <w:rPr>
          <w:rFonts w:ascii="Times New Roman" w:hAnsi="Times New Roman" w:cs="Times New Roman"/>
        </w:rPr>
        <w:t>State Key Laboratory of Isotope Geochemistry and CAS center of Excellence in Deep Earth Science, Guangzhou Institute of Geochemistry, Chinese Academy of Science, Guangzhou, 510640, China.</w:t>
      </w:r>
    </w:p>
    <w:p w14:paraId="3DCA7408" w14:textId="77777777" w:rsidR="004E78F6" w:rsidRDefault="004E78F6" w:rsidP="00F14FA1">
      <w:pPr>
        <w:spacing w:after="80" w:line="276" w:lineRule="auto"/>
        <w:ind w:left="180" w:hanging="180"/>
        <w:jc w:val="both"/>
        <w:rPr>
          <w:rFonts w:ascii="Times New Roman" w:hAnsi="Times New Roman" w:cs="Times New Roman"/>
        </w:rPr>
      </w:pPr>
      <w:r>
        <w:rPr>
          <w:rFonts w:ascii="Times New Roman" w:hAnsi="Times New Roman" w:cs="Times New Roman"/>
          <w:vertAlign w:val="superscript"/>
        </w:rPr>
        <w:t xml:space="preserve">2. </w:t>
      </w:r>
      <w:r>
        <w:rPr>
          <w:rFonts w:ascii="Times New Roman" w:hAnsi="Times New Roman" w:cs="Times New Roman"/>
        </w:rPr>
        <w:t>Department of Geology, University of Illinois at Urbana-Champaign, Urbana, 61801, USA.</w:t>
      </w:r>
    </w:p>
    <w:p w14:paraId="1AD21972" w14:textId="77777777" w:rsidR="004E78F6" w:rsidRDefault="004E78F6" w:rsidP="00F14FA1">
      <w:pPr>
        <w:spacing w:after="80" w:line="276" w:lineRule="auto"/>
        <w:ind w:left="180" w:hanging="180"/>
        <w:jc w:val="both"/>
        <w:rPr>
          <w:rFonts w:ascii="Times New Roman" w:hAnsi="Times New Roman" w:cs="Times New Roman"/>
        </w:rPr>
      </w:pPr>
      <w:r>
        <w:rPr>
          <w:rFonts w:ascii="Times New Roman" w:hAnsi="Times New Roman" w:cs="Times New Roman"/>
          <w:vertAlign w:val="superscript"/>
        </w:rPr>
        <w:t>3.</w:t>
      </w:r>
      <w:r w:rsidRPr="00294095">
        <w:t xml:space="preserve"> </w:t>
      </w:r>
      <w:r w:rsidRPr="00294095">
        <w:rPr>
          <w:rFonts w:ascii="Times New Roman" w:hAnsi="Times New Roman" w:cs="Times New Roman"/>
        </w:rPr>
        <w:t>Southern Marine Science and Engineering Guangdong Laboratory (Guangzhou), Guangzhou, 511458, China.</w:t>
      </w:r>
    </w:p>
    <w:p w14:paraId="0926E948" w14:textId="77777777" w:rsidR="004E78F6" w:rsidRDefault="004E78F6" w:rsidP="00F14FA1">
      <w:pPr>
        <w:spacing w:after="80" w:line="276" w:lineRule="auto"/>
        <w:ind w:left="180" w:hanging="180"/>
        <w:jc w:val="both"/>
        <w:rPr>
          <w:rFonts w:ascii="Times New Roman" w:hAnsi="Times New Roman" w:cs="Times New Roman"/>
        </w:rPr>
      </w:pPr>
      <w:r>
        <w:rPr>
          <w:rFonts w:ascii="Times New Roman" w:hAnsi="Times New Roman" w:cs="Times New Roman"/>
        </w:rPr>
        <w:t xml:space="preserve">4. </w:t>
      </w:r>
      <w:r w:rsidRPr="00717463">
        <w:rPr>
          <w:rFonts w:ascii="Times New Roman" w:hAnsi="Times New Roman" w:cs="Times New Roman"/>
        </w:rPr>
        <w:t>Department of Marine Science and</w:t>
      </w:r>
      <w:r>
        <w:rPr>
          <w:rFonts w:ascii="Times New Roman" w:hAnsi="Times New Roman" w:cs="Times New Roman"/>
        </w:rPr>
        <w:t xml:space="preserve"> </w:t>
      </w:r>
      <w:r w:rsidRPr="00717463">
        <w:rPr>
          <w:rFonts w:ascii="Times New Roman" w:hAnsi="Times New Roman" w:cs="Times New Roman"/>
        </w:rPr>
        <w:t>Engineering, Southern University of Science and</w:t>
      </w:r>
      <w:r>
        <w:rPr>
          <w:rFonts w:ascii="Times New Roman" w:hAnsi="Times New Roman" w:cs="Times New Roman"/>
        </w:rPr>
        <w:t xml:space="preserve"> </w:t>
      </w:r>
      <w:r w:rsidRPr="00717463">
        <w:rPr>
          <w:rFonts w:ascii="Times New Roman" w:hAnsi="Times New Roman" w:cs="Times New Roman"/>
        </w:rPr>
        <w:t>Technology, Shenzhen, Guangdong 518055, Chin</w:t>
      </w:r>
      <w:r>
        <w:rPr>
          <w:rFonts w:ascii="Times New Roman" w:hAnsi="Times New Roman" w:cs="Times New Roman"/>
        </w:rPr>
        <w:t>a.</w:t>
      </w:r>
    </w:p>
    <w:p w14:paraId="34D031D8" w14:textId="77777777" w:rsidR="004E78F6" w:rsidRDefault="004E78F6" w:rsidP="008B1D3A">
      <w:pPr>
        <w:spacing w:after="80" w:line="360" w:lineRule="auto"/>
        <w:ind w:left="180" w:hanging="180"/>
        <w:rPr>
          <w:rFonts w:ascii="Times New Roman" w:hAnsi="Times New Roman" w:cs="Times New Roman"/>
        </w:rPr>
      </w:pPr>
    </w:p>
    <w:p w14:paraId="3214F845" w14:textId="77777777" w:rsidR="004E78F6" w:rsidRDefault="004E78F6" w:rsidP="008B1D3A">
      <w:pPr>
        <w:spacing w:after="80" w:line="360" w:lineRule="auto"/>
        <w:rPr>
          <w:rFonts w:ascii="Times New Roman" w:hAnsi="Times New Roman" w:cs="Times New Roman"/>
        </w:rPr>
      </w:pPr>
      <w:r>
        <w:rPr>
          <w:rFonts w:ascii="Times New Roman" w:hAnsi="Times New Roman" w:cs="Times New Roman"/>
        </w:rPr>
        <w:t>* Liang Liu: llsinogm@yeah.net</w:t>
      </w:r>
    </w:p>
    <w:p w14:paraId="69854FDF" w14:textId="77777777" w:rsidR="004E78F6" w:rsidRDefault="004E78F6" w:rsidP="008B1D3A">
      <w:pPr>
        <w:spacing w:after="80" w:line="360" w:lineRule="auto"/>
        <w:rPr>
          <w:rFonts w:ascii="Times New Roman" w:hAnsi="Times New Roman" w:cs="Times New Roman"/>
        </w:rPr>
      </w:pPr>
      <w:r>
        <w:rPr>
          <w:rFonts w:ascii="Times New Roman" w:hAnsi="Times New Roman" w:cs="Times New Roman"/>
        </w:rPr>
        <w:t xml:space="preserve">** Lijun Liu: </w:t>
      </w:r>
      <w:r w:rsidRPr="004F009C">
        <w:rPr>
          <w:rFonts w:ascii="Times New Roman" w:hAnsi="Times New Roman" w:cs="Times New Roman"/>
        </w:rPr>
        <w:t>ljliu@illinois.edu</w:t>
      </w:r>
    </w:p>
    <w:p w14:paraId="3A5611ED" w14:textId="77777777" w:rsidR="004E78F6" w:rsidRDefault="004E78F6">
      <w:pPr>
        <w:rPr>
          <w:rFonts w:ascii="Times New Roman" w:hAnsi="Times New Roman" w:cs="Times New Roman"/>
          <w:lang w:val="en"/>
        </w:rPr>
      </w:pPr>
    </w:p>
    <w:p w14:paraId="12FA8ADD" w14:textId="77777777" w:rsidR="004E78F6" w:rsidRDefault="004E78F6">
      <w:pPr>
        <w:spacing w:beforeLines="100" w:before="240" w:line="360" w:lineRule="auto"/>
        <w:jc w:val="both"/>
        <w:rPr>
          <w:rFonts w:ascii="Times New Roman" w:hAnsi="Times New Roman" w:cs="Times New Roman"/>
          <w:b/>
          <w:bCs/>
          <w:sz w:val="28"/>
          <w:szCs w:val="28"/>
        </w:rPr>
      </w:pPr>
      <w:r>
        <w:rPr>
          <w:rFonts w:ascii="Times New Roman" w:hAnsi="Times New Roman" w:cs="Times New Roman"/>
          <w:b/>
          <w:bCs/>
          <w:sz w:val="28"/>
          <w:szCs w:val="28"/>
        </w:rPr>
        <w:t>Supplementary Materials</w:t>
      </w:r>
    </w:p>
    <w:p w14:paraId="30AE0AFD" w14:textId="77777777" w:rsidR="004E78F6" w:rsidRDefault="004E78F6">
      <w:pPr>
        <w:spacing w:afterLines="50" w:after="12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This file provides additional supporting information to the main text. It contains the result summary for sensitivity tests, two tables, </w:t>
      </w:r>
      <w:r w:rsidRPr="00215EE2">
        <w:rPr>
          <w:rFonts w:ascii="Times New Roman" w:hAnsi="Times New Roman" w:cs="Times New Roman"/>
          <w:sz w:val="24"/>
          <w:szCs w:val="24"/>
        </w:rPr>
        <w:t>twenty-</w:t>
      </w:r>
      <w:r>
        <w:rPr>
          <w:rFonts w:ascii="Times New Roman" w:hAnsi="Times New Roman" w:cs="Times New Roman"/>
          <w:sz w:val="24"/>
          <w:szCs w:val="24"/>
        </w:rPr>
        <w:t>six</w:t>
      </w:r>
      <w:r w:rsidRPr="00215EE2">
        <w:rPr>
          <w:rFonts w:ascii="Times New Roman" w:hAnsi="Times New Roman" w:cs="Times New Roman"/>
          <w:sz w:val="24"/>
          <w:szCs w:val="24"/>
        </w:rPr>
        <w:t xml:space="preserve"> figures</w:t>
      </w:r>
      <w:r>
        <w:rPr>
          <w:rFonts w:ascii="Times New Roman" w:hAnsi="Times New Roman" w:cs="Times New Roman"/>
          <w:sz w:val="24"/>
          <w:szCs w:val="24"/>
        </w:rPr>
        <w:t xml:space="preserve">, and the captions for the </w:t>
      </w:r>
      <w:r w:rsidRPr="00694914">
        <w:rPr>
          <w:rFonts w:ascii="Times New Roman" w:hAnsi="Times New Roman" w:cs="Times New Roman"/>
          <w:sz w:val="24"/>
          <w:szCs w:val="24"/>
        </w:rPr>
        <w:t>eight</w:t>
      </w:r>
      <w:r w:rsidRPr="00F17ECB">
        <w:rPr>
          <w:rFonts w:ascii="Times New Roman" w:hAnsi="Times New Roman" w:cs="Times New Roman"/>
          <w:sz w:val="24"/>
          <w:szCs w:val="24"/>
        </w:rPr>
        <w:t xml:space="preserve"> movies.</w:t>
      </w:r>
    </w:p>
    <w:p w14:paraId="1FE8696C" w14:textId="77777777" w:rsidR="004E78F6" w:rsidRDefault="004E78F6">
      <w:pPr>
        <w:rPr>
          <w:rFonts w:ascii="Times New Roman" w:hAnsi="Times New Roman" w:cs="Times New Roman"/>
          <w:lang w:val="en"/>
        </w:rPr>
      </w:pPr>
    </w:p>
    <w:p w14:paraId="32212216" w14:textId="77777777" w:rsidR="004E78F6" w:rsidRDefault="004E78F6" w:rsidP="00126C5C">
      <w:pPr>
        <w:rPr>
          <w:rFonts w:ascii="Times New Roman" w:hAnsi="Times New Roman" w:cs="Times New Roman"/>
          <w:b/>
          <w:bCs/>
          <w:sz w:val="28"/>
          <w:szCs w:val="28"/>
          <w:lang w:val="en"/>
        </w:rPr>
      </w:pPr>
      <w:r>
        <w:rPr>
          <w:rFonts w:ascii="Times New Roman" w:hAnsi="Times New Roman" w:cs="Times New Roman"/>
          <w:b/>
          <w:bCs/>
          <w:sz w:val="28"/>
          <w:szCs w:val="28"/>
          <w:lang w:val="en"/>
        </w:rPr>
        <w:t>1. Summary of the sensitivity tests.</w:t>
      </w:r>
    </w:p>
    <w:p w14:paraId="3C257544" w14:textId="77777777" w:rsidR="004E78F6" w:rsidRDefault="004E78F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As mentioned in the main text, we tested different compositional densities for the incoming plates in the numerical models (</w:t>
      </w:r>
      <w:r>
        <w:rPr>
          <w:rFonts w:ascii="Times New Roman" w:hAnsi="Times New Roman" w:cs="Times New Roman"/>
          <w:color w:val="0000FF"/>
          <w:sz w:val="24"/>
          <w:szCs w:val="24"/>
        </w:rPr>
        <w:t>Figures S5, S7, S9, S11, S24</w:t>
      </w:r>
      <w:r>
        <w:rPr>
          <w:rFonts w:ascii="Times New Roman" w:hAnsi="Times New Roman" w:cs="Times New Roman"/>
          <w:sz w:val="24"/>
          <w:szCs w:val="24"/>
        </w:rPr>
        <w:t>). The density of the incoming continental lithospheric mantle (ICLM, including the cratonic Indian plate) does not obviously affect the final plateau width but can determine the final plateau elevation. To increase the ICLM composition density by 20 kg/m</w:t>
      </w:r>
      <w:r>
        <w:rPr>
          <w:rFonts w:ascii="Times New Roman" w:hAnsi="Times New Roman" w:cs="Times New Roman"/>
          <w:sz w:val="24"/>
          <w:szCs w:val="24"/>
          <w:vertAlign w:val="superscript"/>
        </w:rPr>
        <w:t>3</w:t>
      </w:r>
      <w:r>
        <w:rPr>
          <w:rFonts w:ascii="Times New Roman" w:hAnsi="Times New Roman" w:cs="Times New Roman"/>
          <w:sz w:val="24"/>
          <w:szCs w:val="24"/>
        </w:rPr>
        <w:t>, the average elevation of the plateau will be ~30-60 m higher (</w:t>
      </w:r>
      <w:r>
        <w:rPr>
          <w:rFonts w:ascii="Times New Roman" w:hAnsi="Times New Roman" w:cs="Times New Roman"/>
          <w:color w:val="0000FF"/>
          <w:sz w:val="24"/>
          <w:szCs w:val="24"/>
        </w:rPr>
        <w:t>Figures S6, S8, S10, S12, S24</w:t>
      </w:r>
      <w:r>
        <w:rPr>
          <w:rFonts w:ascii="Times New Roman" w:hAnsi="Times New Roman" w:cs="Times New Roman"/>
          <w:sz w:val="24"/>
          <w:szCs w:val="24"/>
        </w:rPr>
        <w:t xml:space="preserve">). In these sensitivity tests, the melting patterns change slightly when the ICLM compositional density is </w:t>
      </w:r>
      <w:r>
        <w:rPr>
          <w:rFonts w:ascii="Calibri" w:hAnsi="Calibri" w:cs="Calibri"/>
          <w:sz w:val="24"/>
          <w:szCs w:val="24"/>
        </w:rPr>
        <w:t>≤</w:t>
      </w:r>
      <w:r>
        <w:rPr>
          <w:rFonts w:ascii="Times New Roman" w:hAnsi="Times New Roman" w:cs="Times New Roman"/>
          <w:sz w:val="24"/>
          <w:szCs w:val="24"/>
        </w:rPr>
        <w:t>3360 kg/</w:t>
      </w:r>
      <w:r>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Pr>
          <w:rFonts w:ascii="Times New Roman" w:hAnsi="Times New Roman" w:cs="Times New Roman"/>
          <w:color w:val="0000FF"/>
          <w:sz w:val="24"/>
          <w:szCs w:val="24"/>
        </w:rPr>
        <w:t>Figures S6, S8, S10, S12</w:t>
      </w:r>
      <w:r>
        <w:rPr>
          <w:rFonts w:ascii="Times New Roman" w:hAnsi="Times New Roman" w:cs="Times New Roman"/>
          <w:sz w:val="24"/>
          <w:szCs w:val="24"/>
        </w:rPr>
        <w:t>). In the scenarios where the cratonic Indian plate develops steep subduction, the melting close to the suture keeps active at the end of the model (</w:t>
      </w:r>
      <w:r w:rsidRPr="00423135">
        <w:rPr>
          <w:rFonts w:ascii="Times New Roman" w:hAnsi="Times New Roman" w:cs="Times New Roman"/>
          <w:color w:val="0000FF"/>
          <w:sz w:val="24"/>
          <w:szCs w:val="24"/>
        </w:rPr>
        <w:t>Figures S6d, S16d</w:t>
      </w:r>
      <w:r>
        <w:rPr>
          <w:rFonts w:ascii="Times New Roman" w:hAnsi="Times New Roman" w:cs="Times New Roman"/>
          <w:color w:val="0000FF"/>
          <w:sz w:val="24"/>
          <w:szCs w:val="24"/>
        </w:rPr>
        <w:t>, S24</w:t>
      </w:r>
      <w:r>
        <w:rPr>
          <w:rFonts w:ascii="Times New Roman" w:hAnsi="Times New Roman" w:cs="Times New Roman"/>
          <w:sz w:val="24"/>
          <w:szCs w:val="24"/>
        </w:rPr>
        <w:t>), in contrast with the observations (</w:t>
      </w:r>
      <w:r>
        <w:rPr>
          <w:rFonts w:ascii="Times New Roman" w:hAnsi="Times New Roman" w:cs="Times New Roman"/>
          <w:color w:val="0000FF"/>
          <w:sz w:val="24"/>
          <w:szCs w:val="24"/>
        </w:rPr>
        <w:t>Figures 2a-2b</w:t>
      </w:r>
      <w:r>
        <w:rPr>
          <w:rFonts w:ascii="Times New Roman" w:hAnsi="Times New Roman" w:cs="Times New Roman"/>
          <w:sz w:val="24"/>
          <w:szCs w:val="24"/>
        </w:rPr>
        <w:t xml:space="preserve">). </w:t>
      </w:r>
    </w:p>
    <w:p w14:paraId="0410924A" w14:textId="77777777" w:rsidR="004E78F6" w:rsidRDefault="004E78F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lastRenderedPageBreak/>
        <w:t xml:space="preserve">In the </w:t>
      </w:r>
      <w:r w:rsidRPr="00423135">
        <w:rPr>
          <w:rFonts w:ascii="Times New Roman" w:hAnsi="Times New Roman" w:cs="Times New Roman"/>
          <w:b/>
          <w:bCs/>
          <w:sz w:val="24"/>
          <w:szCs w:val="24"/>
        </w:rPr>
        <w:t xml:space="preserve">Type </w:t>
      </w:r>
      <w:r>
        <w:rPr>
          <w:rFonts w:ascii="Times New Roman" w:hAnsi="Times New Roman" w:cs="Times New Roman"/>
          <w:b/>
          <w:bCs/>
          <w:sz w:val="24"/>
          <w:szCs w:val="24"/>
        </w:rPr>
        <w:t xml:space="preserve">6 </w:t>
      </w:r>
      <w:r>
        <w:rPr>
          <w:rFonts w:ascii="Times New Roman" w:hAnsi="Times New Roman" w:cs="Times New Roman"/>
          <w:sz w:val="24"/>
          <w:szCs w:val="24"/>
        </w:rPr>
        <w:t>models, except for the effects of the ICLM, we also tested the effects of the overriding-plate viscosity (</w:t>
      </w:r>
      <w:r>
        <w:rPr>
          <w:rFonts w:ascii="Times New Roman" w:hAnsi="Times New Roman" w:cs="Times New Roman"/>
          <w:color w:val="0000FF"/>
          <w:sz w:val="24"/>
          <w:szCs w:val="24"/>
        </w:rPr>
        <w:t>Figure S22</w:t>
      </w:r>
      <w:r>
        <w:rPr>
          <w:rFonts w:ascii="Times New Roman" w:hAnsi="Times New Roman" w:cs="Times New Roman"/>
          <w:sz w:val="24"/>
          <w:szCs w:val="24"/>
        </w:rPr>
        <w:t>), the terrane slab rheology (</w:t>
      </w:r>
      <w:r>
        <w:rPr>
          <w:rFonts w:ascii="Times New Roman" w:hAnsi="Times New Roman" w:cs="Times New Roman"/>
          <w:color w:val="0000FF"/>
          <w:sz w:val="24"/>
          <w:szCs w:val="24"/>
        </w:rPr>
        <w:t>Figure S23</w:t>
      </w:r>
      <w:r>
        <w:rPr>
          <w:rFonts w:ascii="Times New Roman" w:hAnsi="Times New Roman" w:cs="Times New Roman"/>
          <w:sz w:val="24"/>
          <w:szCs w:val="24"/>
        </w:rPr>
        <w:t>), and the lower mantle viscosity (</w:t>
      </w:r>
      <w:r>
        <w:rPr>
          <w:rFonts w:ascii="Times New Roman" w:hAnsi="Times New Roman" w:cs="Times New Roman"/>
          <w:color w:val="0000FF"/>
          <w:sz w:val="24"/>
          <w:szCs w:val="24"/>
        </w:rPr>
        <w:t>Figure S25</w:t>
      </w:r>
      <w:r>
        <w:rPr>
          <w:rFonts w:ascii="Times New Roman" w:hAnsi="Times New Roman" w:cs="Times New Roman"/>
          <w:sz w:val="24"/>
          <w:szCs w:val="24"/>
        </w:rPr>
        <w:t>):</w:t>
      </w:r>
    </w:p>
    <w:p w14:paraId="0AC8D988" w14:textId="77777777" w:rsidR="004E78F6" w:rsidRDefault="004E78F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1) The maximum yielding stress of the overriding-plate crust does not noticeably affect the terrane slab evolution (</w:t>
      </w:r>
      <w:r>
        <w:rPr>
          <w:rFonts w:ascii="Times New Roman" w:hAnsi="Times New Roman" w:cs="Times New Roman"/>
          <w:color w:val="0000FF"/>
          <w:sz w:val="24"/>
          <w:szCs w:val="24"/>
        </w:rPr>
        <w:t>Figures S22a-S22c</w:t>
      </w:r>
      <w:r>
        <w:rPr>
          <w:rFonts w:ascii="Times New Roman" w:hAnsi="Times New Roman" w:cs="Times New Roman"/>
          <w:sz w:val="24"/>
          <w:szCs w:val="24"/>
        </w:rPr>
        <w:t>); however, if the lithospheric mantle of the overriding plate strongly resists shortening, the initiation of the flat terrane subduction delays by ~9 Myr, leading to a distinctive evolution of the lithospheric deformation and melting (</w:t>
      </w:r>
      <w:r>
        <w:rPr>
          <w:rFonts w:ascii="Times New Roman" w:hAnsi="Times New Roman" w:cs="Times New Roman"/>
          <w:color w:val="0000FF"/>
          <w:sz w:val="24"/>
          <w:szCs w:val="24"/>
        </w:rPr>
        <w:t>Figure S22d</w:t>
      </w:r>
      <w:r>
        <w:rPr>
          <w:rFonts w:ascii="Times New Roman" w:hAnsi="Times New Roman" w:cs="Times New Roman"/>
          <w:sz w:val="24"/>
          <w:szCs w:val="24"/>
        </w:rPr>
        <w:t xml:space="preserve">). </w:t>
      </w:r>
    </w:p>
    <w:p w14:paraId="564DF62B" w14:textId="77777777" w:rsidR="004E78F6" w:rsidRDefault="004E78F6" w:rsidP="00C57870">
      <w:pPr>
        <w:spacing w:after="80" w:line="360" w:lineRule="auto"/>
        <w:ind w:firstLine="418"/>
        <w:jc w:val="both"/>
        <w:rPr>
          <w:rFonts w:ascii="Times New Roman" w:hAnsi="Times New Roman" w:cs="Times New Roman"/>
          <w:sz w:val="24"/>
          <w:szCs w:val="24"/>
        </w:rPr>
      </w:pPr>
      <w:bookmarkStart w:id="0" w:name="_Hlk103065904"/>
      <w:r>
        <w:rPr>
          <w:rFonts w:ascii="Times New Roman" w:hAnsi="Times New Roman" w:cs="Times New Roman"/>
          <w:sz w:val="24"/>
          <w:szCs w:val="24"/>
        </w:rPr>
        <w:t>2) We found that the rapid roll-back of the oceanic slab could drag the terrane towards the trench (</w:t>
      </w:r>
      <w:r>
        <w:rPr>
          <w:rFonts w:ascii="Times New Roman" w:hAnsi="Times New Roman" w:cs="Times New Roman"/>
          <w:color w:val="0000FF"/>
          <w:sz w:val="24"/>
          <w:szCs w:val="24"/>
        </w:rPr>
        <w:t>Figures 4e-4f</w:t>
      </w: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&lt;EndNote&gt;&lt;Cite&gt;&lt;Author&gt;Liu&lt;/Author&gt;&lt;Year&gt;2021&lt;/Year&gt;&lt;RecNum&gt;125&lt;/RecNum&gt;&lt;DisplayText&gt;&lt;style face="superscript"&gt;19,26&lt;/style&gt;&lt;/DisplayText&gt;&lt;record&gt;&lt;rec-number&gt;125&lt;/rec-number&gt;&lt;foreign-keys&gt;&lt;key app="EN" db-id="tdxrezrw75tefqev5eapd9seted2t9ps2sd9" timestamp="1646187004"&gt;125&lt;/key&gt;&lt;/foreign-keys&gt;&lt;ref-type name="Journal Article"&gt;17&lt;/ref-type&gt;&lt;contributors&gt;&lt;authors&gt;&lt;author&gt;Liu, Liang&lt;/author&gt;&lt;author&gt;Liu, Lijun&lt;/author&gt;&lt;author&gt;Xu, Yi-Gang&lt;/author&gt;&lt;/authors&gt;&lt;/contributors&gt;&lt;titles&gt;&lt;title&gt;Mesozoic intraplate tectonism of East Asia due to flat subduction of a composite terrane slab&lt;/title&gt;&lt;secondary-title&gt;Earth-Science Reviews&lt;/secondary-title&gt;&lt;/titles&gt;&lt;periodical&gt;&lt;full-title&gt;Earth-Science Reviews&lt;/full-title&gt;&lt;/periodical&gt;&lt;pages&gt;103505&lt;/pages&gt;&lt;volume&gt;214&lt;/volume&gt;&lt;dates&gt;&lt;year&gt;2021&lt;/year&gt;&lt;/dates&gt;&lt;isbn&gt;0012-8252&lt;/isbn&gt;&lt;urls&gt;&lt;/urls&gt;&lt;/record&gt;&lt;/Cite&gt;&lt;Cite&gt;&lt;Author&gt;Liu&lt;/Author&gt;&lt;Year&gt;2021&lt;/Year&gt;&lt;RecNum&gt;122&lt;/RecNum&gt;&lt;record&gt;&lt;rec-number&gt;122&lt;/rec-number&gt;&lt;foreign-keys&gt;&lt;key app="EN" db-id="tdxrezrw75tefqev5eapd9set</w:instrText>
      </w:r>
      <w:r>
        <w:rPr>
          <w:rFonts w:ascii="Times New Roman" w:hAnsi="Times New Roman" w:cs="Times New Roman" w:hint="eastAsia"/>
          <w:sz w:val="24"/>
          <w:szCs w:val="24"/>
        </w:rPr>
        <w:instrText>ed2t9ps2sd9" timestamp="1646186967"&gt;122&lt;/key&gt;&lt;/foreign-keys&gt;&lt;ref-type name="Journal Article"&gt;17&lt;/ref-type&gt;&lt;contributors&gt;&lt;authors&gt;&lt;author&gt;Liu, Liang&lt;/author&gt;&lt;author&gt;Liu, Lijun&lt;/author&gt;&lt;author&gt;Xu, Yi</w:instrText>
      </w:r>
      <w:r>
        <w:rPr>
          <w:rFonts w:ascii="Times New Roman" w:hAnsi="Times New Roman" w:cs="Times New Roman" w:hint="eastAsia"/>
          <w:sz w:val="24"/>
          <w:szCs w:val="24"/>
        </w:rPr>
        <w:instrText>‐</w:instrText>
      </w:r>
      <w:r>
        <w:rPr>
          <w:rFonts w:ascii="Times New Roman" w:hAnsi="Times New Roman" w:cs="Times New Roman" w:hint="eastAsia"/>
          <w:sz w:val="24"/>
          <w:szCs w:val="24"/>
        </w:rPr>
        <w:instrText>Gang&lt;/author&gt;&lt;/authors&gt;&lt;/contributors&gt;&lt;titles&gt;&lt;title&gt;Intermittent Post</w:instrText>
      </w:r>
      <w:r>
        <w:rPr>
          <w:rFonts w:ascii="Times New Roman" w:hAnsi="Times New Roman" w:cs="Times New Roman" w:hint="eastAsia"/>
          <w:sz w:val="24"/>
          <w:szCs w:val="24"/>
        </w:rPr>
        <w:instrText>‐</w:instrText>
      </w:r>
      <w:r>
        <w:rPr>
          <w:rFonts w:ascii="Times New Roman" w:hAnsi="Times New Roman" w:cs="Times New Roman" w:hint="eastAsia"/>
          <w:sz w:val="24"/>
          <w:szCs w:val="24"/>
        </w:rPr>
        <w:instrText>Paleocene Continental Collision in South Asia&lt;/title&gt;&lt;secondary-title&gt;Geophysical Research Letters&lt;/secondary-title&gt;&lt;/titles&gt;&lt;periodical&gt;&lt;full-title&gt;Geophysical Research Letters&lt;/full-title&gt;&lt;/periodical&gt;&lt;pages&gt;e2021GL094531&lt;/pages&gt;&lt;volume&gt;48</w:instrText>
      </w:r>
      <w:r>
        <w:rPr>
          <w:rFonts w:ascii="Times New Roman" w:hAnsi="Times New Roman" w:cs="Times New Roman"/>
          <w:sz w:val="24"/>
          <w:szCs w:val="24"/>
        </w:rPr>
        <w:instrText>&lt;/volume&gt;&lt;number&gt;14&lt;/number&gt;&lt;dates&gt;&lt;year&gt;2021&lt;/year&gt;&lt;/dates&gt;&lt;isbn&gt;0094-8276&lt;/isbn&gt;&lt;urls&gt;&lt;/urls&gt;&lt;/record&gt;&lt;/Cite&gt;&lt;/EndNote&gt;</w:instrText>
      </w:r>
      <w:r>
        <w:rPr>
          <w:rFonts w:ascii="Times New Roman" w:hAnsi="Times New Roman" w:cs="Times New Roman"/>
          <w:sz w:val="24"/>
          <w:szCs w:val="24"/>
        </w:rPr>
        <w:fldChar w:fldCharType="separate"/>
      </w:r>
      <w:r w:rsidRPr="00322CAC">
        <w:rPr>
          <w:rFonts w:ascii="Times New Roman" w:hAnsi="Times New Roman" w:cs="Times New Roman"/>
          <w:noProof/>
          <w:sz w:val="24"/>
          <w:szCs w:val="24"/>
          <w:vertAlign w:val="superscript"/>
        </w:rPr>
        <w:t>19,26</w:t>
      </w:r>
      <w:r>
        <w:rPr>
          <w:rFonts w:ascii="Times New Roman" w:hAnsi="Times New Roman" w:cs="Times New Roman"/>
          <w:sz w:val="24"/>
          <w:szCs w:val="24"/>
        </w:rPr>
        <w:fldChar w:fldCharType="end"/>
      </w:r>
      <w:r>
        <w:rPr>
          <w:rFonts w:ascii="Times New Roman" w:hAnsi="Times New Roman" w:cs="Times New Roman"/>
          <w:sz w:val="24"/>
          <w:szCs w:val="24"/>
        </w:rPr>
        <w:t>. This process tears the terrane slab into two parts, while the scale of the relic terrane beneath the overriding plate highly depends on the rheology of the terrane slab (</w:t>
      </w:r>
      <w:r>
        <w:rPr>
          <w:rFonts w:ascii="Times New Roman" w:hAnsi="Times New Roman" w:cs="Times New Roman"/>
          <w:color w:val="0000FF"/>
          <w:sz w:val="24"/>
          <w:szCs w:val="24"/>
        </w:rPr>
        <w:t>Figures 4, S23</w:t>
      </w:r>
      <w:r>
        <w:rPr>
          <w:rFonts w:ascii="Times New Roman" w:hAnsi="Times New Roman" w:cs="Times New Roman"/>
          <w:sz w:val="24"/>
          <w:szCs w:val="24"/>
        </w:rPr>
        <w:t>). An extensive relic terrane can protect the post-delamination Tibetan lithosphere from the hot underlying mantle (</w:t>
      </w:r>
      <w:r>
        <w:rPr>
          <w:rFonts w:ascii="Times New Roman" w:hAnsi="Times New Roman" w:cs="Times New Roman"/>
          <w:color w:val="0000FF"/>
          <w:sz w:val="24"/>
          <w:szCs w:val="24"/>
        </w:rPr>
        <w:t>Figure 3d, 4</w:t>
      </w:r>
      <w:r>
        <w:rPr>
          <w:rFonts w:ascii="Times New Roman" w:hAnsi="Times New Roman" w:cs="Times New Roman"/>
          <w:sz w:val="24"/>
          <w:szCs w:val="24"/>
        </w:rPr>
        <w:t>), and thus, may help explain the magmatic hiatus in the central plateau after ~25 Ma (</w:t>
      </w:r>
      <w:r>
        <w:rPr>
          <w:rFonts w:ascii="Times New Roman" w:hAnsi="Times New Roman" w:cs="Times New Roman"/>
          <w:color w:val="0000FF"/>
          <w:sz w:val="24"/>
          <w:szCs w:val="24"/>
        </w:rPr>
        <w:t>Figure 2b</w:t>
      </w:r>
      <w:r>
        <w:rPr>
          <w:rFonts w:ascii="Times New Roman" w:hAnsi="Times New Roman" w:cs="Times New Roman"/>
          <w:sz w:val="24"/>
          <w:szCs w:val="24"/>
        </w:rPr>
        <w:t>). The low yielding stress (20 MPa) that we presumed for the terrane slab during the roll-back of the oceanic slab (</w:t>
      </w:r>
      <w:r>
        <w:rPr>
          <w:rFonts w:ascii="Times New Roman" w:hAnsi="Times New Roman" w:cs="Times New Roman"/>
          <w:color w:val="0000FF"/>
          <w:sz w:val="24"/>
          <w:szCs w:val="24"/>
        </w:rPr>
        <w:t>Figure 4</w:t>
      </w:r>
      <w:r>
        <w:rPr>
          <w:rFonts w:ascii="Times New Roman" w:hAnsi="Times New Roman" w:cs="Times New Roman"/>
          <w:sz w:val="24"/>
          <w:szCs w:val="24"/>
        </w:rPr>
        <w:t>) could be due to the fluids released from the underlying slab (</w:t>
      </w:r>
      <w:r>
        <w:rPr>
          <w:rFonts w:ascii="Times New Roman" w:hAnsi="Times New Roman" w:cs="Times New Roman"/>
          <w:color w:val="0000FF"/>
          <w:sz w:val="24"/>
          <w:szCs w:val="24"/>
        </w:rPr>
        <w:t>Figure 4e</w:t>
      </w:r>
      <w:r>
        <w:rPr>
          <w:rFonts w:ascii="Times New Roman" w:hAnsi="Times New Roman" w:cs="Times New Roman"/>
          <w:sz w:val="24"/>
          <w:szCs w:val="24"/>
        </w:rPr>
        <w:t>) (</w:t>
      </w:r>
      <w:r>
        <w:rPr>
          <w:rFonts w:ascii="Times New Roman" w:hAnsi="Times New Roman" w:cs="Times New Roman"/>
          <w:i/>
          <w:iCs/>
          <w:sz w:val="24"/>
          <w:szCs w:val="24"/>
        </w:rPr>
        <w:t>cf.</w:t>
      </w:r>
      <w:r>
        <w:rPr>
          <w:rFonts w:ascii="Times New Roman" w:hAnsi="Times New Roman" w:cs="Times New Roman"/>
          <w:sz w:val="24"/>
          <w:szCs w:val="24"/>
        </w:rPr>
        <w:t xml:space="preserve">, </w:t>
      </w:r>
      <w:proofErr w:type="spellStart"/>
      <w:r w:rsidRPr="00E332CB">
        <w:rPr>
          <w:rFonts w:ascii="Times New Roman" w:hAnsi="Times New Roman" w:cs="Times New Roman"/>
          <w:sz w:val="24"/>
          <w:szCs w:val="24"/>
        </w:rPr>
        <w:t>Hirth</w:t>
      </w:r>
      <w:proofErr w:type="spellEnd"/>
      <w:r w:rsidRPr="00E332CB">
        <w:rPr>
          <w:rFonts w:ascii="Times New Roman" w:hAnsi="Times New Roman" w:cs="Times New Roman"/>
          <w:sz w:val="24"/>
          <w:szCs w:val="24"/>
        </w:rPr>
        <w:t xml:space="preserve"> and </w:t>
      </w:r>
      <w:proofErr w:type="spellStart"/>
      <w:r w:rsidRPr="00E332CB">
        <w:rPr>
          <w:rFonts w:ascii="Times New Roman" w:hAnsi="Times New Roman" w:cs="Times New Roman"/>
          <w:sz w:val="24"/>
          <w:szCs w:val="24"/>
        </w:rPr>
        <w:t>Kohlstedf</w:t>
      </w:r>
      <w:proofErr w:type="spellEnd"/>
      <w:r w:rsidRPr="00E332CB">
        <w:rPr>
          <w:rFonts w:ascii="Times New Roman" w:hAnsi="Times New Roman" w:cs="Times New Roman"/>
          <w:sz w:val="24"/>
          <w:szCs w:val="24"/>
        </w:rPr>
        <w:t>, 2003</w:t>
      </w:r>
      <w:r>
        <w:rPr>
          <w:rFonts w:ascii="Times New Roman" w:hAnsi="Times New Roman" w:cs="Times New Roman"/>
          <w:sz w:val="24"/>
          <w:szCs w:val="24"/>
        </w:rPr>
        <w:t>)</w:t>
      </w:r>
      <w:r w:rsidRPr="00322CAC">
        <w:rPr>
          <w:rFonts w:ascii="Times New Roman" w:hAnsi="Times New Roman" w:cs="Times New Roman"/>
          <w:noProof/>
          <w:sz w:val="24"/>
          <w:szCs w:val="24"/>
          <w:vertAlign w:val="superscript"/>
        </w:rPr>
        <w:t>77</w:t>
      </w:r>
      <w:r>
        <w:rPr>
          <w:rFonts w:ascii="Times New Roman" w:hAnsi="Times New Roman" w:cs="Times New Roman"/>
          <w:sz w:val="24"/>
          <w:szCs w:val="24"/>
        </w:rPr>
        <w:t>. As we did not explicitly calculate the effect of fluids on yielding behaviors, this parameter choice could be largely suppositional but within the estimated ranges for lithospheric deformation (</w:t>
      </w:r>
      <w:r>
        <w:rPr>
          <w:rFonts w:ascii="Times New Roman" w:hAnsi="Times New Roman" w:cs="Times New Roman"/>
          <w:i/>
          <w:iCs/>
          <w:sz w:val="24"/>
          <w:szCs w:val="24"/>
        </w:rPr>
        <w:t>cf.</w:t>
      </w:r>
      <w:r>
        <w:rPr>
          <w:rFonts w:ascii="Times New Roman" w:hAnsi="Times New Roman" w:cs="Times New Roman"/>
          <w:sz w:val="24"/>
          <w:szCs w:val="24"/>
        </w:rPr>
        <w:t xml:space="preserve">, </w:t>
      </w:r>
      <w:r w:rsidRPr="00E332CB">
        <w:rPr>
          <w:rFonts w:ascii="Times New Roman" w:hAnsi="Times New Roman" w:cs="Times New Roman"/>
          <w:sz w:val="24"/>
          <w:szCs w:val="24"/>
        </w:rPr>
        <w:t>Ghosh and Holt, 2012</w:t>
      </w:r>
      <w:r>
        <w:rPr>
          <w:rFonts w:ascii="Times New Roman" w:hAnsi="Times New Roman" w:cs="Times New Roman"/>
          <w:sz w:val="24"/>
          <w:szCs w:val="24"/>
        </w:rPr>
        <w:t>)</w:t>
      </w:r>
      <w:r w:rsidRPr="00322CAC">
        <w:rPr>
          <w:rFonts w:ascii="Times New Roman" w:hAnsi="Times New Roman" w:cs="Times New Roman"/>
          <w:noProof/>
          <w:sz w:val="24"/>
          <w:szCs w:val="24"/>
          <w:vertAlign w:val="superscript"/>
        </w:rPr>
        <w:t>78</w:t>
      </w:r>
      <w:r>
        <w:rPr>
          <w:rFonts w:ascii="Times New Roman" w:hAnsi="Times New Roman" w:cs="Times New Roman"/>
          <w:sz w:val="24"/>
          <w:szCs w:val="24"/>
        </w:rPr>
        <w:t>.</w:t>
      </w:r>
    </w:p>
    <w:bookmarkEnd w:id="0"/>
    <w:p w14:paraId="07E9BF91" w14:textId="77777777" w:rsidR="004E78F6" w:rsidRDefault="004E78F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3) The lower mantle viscosity determines the sinking rate of slabs (</w:t>
      </w:r>
      <w:r>
        <w:rPr>
          <w:rFonts w:ascii="Times New Roman" w:hAnsi="Times New Roman" w:cs="Times New Roman"/>
          <w:color w:val="0000FF"/>
          <w:sz w:val="24"/>
          <w:szCs w:val="24"/>
        </w:rPr>
        <w:t>Figure S25</w:t>
      </w:r>
      <w:r>
        <w:rPr>
          <w:rFonts w:ascii="Times New Roman" w:hAnsi="Times New Roman" w:cs="Times New Roman"/>
          <w:sz w:val="24"/>
          <w:szCs w:val="24"/>
        </w:rPr>
        <w:t>). The slab sinking rate keeps unchanged when the lower mantle viscosity is larger than 5</w:t>
      </w:r>
      <w:r>
        <w:rPr>
          <w:rFonts w:ascii="Calibri" w:hAnsi="Calibri" w:cs="Calibri"/>
          <w:sz w:val="24"/>
          <w:szCs w:val="24"/>
        </w:rPr>
        <w:t>×</w:t>
      </w:r>
      <w:r>
        <w:rPr>
          <w:rFonts w:ascii="Times New Roman" w:hAnsi="Times New Roman" w:cs="Times New Roman"/>
          <w:sz w:val="24"/>
          <w:szCs w:val="24"/>
        </w:rPr>
        <w:t xml:space="preserve"> 10</w:t>
      </w:r>
      <w:r>
        <w:rPr>
          <w:rFonts w:ascii="Times New Roman" w:hAnsi="Times New Roman" w:cs="Times New Roman"/>
          <w:sz w:val="24"/>
          <w:szCs w:val="24"/>
          <w:vertAlign w:val="superscript"/>
        </w:rPr>
        <w:t>22</w:t>
      </w:r>
      <w:r>
        <w:rPr>
          <w:rFonts w:ascii="Times New Roman" w:hAnsi="Times New Roman" w:cs="Times New Roman"/>
          <w:sz w:val="24"/>
          <w:szCs w:val="24"/>
        </w:rPr>
        <w:t xml:space="preserve"> </w:t>
      </w:r>
      <w:proofErr w:type="spellStart"/>
      <w:r>
        <w:rPr>
          <w:rFonts w:ascii="Times New Roman" w:hAnsi="Times New Roman" w:cs="Times New Roman"/>
          <w:sz w:val="24"/>
          <w:szCs w:val="24"/>
        </w:rPr>
        <w:t>Pa</w:t>
      </w:r>
      <w:r>
        <w:rPr>
          <w:rFonts w:ascii="Calibri" w:hAnsi="Calibri" w:cs="Calibri"/>
          <w:sz w:val="24"/>
          <w:szCs w:val="24"/>
        </w:rPr>
        <w:t>·</w:t>
      </w:r>
      <w:r>
        <w:rPr>
          <w:rFonts w:ascii="Times New Roman" w:hAnsi="Times New Roman" w:cs="Times New Roman"/>
          <w:sz w:val="24"/>
          <w:szCs w:val="24"/>
        </w:rPr>
        <w:t>s</w:t>
      </w:r>
      <w:proofErr w:type="spellEnd"/>
      <w:r>
        <w:rPr>
          <w:rFonts w:ascii="Times New Roman" w:hAnsi="Times New Roman" w:cs="Times New Roman"/>
          <w:sz w:val="24"/>
          <w:szCs w:val="24"/>
        </w:rPr>
        <w:t xml:space="preserve"> (</w:t>
      </w:r>
      <w:r>
        <w:rPr>
          <w:rFonts w:ascii="Times New Roman" w:hAnsi="Times New Roman" w:cs="Times New Roman"/>
          <w:color w:val="0000FF"/>
          <w:sz w:val="24"/>
          <w:szCs w:val="24"/>
        </w:rPr>
        <w:t>Figures S25d-S25f</w:t>
      </w:r>
      <w:r>
        <w:rPr>
          <w:rFonts w:ascii="Times New Roman" w:hAnsi="Times New Roman" w:cs="Times New Roman"/>
          <w:sz w:val="24"/>
          <w:szCs w:val="24"/>
        </w:rPr>
        <w:t>), and in these scenarios, the former slabs could partially stay within the upper mantle (</w:t>
      </w:r>
      <w:r>
        <w:rPr>
          <w:rFonts w:ascii="Times New Roman" w:hAnsi="Times New Roman" w:cs="Times New Roman"/>
          <w:color w:val="0000FF"/>
          <w:sz w:val="24"/>
          <w:szCs w:val="24"/>
        </w:rPr>
        <w:t>Figures S4, S25</w:t>
      </w:r>
      <w:r>
        <w:rPr>
          <w:rFonts w:ascii="Times New Roman" w:hAnsi="Times New Roman" w:cs="Times New Roman"/>
          <w:sz w:val="24"/>
          <w:szCs w:val="24"/>
        </w:rPr>
        <w:t xml:space="preserve">). </w:t>
      </w:r>
    </w:p>
    <w:p w14:paraId="2D66DF64" w14:textId="77777777" w:rsidR="004E78F6" w:rsidRDefault="004E78F6" w:rsidP="005208E5">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More sensitivity tests regarding the length, rheology, and density of incoming plates, the rheology of the overriding plates, and the convergence rate are in Liu et al., 2021a. </w:t>
      </w:r>
    </w:p>
    <w:p w14:paraId="5E94BE44" w14:textId="77777777" w:rsidR="004E78F6" w:rsidRDefault="004E78F6" w:rsidP="005208E5">
      <w:pPr>
        <w:spacing w:after="80" w:line="360" w:lineRule="auto"/>
        <w:jc w:val="both"/>
        <w:rPr>
          <w:rFonts w:ascii="Times New Roman" w:hAnsi="Times New Roman" w:cs="Times New Roman"/>
          <w:b/>
          <w:bCs/>
          <w:sz w:val="28"/>
          <w:szCs w:val="28"/>
          <w:lang w:val="en"/>
        </w:rPr>
      </w:pPr>
      <w:r w:rsidRPr="00423135">
        <w:rPr>
          <w:rFonts w:ascii="Times New Roman" w:hAnsi="Times New Roman" w:cs="Times New Roman"/>
          <w:b/>
          <w:bCs/>
          <w:sz w:val="28"/>
          <w:szCs w:val="28"/>
          <w:lang w:val="en"/>
        </w:rPr>
        <w:t>2. Supplementary movies</w:t>
      </w:r>
    </w:p>
    <w:p w14:paraId="0B5426B9" w14:textId="77777777" w:rsidR="004E78F6" w:rsidRDefault="004E78F6" w:rsidP="00D074DE">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Seven movies are presented to summarize the model evolution (</w:t>
      </w:r>
      <w:r w:rsidRPr="00423135">
        <w:rPr>
          <w:rFonts w:ascii="Times New Roman" w:hAnsi="Times New Roman" w:cs="Times New Roman"/>
          <w:color w:val="0000FF"/>
          <w:sz w:val="24"/>
          <w:szCs w:val="24"/>
        </w:rPr>
        <w:t xml:space="preserve">Figure </w:t>
      </w:r>
      <w:r>
        <w:rPr>
          <w:rFonts w:ascii="Times New Roman" w:hAnsi="Times New Roman" w:cs="Times New Roman"/>
          <w:color w:val="0000FF"/>
          <w:sz w:val="24"/>
          <w:szCs w:val="24"/>
        </w:rPr>
        <w:t>1</w:t>
      </w:r>
      <w:r w:rsidRPr="00423135">
        <w:rPr>
          <w:rFonts w:ascii="Times New Roman" w:hAnsi="Times New Roman" w:cs="Times New Roman"/>
          <w:color w:val="0000FF"/>
          <w:sz w:val="24"/>
          <w:szCs w:val="24"/>
        </w:rPr>
        <w:t>b</w:t>
      </w:r>
      <w:r>
        <w:rPr>
          <w:rFonts w:ascii="Times New Roman" w:hAnsi="Times New Roman" w:cs="Times New Roman"/>
          <w:sz w:val="24"/>
          <w:szCs w:val="24"/>
        </w:rPr>
        <w:t>) (plotting habits are the same as those in Figure 4) (</w:t>
      </w:r>
      <w:r w:rsidRPr="00423135">
        <w:rPr>
          <w:rFonts w:ascii="Times New Roman" w:hAnsi="Times New Roman" w:cs="Times New Roman"/>
          <w:color w:val="0000FF"/>
          <w:sz w:val="24"/>
          <w:szCs w:val="24"/>
        </w:rPr>
        <w:t>Table S</w:t>
      </w:r>
      <w:r>
        <w:rPr>
          <w:rFonts w:ascii="Times New Roman" w:hAnsi="Times New Roman" w:cs="Times New Roman"/>
          <w:color w:val="0000FF"/>
          <w:sz w:val="24"/>
          <w:szCs w:val="24"/>
        </w:rPr>
        <w:t>2</w:t>
      </w:r>
      <w:r>
        <w:rPr>
          <w:rFonts w:ascii="Times New Roman" w:hAnsi="Times New Roman" w:cs="Times New Roman"/>
          <w:sz w:val="24"/>
          <w:szCs w:val="24"/>
        </w:rPr>
        <w:t xml:space="preserve">). </w:t>
      </w:r>
    </w:p>
    <w:p w14:paraId="365E4FE3" w14:textId="77777777" w:rsidR="004E78F6" w:rsidRDefault="004E78F6" w:rsidP="00D074DE">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Movie-1: </w:t>
      </w:r>
      <w:r w:rsidRPr="00423135">
        <w:rPr>
          <w:rFonts w:ascii="Times New Roman" w:hAnsi="Times New Roman" w:cs="Times New Roman"/>
          <w:b/>
          <w:bCs/>
          <w:sz w:val="24"/>
          <w:szCs w:val="24"/>
        </w:rPr>
        <w:t>Type 1</w:t>
      </w:r>
      <w:r>
        <w:rPr>
          <w:rFonts w:ascii="Times New Roman" w:hAnsi="Times New Roman" w:cs="Times New Roman"/>
          <w:sz w:val="24"/>
          <w:szCs w:val="24"/>
        </w:rPr>
        <w:t xml:space="preserve"> Model (Run 4).</w:t>
      </w:r>
    </w:p>
    <w:p w14:paraId="5B2B98A5" w14:textId="77777777" w:rsidR="004E78F6" w:rsidRDefault="004E78F6" w:rsidP="00D074DE">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Movie-2: </w:t>
      </w:r>
      <w:r w:rsidRPr="00423135">
        <w:rPr>
          <w:rFonts w:ascii="Times New Roman" w:hAnsi="Times New Roman" w:cs="Times New Roman"/>
          <w:b/>
          <w:bCs/>
          <w:sz w:val="24"/>
          <w:szCs w:val="24"/>
        </w:rPr>
        <w:t>Type 2</w:t>
      </w:r>
      <w:r>
        <w:rPr>
          <w:rFonts w:ascii="Times New Roman" w:hAnsi="Times New Roman" w:cs="Times New Roman"/>
          <w:sz w:val="24"/>
          <w:szCs w:val="24"/>
        </w:rPr>
        <w:t xml:space="preserve"> Model (Run 6).</w:t>
      </w:r>
    </w:p>
    <w:p w14:paraId="328BE256" w14:textId="77777777" w:rsidR="004E78F6" w:rsidRDefault="004E78F6" w:rsidP="009F54EB">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lastRenderedPageBreak/>
        <w:t xml:space="preserve">Movie-3: </w:t>
      </w:r>
      <w:r w:rsidRPr="00423135">
        <w:rPr>
          <w:rFonts w:ascii="Times New Roman" w:hAnsi="Times New Roman" w:cs="Times New Roman"/>
          <w:b/>
          <w:bCs/>
          <w:sz w:val="24"/>
          <w:szCs w:val="24"/>
        </w:rPr>
        <w:t>Type 3</w:t>
      </w:r>
      <w:r>
        <w:rPr>
          <w:rFonts w:ascii="Times New Roman" w:hAnsi="Times New Roman" w:cs="Times New Roman"/>
          <w:sz w:val="24"/>
          <w:szCs w:val="24"/>
        </w:rPr>
        <w:t xml:space="preserve"> model (Run 9).</w:t>
      </w:r>
    </w:p>
    <w:p w14:paraId="3B76C267" w14:textId="77777777" w:rsidR="004E78F6" w:rsidRDefault="004E78F6" w:rsidP="009F54EB">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Movie-4: </w:t>
      </w:r>
      <w:r w:rsidRPr="00423135">
        <w:rPr>
          <w:rFonts w:ascii="Times New Roman" w:hAnsi="Times New Roman" w:cs="Times New Roman"/>
          <w:b/>
          <w:bCs/>
          <w:sz w:val="24"/>
          <w:szCs w:val="24"/>
        </w:rPr>
        <w:t>Type 4</w:t>
      </w:r>
      <w:r>
        <w:rPr>
          <w:rFonts w:ascii="Times New Roman" w:hAnsi="Times New Roman" w:cs="Times New Roman"/>
          <w:sz w:val="24"/>
          <w:szCs w:val="24"/>
        </w:rPr>
        <w:t xml:space="preserve"> model (Run 13).</w:t>
      </w:r>
    </w:p>
    <w:p w14:paraId="560CB5FE" w14:textId="77777777" w:rsidR="004E78F6" w:rsidRDefault="004E78F6" w:rsidP="00D30B9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Movie-5: </w:t>
      </w:r>
      <w:r w:rsidRPr="00423135">
        <w:rPr>
          <w:rFonts w:ascii="Times New Roman" w:hAnsi="Times New Roman" w:cs="Times New Roman"/>
          <w:b/>
          <w:bCs/>
          <w:sz w:val="24"/>
          <w:szCs w:val="24"/>
        </w:rPr>
        <w:t>Type 5</w:t>
      </w:r>
      <w:r>
        <w:rPr>
          <w:rFonts w:ascii="Times New Roman" w:hAnsi="Times New Roman" w:cs="Times New Roman"/>
          <w:sz w:val="24"/>
          <w:szCs w:val="24"/>
        </w:rPr>
        <w:t xml:space="preserve"> Model (Run 15).</w:t>
      </w:r>
    </w:p>
    <w:p w14:paraId="40AEC38A" w14:textId="77777777" w:rsidR="004E78F6" w:rsidRDefault="004E78F6" w:rsidP="009F54EB">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Movie-6: </w:t>
      </w:r>
      <w:r w:rsidRPr="00423135">
        <w:rPr>
          <w:rFonts w:ascii="Times New Roman" w:hAnsi="Times New Roman" w:cs="Times New Roman"/>
          <w:b/>
          <w:bCs/>
          <w:sz w:val="24"/>
          <w:szCs w:val="24"/>
        </w:rPr>
        <w:t>Type 5</w:t>
      </w:r>
      <w:r>
        <w:rPr>
          <w:rFonts w:ascii="Times New Roman" w:hAnsi="Times New Roman" w:cs="Times New Roman"/>
          <w:sz w:val="24"/>
          <w:szCs w:val="24"/>
        </w:rPr>
        <w:t xml:space="preserve"> Model (Run 18).</w:t>
      </w:r>
    </w:p>
    <w:p w14:paraId="0B905F0D" w14:textId="77777777" w:rsidR="004E78F6" w:rsidRDefault="004E78F6" w:rsidP="008423C0">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Movie-7: </w:t>
      </w:r>
      <w:r w:rsidRPr="00423135">
        <w:rPr>
          <w:rFonts w:ascii="Times New Roman" w:hAnsi="Times New Roman" w:cs="Times New Roman"/>
          <w:b/>
          <w:bCs/>
          <w:sz w:val="24"/>
          <w:szCs w:val="24"/>
        </w:rPr>
        <w:t>Type 6</w:t>
      </w:r>
      <w:r>
        <w:rPr>
          <w:rFonts w:ascii="Times New Roman" w:hAnsi="Times New Roman" w:cs="Times New Roman"/>
          <w:sz w:val="24"/>
          <w:szCs w:val="24"/>
        </w:rPr>
        <w:t xml:space="preserve"> Model (Run 23).</w:t>
      </w:r>
    </w:p>
    <w:p w14:paraId="3C9B2800" w14:textId="77777777" w:rsidR="004E78F6" w:rsidRPr="00742AC7" w:rsidRDefault="004E78F6">
      <w:pPr>
        <w:spacing w:after="80" w:line="360" w:lineRule="auto"/>
        <w:ind w:firstLine="418"/>
        <w:jc w:val="both"/>
        <w:rPr>
          <w:rFonts w:ascii="Times New Roman" w:hAnsi="Times New Roman" w:cs="Times New Roman"/>
          <w:sz w:val="24"/>
          <w:szCs w:val="24"/>
        </w:rPr>
      </w:pPr>
      <w:r>
        <w:rPr>
          <w:rFonts w:ascii="Times New Roman" w:hAnsi="Times New Roman" w:cs="Times New Roman"/>
          <w:sz w:val="24"/>
          <w:szCs w:val="24"/>
        </w:rPr>
        <w:t xml:space="preserve">Movie-8: Evolution of viscosity and density fields in the Type 6 model (Run 23). The plotting habits are the same as those in Figures S19 and S20. </w:t>
      </w:r>
    </w:p>
    <w:p w14:paraId="275A5D45" w14:textId="77777777" w:rsidR="004E78F6" w:rsidRDefault="004E78F6">
      <w:pPr>
        <w:rPr>
          <w:rFonts w:ascii="Times New Roman" w:hAnsi="Times New Roman" w:cs="Times New Roman"/>
          <w:b/>
          <w:bCs/>
          <w:sz w:val="28"/>
          <w:szCs w:val="28"/>
          <w:lang w:val="en"/>
        </w:rPr>
        <w:sectPr w:rsidR="004E78F6">
          <w:pgSz w:w="12240" w:h="15840"/>
          <w:pgMar w:top="1440" w:right="1440" w:bottom="1440" w:left="1440" w:header="720" w:footer="720" w:gutter="0"/>
          <w:cols w:space="720"/>
          <w:docGrid w:linePitch="360"/>
        </w:sectPr>
      </w:pPr>
      <w:r>
        <w:rPr>
          <w:rFonts w:ascii="Times New Roman" w:hAnsi="Times New Roman" w:cs="Times New Roman"/>
          <w:b/>
          <w:bCs/>
          <w:sz w:val="28"/>
          <w:szCs w:val="28"/>
          <w:lang w:val="en"/>
        </w:rPr>
        <w:br w:type="page"/>
      </w:r>
    </w:p>
    <w:p w14:paraId="50B8EEAA" w14:textId="77777777" w:rsidR="004E78F6" w:rsidRDefault="004E78F6">
      <w:pPr>
        <w:spacing w:after="80" w:line="360" w:lineRule="auto"/>
        <w:jc w:val="both"/>
        <w:rPr>
          <w:rFonts w:ascii="Times New Roman" w:hAnsi="Times New Roman" w:cs="Times New Roman"/>
          <w:b/>
          <w:bCs/>
          <w:sz w:val="28"/>
          <w:szCs w:val="28"/>
          <w:lang w:val="en"/>
        </w:rPr>
      </w:pPr>
      <w:r>
        <w:rPr>
          <w:rFonts w:ascii="Times New Roman" w:hAnsi="Times New Roman" w:cs="Times New Roman"/>
          <w:b/>
          <w:bCs/>
          <w:sz w:val="28"/>
          <w:szCs w:val="28"/>
          <w:lang w:val="en"/>
        </w:rPr>
        <w:lastRenderedPageBreak/>
        <w:t>3. Supplementary tables and figures</w:t>
      </w:r>
    </w:p>
    <w:tbl>
      <w:tblPr>
        <w:tblStyle w:val="ad"/>
        <w:tblW w:w="0" w:type="auto"/>
        <w:jc w:val="center"/>
        <w:tblLook w:val="04A0" w:firstRow="1" w:lastRow="0" w:firstColumn="1" w:lastColumn="0" w:noHBand="0" w:noVBand="1"/>
      </w:tblPr>
      <w:tblGrid>
        <w:gridCol w:w="1338"/>
        <w:gridCol w:w="1000"/>
        <w:gridCol w:w="1059"/>
        <w:gridCol w:w="1058"/>
        <w:gridCol w:w="1058"/>
        <w:gridCol w:w="1058"/>
        <w:gridCol w:w="1055"/>
        <w:gridCol w:w="951"/>
        <w:gridCol w:w="1055"/>
        <w:gridCol w:w="926"/>
        <w:gridCol w:w="926"/>
        <w:gridCol w:w="996"/>
        <w:gridCol w:w="1105"/>
      </w:tblGrid>
      <w:tr w:rsidR="004E78F6" w14:paraId="67E69D7B" w14:textId="77777777" w:rsidTr="00597A39">
        <w:trPr>
          <w:trHeight w:val="144"/>
          <w:jc w:val="center"/>
        </w:trPr>
        <w:tc>
          <w:tcPr>
            <w:tcW w:w="0" w:type="auto"/>
            <w:vAlign w:val="center"/>
          </w:tcPr>
          <w:p w14:paraId="61A8DE5A"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hint="eastAsia"/>
                <w:b/>
                <w:bCs/>
              </w:rPr>
              <w:t>M</w:t>
            </w:r>
            <w:r>
              <w:rPr>
                <w:rFonts w:ascii="Times New Roman" w:hAnsi="Times New Roman" w:cs="Times New Roman"/>
                <w:b/>
                <w:bCs/>
              </w:rPr>
              <w:t>aterials</w:t>
            </w:r>
          </w:p>
        </w:tc>
        <w:tc>
          <w:tcPr>
            <w:tcW w:w="0" w:type="auto"/>
            <w:vAlign w:val="center"/>
          </w:tcPr>
          <w:p w14:paraId="2667006F" w14:textId="77777777" w:rsidR="004E78F6" w:rsidRDefault="004E78F6">
            <w:pPr>
              <w:spacing w:beforeLines="50" w:before="120"/>
              <w:jc w:val="center"/>
              <w:rPr>
                <w:rFonts w:ascii="Times New Roman" w:hAnsi="Times New Roman" w:cs="Times New Roman"/>
                <w:b/>
                <w:bCs/>
              </w:rPr>
            </w:pPr>
            <w:r>
              <w:rPr>
                <w:rFonts w:ascii="Times New Roman" w:eastAsia="宋体" w:hAnsi="Times New Roman" w:cs="Times New Roman"/>
                <w:b/>
                <w:bCs/>
              </w:rPr>
              <w:t>1</w:t>
            </w:r>
          </w:p>
        </w:tc>
        <w:tc>
          <w:tcPr>
            <w:tcW w:w="0" w:type="auto"/>
            <w:vAlign w:val="center"/>
          </w:tcPr>
          <w:p w14:paraId="58885EB7"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2</w:t>
            </w:r>
          </w:p>
        </w:tc>
        <w:tc>
          <w:tcPr>
            <w:tcW w:w="0" w:type="auto"/>
            <w:vAlign w:val="center"/>
          </w:tcPr>
          <w:p w14:paraId="02A67BC2"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3</w:t>
            </w:r>
          </w:p>
        </w:tc>
        <w:tc>
          <w:tcPr>
            <w:tcW w:w="0" w:type="auto"/>
            <w:vAlign w:val="center"/>
          </w:tcPr>
          <w:p w14:paraId="47E67CD2"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4</w:t>
            </w:r>
          </w:p>
        </w:tc>
        <w:tc>
          <w:tcPr>
            <w:tcW w:w="0" w:type="auto"/>
            <w:vAlign w:val="center"/>
          </w:tcPr>
          <w:p w14:paraId="704F58BC"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5</w:t>
            </w:r>
          </w:p>
        </w:tc>
        <w:tc>
          <w:tcPr>
            <w:tcW w:w="0" w:type="auto"/>
            <w:vAlign w:val="center"/>
          </w:tcPr>
          <w:p w14:paraId="2F0C09FA"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6</w:t>
            </w:r>
          </w:p>
        </w:tc>
        <w:tc>
          <w:tcPr>
            <w:tcW w:w="0" w:type="auto"/>
            <w:vAlign w:val="center"/>
          </w:tcPr>
          <w:p w14:paraId="7BE78206"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7</w:t>
            </w:r>
          </w:p>
        </w:tc>
        <w:tc>
          <w:tcPr>
            <w:tcW w:w="0" w:type="auto"/>
            <w:vAlign w:val="center"/>
          </w:tcPr>
          <w:p w14:paraId="7B7427F2"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8</w:t>
            </w:r>
          </w:p>
        </w:tc>
        <w:tc>
          <w:tcPr>
            <w:tcW w:w="0" w:type="auto"/>
            <w:vAlign w:val="center"/>
          </w:tcPr>
          <w:p w14:paraId="322D7436"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9</w:t>
            </w:r>
          </w:p>
        </w:tc>
        <w:tc>
          <w:tcPr>
            <w:tcW w:w="0" w:type="auto"/>
            <w:vAlign w:val="center"/>
          </w:tcPr>
          <w:p w14:paraId="14D01ADB" w14:textId="77777777" w:rsidR="004E78F6" w:rsidRDefault="004E78F6">
            <w:pPr>
              <w:spacing w:beforeLines="50" w:before="120"/>
              <w:jc w:val="center"/>
              <w:rPr>
                <w:rFonts w:ascii="Times New Roman" w:hAnsi="Times New Roman" w:cs="Times New Roman"/>
                <w:b/>
                <w:bCs/>
              </w:rPr>
            </w:pPr>
            <w:r>
              <w:rPr>
                <w:rFonts w:ascii="Times New Roman" w:hAnsi="Times New Roman" w:cs="Times New Roman"/>
                <w:b/>
                <w:bCs/>
              </w:rPr>
              <w:t>10</w:t>
            </w:r>
          </w:p>
        </w:tc>
        <w:tc>
          <w:tcPr>
            <w:tcW w:w="0" w:type="auto"/>
            <w:vAlign w:val="center"/>
          </w:tcPr>
          <w:p w14:paraId="0EA2F1DE" w14:textId="77777777" w:rsidR="004E78F6" w:rsidRDefault="004E78F6">
            <w:pPr>
              <w:spacing w:beforeLines="50" w:before="120"/>
              <w:jc w:val="center"/>
              <w:rPr>
                <w:rFonts w:ascii="Times New Roman" w:hAnsi="Times New Roman" w:cs="Times New Roman"/>
                <w:b/>
                <w:bCs/>
                <w:lang w:val="en"/>
              </w:rPr>
            </w:pPr>
            <w:r>
              <w:rPr>
                <w:rFonts w:ascii="Times New Roman" w:hAnsi="Times New Roman" w:cs="Times New Roman"/>
                <w:b/>
                <w:bCs/>
                <w:lang w:val="en"/>
              </w:rPr>
              <w:t>11</w:t>
            </w:r>
          </w:p>
        </w:tc>
        <w:tc>
          <w:tcPr>
            <w:tcW w:w="1033" w:type="dxa"/>
          </w:tcPr>
          <w:p w14:paraId="1C258EDE" w14:textId="77777777" w:rsidR="004E78F6" w:rsidRDefault="004E78F6">
            <w:pPr>
              <w:spacing w:beforeLines="50" w:before="120"/>
              <w:jc w:val="center"/>
              <w:rPr>
                <w:rFonts w:ascii="Times New Roman" w:hAnsi="Times New Roman" w:cs="Times New Roman"/>
                <w:b/>
                <w:bCs/>
                <w:lang w:val="en"/>
              </w:rPr>
            </w:pPr>
            <w:r>
              <w:rPr>
                <w:rFonts w:ascii="Times New Roman" w:hAnsi="Times New Roman" w:cs="Times New Roman"/>
                <w:b/>
                <w:bCs/>
                <w:lang w:val="en"/>
              </w:rPr>
              <w:t>12</w:t>
            </w:r>
          </w:p>
        </w:tc>
      </w:tr>
      <w:tr w:rsidR="004E78F6" w14:paraId="45333BCB" w14:textId="77777777" w:rsidTr="00597A39">
        <w:trPr>
          <w:trHeight w:val="144"/>
          <w:jc w:val="center"/>
        </w:trPr>
        <w:tc>
          <w:tcPr>
            <w:tcW w:w="0" w:type="auto"/>
            <w:gridSpan w:val="12"/>
            <w:shd w:val="clear" w:color="auto" w:fill="D9D9D9" w:themeFill="background1" w:themeFillShade="D9"/>
            <w:vAlign w:val="center"/>
          </w:tcPr>
          <w:p w14:paraId="153478CA" w14:textId="77777777" w:rsidR="004E78F6" w:rsidRDefault="004E78F6">
            <w:pPr>
              <w:spacing w:beforeLines="50" w:before="120"/>
              <w:jc w:val="center"/>
              <w:rPr>
                <w:rFonts w:ascii="Times New Roman" w:hAnsi="Times New Roman" w:cs="Times New Roman"/>
              </w:rPr>
            </w:pPr>
            <w:r>
              <w:rPr>
                <w:rFonts w:ascii="Times New Roman" w:hAnsi="Times New Roman" w:cs="Times New Roman"/>
              </w:rPr>
              <w:t>Flow Law Parameters (Ref. 1-8)</w:t>
            </w:r>
          </w:p>
        </w:tc>
        <w:tc>
          <w:tcPr>
            <w:tcW w:w="1033" w:type="dxa"/>
            <w:shd w:val="clear" w:color="auto" w:fill="D9D9D9" w:themeFill="background1" w:themeFillShade="D9"/>
          </w:tcPr>
          <w:p w14:paraId="190A8F96" w14:textId="77777777" w:rsidR="004E78F6" w:rsidRDefault="004E78F6">
            <w:pPr>
              <w:spacing w:beforeLines="50" w:before="120"/>
              <w:jc w:val="center"/>
              <w:rPr>
                <w:rFonts w:ascii="Times New Roman" w:hAnsi="Times New Roman" w:cs="Times New Roman"/>
              </w:rPr>
            </w:pPr>
          </w:p>
        </w:tc>
      </w:tr>
      <w:tr w:rsidR="004E78F6" w14:paraId="7919888A" w14:textId="77777777" w:rsidTr="00597A39">
        <w:trPr>
          <w:trHeight w:val="144"/>
          <w:jc w:val="center"/>
        </w:trPr>
        <w:tc>
          <w:tcPr>
            <w:tcW w:w="0" w:type="auto"/>
            <w:vAlign w:val="center"/>
          </w:tcPr>
          <w:p w14:paraId="5989AD77"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A</w:t>
            </w:r>
            <w:r>
              <w:rPr>
                <w:rFonts w:ascii="Times New Roman" w:eastAsia="宋体" w:hAnsi="Times New Roman" w:cs="Times New Roman"/>
                <w:i/>
                <w:iCs/>
                <w:vertAlign w:val="subscript"/>
              </w:rPr>
              <w:t>dis</w:t>
            </w:r>
            <w:proofErr w:type="spellEnd"/>
            <w:r>
              <w:rPr>
                <w:rFonts w:ascii="Times New Roman" w:eastAsia="宋体" w:hAnsi="Times New Roman" w:cs="Times New Roman"/>
                <w:i/>
                <w:iCs/>
                <w:vertAlign w:val="subscript"/>
              </w:rPr>
              <w:t xml:space="preserve"> </w:t>
            </w:r>
            <w:r>
              <w:rPr>
                <w:rFonts w:ascii="Times New Roman" w:eastAsia="宋体" w:hAnsi="Times New Roman" w:cs="Times New Roman"/>
                <w:i/>
                <w:iCs/>
              </w:rPr>
              <w:t>(Pa</w:t>
            </w:r>
            <w:r>
              <w:rPr>
                <w:rFonts w:ascii="Times New Roman" w:eastAsia="宋体" w:hAnsi="Times New Roman" w:cs="Times New Roman"/>
                <w:i/>
                <w:iCs/>
                <w:vertAlign w:val="superscript"/>
              </w:rPr>
              <w:t>-n</w:t>
            </w:r>
            <w:r>
              <w:rPr>
                <w:rFonts w:ascii="Times New Roman" w:eastAsia="宋体" w:hAnsi="Times New Roman" w:cs="Times New Roman"/>
                <w:i/>
                <w:iCs/>
              </w:rPr>
              <w:t>∙s</w:t>
            </w:r>
            <w:r>
              <w:rPr>
                <w:rFonts w:ascii="Times New Roman" w:eastAsia="宋体" w:hAnsi="Times New Roman" w:cs="Times New Roman"/>
                <w:i/>
                <w:iCs/>
                <w:vertAlign w:val="superscript"/>
              </w:rPr>
              <w:t>-1</w:t>
            </w:r>
            <w:r>
              <w:rPr>
                <w:rFonts w:ascii="Times New Roman" w:eastAsia="宋体" w:hAnsi="Times New Roman" w:cs="Times New Roman"/>
                <w:i/>
                <w:iCs/>
              </w:rPr>
              <w:t>)</w:t>
            </w:r>
          </w:p>
        </w:tc>
        <w:tc>
          <w:tcPr>
            <w:tcW w:w="0" w:type="auto"/>
            <w:vAlign w:val="center"/>
          </w:tcPr>
          <w:p w14:paraId="11D09C7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-15.05</w:t>
            </w:r>
          </w:p>
        </w:tc>
        <w:tc>
          <w:tcPr>
            <w:tcW w:w="0" w:type="auto"/>
            <w:vAlign w:val="center"/>
          </w:tcPr>
          <w:p w14:paraId="0B0EC90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4.85∙10</w:t>
            </w:r>
            <w:r>
              <w:rPr>
                <w:rFonts w:ascii="Times New Roman" w:eastAsia="宋体" w:hAnsi="Times New Roman" w:cs="Times New Roman"/>
                <w:vertAlign w:val="superscript"/>
              </w:rPr>
              <w:t>-17</w:t>
            </w:r>
          </w:p>
        </w:tc>
        <w:tc>
          <w:tcPr>
            <w:tcW w:w="0" w:type="auto"/>
            <w:vAlign w:val="center"/>
          </w:tcPr>
          <w:p w14:paraId="51432F4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4.85∙10</w:t>
            </w:r>
            <w:r>
              <w:rPr>
                <w:rFonts w:ascii="Times New Roman" w:eastAsia="宋体" w:hAnsi="Times New Roman" w:cs="Times New Roman"/>
                <w:vertAlign w:val="superscript"/>
              </w:rPr>
              <w:t>-17</w:t>
            </w:r>
          </w:p>
        </w:tc>
        <w:tc>
          <w:tcPr>
            <w:tcW w:w="0" w:type="auto"/>
            <w:vAlign w:val="center"/>
          </w:tcPr>
          <w:p w14:paraId="19792B1B"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4.85∙10</w:t>
            </w:r>
            <w:r>
              <w:rPr>
                <w:rFonts w:ascii="Times New Roman" w:eastAsia="宋体" w:hAnsi="Times New Roman" w:cs="Times New Roman"/>
                <w:vertAlign w:val="superscript"/>
              </w:rPr>
              <w:t>-17</w:t>
            </w:r>
          </w:p>
        </w:tc>
        <w:tc>
          <w:tcPr>
            <w:tcW w:w="0" w:type="auto"/>
            <w:vAlign w:val="center"/>
          </w:tcPr>
          <w:p w14:paraId="587777C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4.85∙10</w:t>
            </w:r>
            <w:r>
              <w:rPr>
                <w:rFonts w:ascii="Times New Roman" w:eastAsia="宋体" w:hAnsi="Times New Roman" w:cs="Times New Roman"/>
                <w:vertAlign w:val="superscript"/>
              </w:rPr>
              <w:t>-17</w:t>
            </w:r>
          </w:p>
        </w:tc>
        <w:tc>
          <w:tcPr>
            <w:tcW w:w="0" w:type="auto"/>
            <w:vAlign w:val="center"/>
          </w:tcPr>
          <w:p w14:paraId="7A3A3C38"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3.3∙10</w:t>
            </w:r>
            <w:r>
              <w:rPr>
                <w:rFonts w:ascii="Times New Roman" w:eastAsia="宋体" w:hAnsi="Times New Roman" w:cs="Times New Roman"/>
                <w:vertAlign w:val="superscript"/>
              </w:rPr>
              <w:t>-21.2</w:t>
            </w:r>
          </w:p>
        </w:tc>
        <w:tc>
          <w:tcPr>
            <w:tcW w:w="0" w:type="auto"/>
            <w:vAlign w:val="center"/>
          </w:tcPr>
          <w:p w14:paraId="27251C0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1.8∙10</w:t>
            </w:r>
            <w:r>
              <w:rPr>
                <w:rFonts w:ascii="Times New Roman" w:eastAsia="宋体" w:hAnsi="Times New Roman" w:cs="Times New Roman"/>
                <w:vertAlign w:val="superscript"/>
              </w:rPr>
              <w:t>-32</w:t>
            </w:r>
          </w:p>
        </w:tc>
        <w:tc>
          <w:tcPr>
            <w:tcW w:w="0" w:type="auto"/>
            <w:vAlign w:val="center"/>
          </w:tcPr>
          <w:p w14:paraId="55B0A00A"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6.7</w:t>
            </w:r>
            <w:r>
              <w:rPr>
                <w:rFonts w:ascii="Times New Roman" w:eastAsia="宋体" w:hAnsi="Times New Roman" w:cs="Times New Roman"/>
              </w:rPr>
              <w:t>∙10</w:t>
            </w:r>
            <w:r>
              <w:rPr>
                <w:rFonts w:ascii="Times New Roman" w:eastAsia="宋体" w:hAnsi="Times New Roman" w:cs="Times New Roman"/>
                <w:vertAlign w:val="superscript"/>
              </w:rPr>
              <w:t>-20.4</w:t>
            </w:r>
          </w:p>
        </w:tc>
        <w:tc>
          <w:tcPr>
            <w:tcW w:w="0" w:type="auto"/>
            <w:vAlign w:val="center"/>
          </w:tcPr>
          <w:p w14:paraId="73F8909F"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-5.3</w:t>
            </w:r>
          </w:p>
        </w:tc>
        <w:tc>
          <w:tcPr>
            <w:tcW w:w="0" w:type="auto"/>
            <w:vAlign w:val="center"/>
          </w:tcPr>
          <w:p w14:paraId="21D120AB"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-5.3</w:t>
            </w:r>
          </w:p>
        </w:tc>
        <w:tc>
          <w:tcPr>
            <w:tcW w:w="0" w:type="auto"/>
            <w:vAlign w:val="center"/>
          </w:tcPr>
          <w:p w14:paraId="6EDF122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w:t>
            </w:r>
            <w:r>
              <w:rPr>
                <w:rFonts w:ascii="Times New Roman" w:eastAsia="宋体" w:hAnsi="Times New Roman" w:cs="Times New Roman"/>
                <w:vertAlign w:val="superscript"/>
                <w:lang w:val="en"/>
              </w:rPr>
              <w:t>7</w:t>
            </w:r>
            <w:r>
              <w:rPr>
                <w:rFonts w:ascii="Times New Roman" w:eastAsia="宋体" w:hAnsi="Times New Roman" w:cs="Times New Roman"/>
                <w:vertAlign w:val="superscript"/>
              </w:rPr>
              <w:t>.3</w:t>
            </w:r>
          </w:p>
        </w:tc>
        <w:tc>
          <w:tcPr>
            <w:tcW w:w="1033" w:type="dxa"/>
            <w:vAlign w:val="center"/>
          </w:tcPr>
          <w:p w14:paraId="7EC8D17C"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1.8∙10</w:t>
            </w:r>
            <w:r>
              <w:rPr>
                <w:rFonts w:ascii="Times New Roman" w:eastAsia="宋体" w:hAnsi="Times New Roman" w:cs="Times New Roman"/>
                <w:vertAlign w:val="superscript"/>
              </w:rPr>
              <w:t>-32</w:t>
            </w:r>
          </w:p>
        </w:tc>
      </w:tr>
      <w:tr w:rsidR="004E78F6" w14:paraId="2A7E1E29" w14:textId="77777777" w:rsidTr="00597A39">
        <w:trPr>
          <w:trHeight w:val="144"/>
          <w:jc w:val="center"/>
        </w:trPr>
        <w:tc>
          <w:tcPr>
            <w:tcW w:w="0" w:type="auto"/>
            <w:vAlign w:val="center"/>
          </w:tcPr>
          <w:p w14:paraId="63981822"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n</w:t>
            </w:r>
            <w:r>
              <w:rPr>
                <w:rFonts w:ascii="Times New Roman" w:eastAsia="宋体" w:hAnsi="Times New Roman" w:cs="Times New Roman"/>
                <w:i/>
                <w:iCs/>
                <w:vertAlign w:val="subscript"/>
              </w:rPr>
              <w:t>dis</w:t>
            </w:r>
            <w:proofErr w:type="spellEnd"/>
          </w:p>
        </w:tc>
        <w:tc>
          <w:tcPr>
            <w:tcW w:w="0" w:type="auto"/>
            <w:vAlign w:val="center"/>
          </w:tcPr>
          <w:p w14:paraId="5CE2AFE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3.5</w:t>
            </w:r>
          </w:p>
        </w:tc>
        <w:tc>
          <w:tcPr>
            <w:tcW w:w="0" w:type="auto"/>
            <w:vAlign w:val="center"/>
          </w:tcPr>
          <w:p w14:paraId="7F8261A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3.5</w:t>
            </w:r>
          </w:p>
        </w:tc>
        <w:tc>
          <w:tcPr>
            <w:tcW w:w="0" w:type="auto"/>
            <w:vAlign w:val="center"/>
          </w:tcPr>
          <w:p w14:paraId="47E8CA0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3.5</w:t>
            </w:r>
          </w:p>
        </w:tc>
        <w:tc>
          <w:tcPr>
            <w:tcW w:w="0" w:type="auto"/>
            <w:vAlign w:val="center"/>
          </w:tcPr>
          <w:p w14:paraId="489BA60B"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3.5</w:t>
            </w:r>
          </w:p>
        </w:tc>
        <w:tc>
          <w:tcPr>
            <w:tcW w:w="0" w:type="auto"/>
            <w:vAlign w:val="center"/>
          </w:tcPr>
          <w:p w14:paraId="163DC79E"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3.5</w:t>
            </w:r>
          </w:p>
        </w:tc>
        <w:tc>
          <w:tcPr>
            <w:tcW w:w="0" w:type="auto"/>
            <w:vAlign w:val="center"/>
          </w:tcPr>
          <w:p w14:paraId="5B1FC726"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3</w:t>
            </w:r>
            <w:r>
              <w:rPr>
                <w:rFonts w:ascii="Times New Roman" w:eastAsia="宋体" w:hAnsi="Times New Roman" w:cs="Times New Roman"/>
              </w:rPr>
              <w:t>.2</w:t>
            </w:r>
          </w:p>
        </w:tc>
        <w:tc>
          <w:tcPr>
            <w:tcW w:w="0" w:type="auto"/>
            <w:vAlign w:val="center"/>
          </w:tcPr>
          <w:p w14:paraId="6D27D2F8"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4</w:t>
            </w:r>
            <w:r>
              <w:rPr>
                <w:rFonts w:ascii="Times New Roman" w:eastAsia="宋体" w:hAnsi="Times New Roman" w:cs="Times New Roman"/>
              </w:rPr>
              <w:t>.0</w:t>
            </w:r>
          </w:p>
        </w:tc>
        <w:tc>
          <w:tcPr>
            <w:tcW w:w="0" w:type="auto"/>
            <w:vAlign w:val="center"/>
          </w:tcPr>
          <w:p w14:paraId="2BD56FF4"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2.4</w:t>
            </w:r>
          </w:p>
        </w:tc>
        <w:tc>
          <w:tcPr>
            <w:tcW w:w="0" w:type="auto"/>
            <w:vAlign w:val="center"/>
          </w:tcPr>
          <w:p w14:paraId="3634A0DC"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3</w:t>
            </w:r>
          </w:p>
        </w:tc>
        <w:tc>
          <w:tcPr>
            <w:tcW w:w="0" w:type="auto"/>
            <w:vAlign w:val="center"/>
          </w:tcPr>
          <w:p w14:paraId="1C0BDAC3"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3</w:t>
            </w:r>
          </w:p>
        </w:tc>
        <w:tc>
          <w:tcPr>
            <w:tcW w:w="0" w:type="auto"/>
            <w:vAlign w:val="center"/>
          </w:tcPr>
          <w:p w14:paraId="0DD41F38"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3</w:t>
            </w:r>
          </w:p>
        </w:tc>
        <w:tc>
          <w:tcPr>
            <w:tcW w:w="1033" w:type="dxa"/>
            <w:vAlign w:val="center"/>
          </w:tcPr>
          <w:p w14:paraId="1DBE598C"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.0</w:t>
            </w:r>
          </w:p>
        </w:tc>
      </w:tr>
      <w:tr w:rsidR="004E78F6" w14:paraId="39BD9D42" w14:textId="77777777" w:rsidTr="00597A39">
        <w:trPr>
          <w:trHeight w:val="144"/>
          <w:jc w:val="center"/>
        </w:trPr>
        <w:tc>
          <w:tcPr>
            <w:tcW w:w="0" w:type="auto"/>
            <w:vAlign w:val="center"/>
          </w:tcPr>
          <w:p w14:paraId="4357DD9E"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E</w:t>
            </w:r>
            <w:r>
              <w:rPr>
                <w:rFonts w:ascii="Times New Roman" w:eastAsia="宋体" w:hAnsi="Times New Roman" w:cs="Times New Roman"/>
                <w:i/>
                <w:iCs/>
                <w:vertAlign w:val="subscript"/>
              </w:rPr>
              <w:t>dis</w:t>
            </w:r>
            <w:proofErr w:type="spellEnd"/>
            <w:r>
              <w:rPr>
                <w:rFonts w:ascii="Times New Roman" w:eastAsia="宋体" w:hAnsi="Times New Roman" w:cs="Times New Roman"/>
                <w:i/>
                <w:iCs/>
              </w:rPr>
              <w:t xml:space="preserve"> (kJ/mol)</w:t>
            </w:r>
          </w:p>
        </w:tc>
        <w:tc>
          <w:tcPr>
            <w:tcW w:w="0" w:type="auto"/>
            <w:vAlign w:val="center"/>
          </w:tcPr>
          <w:p w14:paraId="1CDDBE4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480</w:t>
            </w:r>
          </w:p>
        </w:tc>
        <w:tc>
          <w:tcPr>
            <w:tcW w:w="0" w:type="auto"/>
            <w:vAlign w:val="center"/>
          </w:tcPr>
          <w:p w14:paraId="01D8A4E0"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535</w:t>
            </w:r>
          </w:p>
        </w:tc>
        <w:tc>
          <w:tcPr>
            <w:tcW w:w="0" w:type="auto"/>
            <w:vAlign w:val="center"/>
          </w:tcPr>
          <w:p w14:paraId="6F39D00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535</w:t>
            </w:r>
          </w:p>
        </w:tc>
        <w:tc>
          <w:tcPr>
            <w:tcW w:w="0" w:type="auto"/>
            <w:vAlign w:val="center"/>
          </w:tcPr>
          <w:p w14:paraId="17EDC42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535</w:t>
            </w:r>
          </w:p>
        </w:tc>
        <w:tc>
          <w:tcPr>
            <w:tcW w:w="0" w:type="auto"/>
            <w:vAlign w:val="center"/>
          </w:tcPr>
          <w:p w14:paraId="178A0A05"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535</w:t>
            </w:r>
          </w:p>
        </w:tc>
        <w:tc>
          <w:tcPr>
            <w:tcW w:w="0" w:type="auto"/>
            <w:vAlign w:val="center"/>
          </w:tcPr>
          <w:p w14:paraId="25AF281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r>
              <w:rPr>
                <w:rFonts w:ascii="Times New Roman" w:eastAsia="宋体" w:hAnsi="Times New Roman" w:cs="Times New Roman"/>
              </w:rPr>
              <w:t>38</w:t>
            </w:r>
          </w:p>
        </w:tc>
        <w:tc>
          <w:tcPr>
            <w:tcW w:w="0" w:type="auto"/>
            <w:vAlign w:val="center"/>
          </w:tcPr>
          <w:p w14:paraId="4BA22F75"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137</w:t>
            </w:r>
          </w:p>
        </w:tc>
        <w:tc>
          <w:tcPr>
            <w:tcW w:w="0" w:type="auto"/>
            <w:vAlign w:val="center"/>
          </w:tcPr>
          <w:p w14:paraId="28037652"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156</w:t>
            </w:r>
          </w:p>
        </w:tc>
        <w:tc>
          <w:tcPr>
            <w:tcW w:w="0" w:type="auto"/>
            <w:vAlign w:val="center"/>
          </w:tcPr>
          <w:p w14:paraId="27DEE0F6"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648</w:t>
            </w:r>
          </w:p>
        </w:tc>
        <w:tc>
          <w:tcPr>
            <w:tcW w:w="0" w:type="auto"/>
            <w:vAlign w:val="center"/>
          </w:tcPr>
          <w:p w14:paraId="2C69078C"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648</w:t>
            </w:r>
          </w:p>
        </w:tc>
        <w:tc>
          <w:tcPr>
            <w:tcW w:w="0" w:type="auto"/>
            <w:vAlign w:val="center"/>
          </w:tcPr>
          <w:p w14:paraId="545358F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648</w:t>
            </w:r>
          </w:p>
        </w:tc>
        <w:tc>
          <w:tcPr>
            <w:tcW w:w="1033" w:type="dxa"/>
            <w:vAlign w:val="center"/>
          </w:tcPr>
          <w:p w14:paraId="1C887357"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137</w:t>
            </w:r>
          </w:p>
        </w:tc>
      </w:tr>
      <w:tr w:rsidR="004E78F6" w14:paraId="276FCC78" w14:textId="77777777" w:rsidTr="00597A39">
        <w:trPr>
          <w:trHeight w:val="144"/>
          <w:jc w:val="center"/>
        </w:trPr>
        <w:tc>
          <w:tcPr>
            <w:tcW w:w="0" w:type="auto"/>
            <w:vAlign w:val="center"/>
          </w:tcPr>
          <w:p w14:paraId="3A46BFD9"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V</w:t>
            </w:r>
            <w:r>
              <w:rPr>
                <w:rFonts w:ascii="Times New Roman" w:eastAsia="宋体" w:hAnsi="Times New Roman" w:cs="Times New Roman"/>
                <w:i/>
                <w:iCs/>
                <w:vertAlign w:val="subscript"/>
              </w:rPr>
              <w:t>dis</w:t>
            </w:r>
            <w:proofErr w:type="spellEnd"/>
            <w:r>
              <w:rPr>
                <w:rFonts w:ascii="Times New Roman" w:eastAsia="宋体" w:hAnsi="Times New Roman" w:cs="Times New Roman"/>
                <w:i/>
                <w:iCs/>
              </w:rPr>
              <w:t xml:space="preserve"> (cm</w:t>
            </w:r>
            <w:r>
              <w:rPr>
                <w:rFonts w:ascii="Times New Roman" w:eastAsia="宋体" w:hAnsi="Times New Roman" w:cs="Times New Roman"/>
                <w:i/>
                <w:iCs/>
                <w:vertAlign w:val="superscript"/>
              </w:rPr>
              <w:t>3</w:t>
            </w:r>
            <w:r>
              <w:rPr>
                <w:rFonts w:ascii="Times New Roman" w:eastAsia="宋体" w:hAnsi="Times New Roman" w:cs="Times New Roman"/>
                <w:i/>
                <w:iCs/>
              </w:rPr>
              <w:t>/mol)</w:t>
            </w:r>
          </w:p>
        </w:tc>
        <w:tc>
          <w:tcPr>
            <w:tcW w:w="0" w:type="auto"/>
            <w:vAlign w:val="center"/>
          </w:tcPr>
          <w:p w14:paraId="473ABDA0"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33897C2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3C6C42D3"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204C7903"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30CB323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7E51744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0" w:type="auto"/>
            <w:vAlign w:val="center"/>
          </w:tcPr>
          <w:p w14:paraId="15E729B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8</w:t>
            </w:r>
          </w:p>
        </w:tc>
        <w:tc>
          <w:tcPr>
            <w:tcW w:w="0" w:type="auto"/>
            <w:vAlign w:val="center"/>
          </w:tcPr>
          <w:p w14:paraId="6037AABE"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8</w:t>
            </w:r>
          </w:p>
        </w:tc>
        <w:tc>
          <w:tcPr>
            <w:tcW w:w="0" w:type="auto"/>
            <w:vAlign w:val="center"/>
          </w:tcPr>
          <w:p w14:paraId="529E186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0" w:type="auto"/>
            <w:vAlign w:val="center"/>
          </w:tcPr>
          <w:p w14:paraId="161A4DE2"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8</w:t>
            </w:r>
          </w:p>
        </w:tc>
        <w:tc>
          <w:tcPr>
            <w:tcW w:w="0" w:type="auto"/>
            <w:vAlign w:val="center"/>
          </w:tcPr>
          <w:p w14:paraId="0A2A884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1033" w:type="dxa"/>
            <w:vAlign w:val="center"/>
          </w:tcPr>
          <w:p w14:paraId="1CBA0573"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8</w:t>
            </w:r>
          </w:p>
        </w:tc>
      </w:tr>
      <w:tr w:rsidR="004E78F6" w14:paraId="6EC2A617" w14:textId="77777777" w:rsidTr="00597A39">
        <w:trPr>
          <w:trHeight w:val="144"/>
          <w:jc w:val="center"/>
        </w:trPr>
        <w:tc>
          <w:tcPr>
            <w:tcW w:w="0" w:type="auto"/>
            <w:vAlign w:val="center"/>
          </w:tcPr>
          <w:p w14:paraId="0703DA35"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A</w:t>
            </w:r>
            <w:r>
              <w:rPr>
                <w:rFonts w:ascii="Times New Roman" w:eastAsia="宋体" w:hAnsi="Times New Roman" w:cs="Times New Roman"/>
                <w:i/>
                <w:iCs/>
                <w:vertAlign w:val="subscript"/>
              </w:rPr>
              <w:t>dif</w:t>
            </w:r>
            <w:proofErr w:type="spellEnd"/>
            <w:r>
              <w:rPr>
                <w:rFonts w:ascii="Times New Roman" w:eastAsia="宋体" w:hAnsi="Times New Roman" w:cs="Times New Roman"/>
                <w:i/>
                <w:iCs/>
                <w:vertAlign w:val="subscript"/>
              </w:rPr>
              <w:t xml:space="preserve"> </w:t>
            </w:r>
            <w:r>
              <w:rPr>
                <w:rFonts w:ascii="Times New Roman" w:eastAsia="宋体" w:hAnsi="Times New Roman" w:cs="Times New Roman"/>
                <w:i/>
                <w:iCs/>
              </w:rPr>
              <w:t>(Pa</w:t>
            </w:r>
            <w:r>
              <w:rPr>
                <w:rFonts w:ascii="Times New Roman" w:eastAsia="宋体" w:hAnsi="Times New Roman" w:cs="Times New Roman"/>
                <w:i/>
                <w:iCs/>
                <w:vertAlign w:val="superscript"/>
              </w:rPr>
              <w:t>-n</w:t>
            </w:r>
            <w:r>
              <w:rPr>
                <w:rFonts w:ascii="Times New Roman" w:eastAsia="宋体" w:hAnsi="Times New Roman" w:cs="Times New Roman"/>
                <w:i/>
                <w:iCs/>
              </w:rPr>
              <w:t>∙s</w:t>
            </w:r>
            <w:r>
              <w:rPr>
                <w:rFonts w:ascii="Times New Roman" w:eastAsia="宋体" w:hAnsi="Times New Roman" w:cs="Times New Roman"/>
                <w:i/>
                <w:iCs/>
                <w:vertAlign w:val="superscript"/>
              </w:rPr>
              <w:t>-1</w:t>
            </w:r>
            <w:r>
              <w:rPr>
                <w:rFonts w:ascii="Times New Roman" w:eastAsia="宋体" w:hAnsi="Times New Roman" w:cs="Times New Roman"/>
                <w:i/>
                <w:iCs/>
              </w:rPr>
              <w:t>)</w:t>
            </w:r>
          </w:p>
        </w:tc>
        <w:tc>
          <w:tcPr>
            <w:tcW w:w="0" w:type="auto"/>
            <w:vAlign w:val="center"/>
          </w:tcPr>
          <w:p w14:paraId="39D6E916"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-8.65</w:t>
            </w:r>
          </w:p>
        </w:tc>
        <w:tc>
          <w:tcPr>
            <w:tcW w:w="0" w:type="auto"/>
            <w:vAlign w:val="center"/>
          </w:tcPr>
          <w:p w14:paraId="04B8D5ED"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-8.65</w:t>
            </w:r>
          </w:p>
        </w:tc>
        <w:tc>
          <w:tcPr>
            <w:tcW w:w="0" w:type="auto"/>
            <w:vAlign w:val="center"/>
          </w:tcPr>
          <w:p w14:paraId="41F38BE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-8.65</w:t>
            </w:r>
          </w:p>
        </w:tc>
        <w:tc>
          <w:tcPr>
            <w:tcW w:w="0" w:type="auto"/>
            <w:vAlign w:val="center"/>
          </w:tcPr>
          <w:p w14:paraId="374B46EE"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-8.65</w:t>
            </w:r>
          </w:p>
        </w:tc>
        <w:tc>
          <w:tcPr>
            <w:tcW w:w="0" w:type="auto"/>
            <w:vAlign w:val="center"/>
          </w:tcPr>
          <w:p w14:paraId="5DECF7C5"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-8.65</w:t>
            </w:r>
          </w:p>
        </w:tc>
        <w:tc>
          <w:tcPr>
            <w:tcW w:w="0" w:type="auto"/>
            <w:vAlign w:val="center"/>
          </w:tcPr>
          <w:p w14:paraId="66EA1C3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4.0∙10</w:t>
            </w:r>
            <w:r>
              <w:rPr>
                <w:rFonts w:ascii="Times New Roman" w:eastAsia="宋体" w:hAnsi="Times New Roman" w:cs="Times New Roman"/>
                <w:vertAlign w:val="superscript"/>
              </w:rPr>
              <w:t>-8</w:t>
            </w:r>
          </w:p>
        </w:tc>
        <w:tc>
          <w:tcPr>
            <w:tcW w:w="0" w:type="auto"/>
            <w:vAlign w:val="center"/>
          </w:tcPr>
          <w:p w14:paraId="3E48D65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4.0∙10</w:t>
            </w:r>
            <w:r>
              <w:rPr>
                <w:rFonts w:ascii="Times New Roman" w:eastAsia="宋体" w:hAnsi="Times New Roman" w:cs="Times New Roman"/>
                <w:vertAlign w:val="superscript"/>
              </w:rPr>
              <w:t>-7</w:t>
            </w:r>
          </w:p>
        </w:tc>
        <w:tc>
          <w:tcPr>
            <w:tcW w:w="0" w:type="auto"/>
            <w:vAlign w:val="center"/>
          </w:tcPr>
          <w:p w14:paraId="0B53FDE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4.0∙10</w:t>
            </w:r>
            <w:r>
              <w:rPr>
                <w:rFonts w:ascii="Times New Roman" w:eastAsia="宋体" w:hAnsi="Times New Roman" w:cs="Times New Roman"/>
                <w:vertAlign w:val="superscript"/>
              </w:rPr>
              <w:t>-13</w:t>
            </w:r>
          </w:p>
        </w:tc>
        <w:tc>
          <w:tcPr>
            <w:tcW w:w="0" w:type="auto"/>
            <w:vAlign w:val="center"/>
          </w:tcPr>
          <w:p w14:paraId="30408480"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6.1</w:t>
            </w:r>
          </w:p>
        </w:tc>
        <w:tc>
          <w:tcPr>
            <w:tcW w:w="0" w:type="auto"/>
            <w:vAlign w:val="center"/>
          </w:tcPr>
          <w:p w14:paraId="3627E676"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rPr>
              <w:t>6.1</w:t>
            </w:r>
          </w:p>
        </w:tc>
        <w:tc>
          <w:tcPr>
            <w:tcW w:w="0" w:type="auto"/>
            <w:vAlign w:val="center"/>
          </w:tcPr>
          <w:p w14:paraId="33C10D0B"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10</w:t>
            </w:r>
            <w:r>
              <w:rPr>
                <w:rFonts w:ascii="Times New Roman" w:eastAsia="宋体" w:hAnsi="Times New Roman" w:cs="Times New Roman"/>
                <w:vertAlign w:val="superscript"/>
                <w:lang w:val="en"/>
              </w:rPr>
              <w:t>4</w:t>
            </w:r>
            <w:r>
              <w:rPr>
                <w:rFonts w:ascii="Times New Roman" w:eastAsia="宋体" w:hAnsi="Times New Roman" w:cs="Times New Roman"/>
                <w:vertAlign w:val="superscript"/>
              </w:rPr>
              <w:t>.1</w:t>
            </w:r>
          </w:p>
        </w:tc>
        <w:tc>
          <w:tcPr>
            <w:tcW w:w="1033" w:type="dxa"/>
            <w:vAlign w:val="center"/>
          </w:tcPr>
          <w:p w14:paraId="101E201D"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4.0∙10</w:t>
            </w:r>
            <w:r>
              <w:rPr>
                <w:rFonts w:ascii="Times New Roman" w:eastAsia="宋体" w:hAnsi="Times New Roman" w:cs="Times New Roman"/>
                <w:vertAlign w:val="superscript"/>
              </w:rPr>
              <w:t>-7</w:t>
            </w:r>
          </w:p>
        </w:tc>
      </w:tr>
      <w:tr w:rsidR="004E78F6" w14:paraId="3DEF189F" w14:textId="77777777" w:rsidTr="00597A39">
        <w:trPr>
          <w:trHeight w:val="144"/>
          <w:jc w:val="center"/>
        </w:trPr>
        <w:tc>
          <w:tcPr>
            <w:tcW w:w="0" w:type="auto"/>
            <w:vAlign w:val="center"/>
          </w:tcPr>
          <w:p w14:paraId="3C6AAAFB"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n</w:t>
            </w:r>
            <w:r>
              <w:rPr>
                <w:rFonts w:ascii="Times New Roman" w:eastAsia="宋体" w:hAnsi="Times New Roman" w:cs="Times New Roman"/>
                <w:i/>
                <w:iCs/>
                <w:vertAlign w:val="subscript"/>
              </w:rPr>
              <w:t>dif</w:t>
            </w:r>
            <w:proofErr w:type="spellEnd"/>
          </w:p>
        </w:tc>
        <w:tc>
          <w:tcPr>
            <w:tcW w:w="0" w:type="auto"/>
            <w:vAlign w:val="center"/>
          </w:tcPr>
          <w:p w14:paraId="632E24F1"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0" w:type="auto"/>
            <w:vAlign w:val="center"/>
          </w:tcPr>
          <w:p w14:paraId="7C4C0F8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0CFBE5E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36AF127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7563AF93"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0C538687"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7B5CA0B6"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2B8E64BF"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1</w:t>
            </w:r>
          </w:p>
        </w:tc>
        <w:tc>
          <w:tcPr>
            <w:tcW w:w="0" w:type="auto"/>
            <w:vAlign w:val="center"/>
          </w:tcPr>
          <w:p w14:paraId="10BBCC5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0" w:type="auto"/>
            <w:vAlign w:val="center"/>
          </w:tcPr>
          <w:p w14:paraId="0F9A7D4C"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hint="eastAsia"/>
              </w:rPr>
              <w:t>1</w:t>
            </w:r>
          </w:p>
        </w:tc>
        <w:tc>
          <w:tcPr>
            <w:tcW w:w="0" w:type="auto"/>
            <w:vAlign w:val="center"/>
          </w:tcPr>
          <w:p w14:paraId="34C58AB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1</w:t>
            </w:r>
          </w:p>
        </w:tc>
        <w:tc>
          <w:tcPr>
            <w:tcW w:w="1033" w:type="dxa"/>
            <w:vAlign w:val="center"/>
          </w:tcPr>
          <w:p w14:paraId="1967CB4D"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hint="eastAsia"/>
              </w:rPr>
              <w:t>1</w:t>
            </w:r>
          </w:p>
        </w:tc>
      </w:tr>
      <w:tr w:rsidR="004E78F6" w14:paraId="1D292F2E" w14:textId="77777777" w:rsidTr="00597A39">
        <w:trPr>
          <w:trHeight w:val="144"/>
          <w:jc w:val="center"/>
        </w:trPr>
        <w:tc>
          <w:tcPr>
            <w:tcW w:w="0" w:type="auto"/>
            <w:vAlign w:val="center"/>
          </w:tcPr>
          <w:p w14:paraId="189068D3"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E</w:t>
            </w:r>
            <w:r>
              <w:rPr>
                <w:rFonts w:ascii="Times New Roman" w:eastAsia="宋体" w:hAnsi="Times New Roman" w:cs="Times New Roman"/>
                <w:i/>
                <w:iCs/>
                <w:vertAlign w:val="subscript"/>
              </w:rPr>
              <w:t>dif</w:t>
            </w:r>
            <w:proofErr w:type="spellEnd"/>
            <w:r>
              <w:rPr>
                <w:rFonts w:ascii="Times New Roman" w:eastAsia="宋体" w:hAnsi="Times New Roman" w:cs="Times New Roman"/>
                <w:i/>
                <w:iCs/>
                <w:vertAlign w:val="subscript"/>
              </w:rPr>
              <w:t xml:space="preserve"> </w:t>
            </w:r>
            <w:r>
              <w:rPr>
                <w:rFonts w:ascii="Times New Roman" w:eastAsia="宋体" w:hAnsi="Times New Roman" w:cs="Times New Roman"/>
                <w:i/>
                <w:iCs/>
              </w:rPr>
              <w:t>(kJ/mol)</w:t>
            </w:r>
          </w:p>
        </w:tc>
        <w:tc>
          <w:tcPr>
            <w:tcW w:w="0" w:type="auto"/>
            <w:vAlign w:val="center"/>
          </w:tcPr>
          <w:p w14:paraId="7712310E"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335</w:t>
            </w:r>
          </w:p>
        </w:tc>
        <w:tc>
          <w:tcPr>
            <w:tcW w:w="0" w:type="auto"/>
            <w:vAlign w:val="center"/>
          </w:tcPr>
          <w:p w14:paraId="0FF0CE17"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375</w:t>
            </w:r>
          </w:p>
        </w:tc>
        <w:tc>
          <w:tcPr>
            <w:tcW w:w="0" w:type="auto"/>
            <w:vAlign w:val="center"/>
          </w:tcPr>
          <w:p w14:paraId="241F005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375</w:t>
            </w:r>
          </w:p>
        </w:tc>
        <w:tc>
          <w:tcPr>
            <w:tcW w:w="0" w:type="auto"/>
            <w:vAlign w:val="center"/>
          </w:tcPr>
          <w:p w14:paraId="545C644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375</w:t>
            </w:r>
          </w:p>
        </w:tc>
        <w:tc>
          <w:tcPr>
            <w:tcW w:w="0" w:type="auto"/>
            <w:vAlign w:val="center"/>
          </w:tcPr>
          <w:p w14:paraId="7780598D"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375</w:t>
            </w:r>
          </w:p>
        </w:tc>
        <w:tc>
          <w:tcPr>
            <w:tcW w:w="0" w:type="auto"/>
            <w:vAlign w:val="center"/>
          </w:tcPr>
          <w:p w14:paraId="11F85AEE"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153</w:t>
            </w:r>
          </w:p>
        </w:tc>
        <w:tc>
          <w:tcPr>
            <w:tcW w:w="0" w:type="auto"/>
            <w:vAlign w:val="center"/>
          </w:tcPr>
          <w:p w14:paraId="7FC514BB"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r>
              <w:rPr>
                <w:rFonts w:ascii="Times New Roman" w:eastAsia="宋体" w:hAnsi="Times New Roman" w:cs="Times New Roman"/>
              </w:rPr>
              <w:t>20</w:t>
            </w:r>
          </w:p>
        </w:tc>
        <w:tc>
          <w:tcPr>
            <w:tcW w:w="0" w:type="auto"/>
            <w:vAlign w:val="center"/>
          </w:tcPr>
          <w:p w14:paraId="46B93395"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220</w:t>
            </w:r>
          </w:p>
        </w:tc>
        <w:tc>
          <w:tcPr>
            <w:tcW w:w="0" w:type="auto"/>
            <w:vAlign w:val="center"/>
          </w:tcPr>
          <w:p w14:paraId="49FCB977"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476</w:t>
            </w:r>
          </w:p>
        </w:tc>
        <w:tc>
          <w:tcPr>
            <w:tcW w:w="0" w:type="auto"/>
            <w:vAlign w:val="center"/>
          </w:tcPr>
          <w:p w14:paraId="7F63D801"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476</w:t>
            </w:r>
          </w:p>
        </w:tc>
        <w:tc>
          <w:tcPr>
            <w:tcW w:w="0" w:type="auto"/>
            <w:vAlign w:val="center"/>
          </w:tcPr>
          <w:p w14:paraId="34628D0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476</w:t>
            </w:r>
          </w:p>
        </w:tc>
        <w:tc>
          <w:tcPr>
            <w:tcW w:w="1033" w:type="dxa"/>
            <w:vAlign w:val="center"/>
          </w:tcPr>
          <w:p w14:paraId="43C950AF"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20</w:t>
            </w:r>
          </w:p>
        </w:tc>
      </w:tr>
      <w:tr w:rsidR="004E78F6" w14:paraId="39CB0E35" w14:textId="77777777" w:rsidTr="00597A39">
        <w:trPr>
          <w:trHeight w:val="144"/>
          <w:jc w:val="center"/>
        </w:trPr>
        <w:tc>
          <w:tcPr>
            <w:tcW w:w="0" w:type="auto"/>
            <w:vAlign w:val="center"/>
          </w:tcPr>
          <w:p w14:paraId="5003B6E0" w14:textId="77777777" w:rsidR="004E78F6" w:rsidRDefault="004E78F6" w:rsidP="002E4D8F">
            <w:pPr>
              <w:spacing w:beforeLines="50" w:before="120"/>
              <w:jc w:val="center"/>
              <w:rPr>
                <w:rFonts w:ascii="Times New Roman" w:hAnsi="Times New Roman" w:cs="Times New Roman"/>
              </w:rPr>
            </w:pPr>
            <w:proofErr w:type="spellStart"/>
            <w:r>
              <w:rPr>
                <w:rFonts w:ascii="Times New Roman" w:eastAsia="宋体" w:hAnsi="Times New Roman" w:cs="Times New Roman"/>
                <w:i/>
                <w:iCs/>
              </w:rPr>
              <w:t>V</w:t>
            </w:r>
            <w:r>
              <w:rPr>
                <w:rFonts w:ascii="Times New Roman" w:eastAsia="宋体" w:hAnsi="Times New Roman" w:cs="Times New Roman"/>
                <w:i/>
                <w:iCs/>
                <w:vertAlign w:val="subscript"/>
              </w:rPr>
              <w:t>dif</w:t>
            </w:r>
            <w:proofErr w:type="spellEnd"/>
            <w:r>
              <w:rPr>
                <w:rFonts w:ascii="Times New Roman" w:eastAsia="宋体" w:hAnsi="Times New Roman" w:cs="Times New Roman" w:hint="eastAsia"/>
                <w:i/>
                <w:iCs/>
                <w:vertAlign w:val="subscript"/>
              </w:rPr>
              <w:t xml:space="preserve"> </w:t>
            </w:r>
            <w:r>
              <w:rPr>
                <w:rFonts w:ascii="Times New Roman" w:eastAsia="宋体" w:hAnsi="Times New Roman" w:cs="Times New Roman" w:hint="eastAsia"/>
                <w:i/>
                <w:iCs/>
              </w:rPr>
              <w:t>(</w:t>
            </w:r>
            <w:r>
              <w:rPr>
                <w:rFonts w:ascii="Times New Roman" w:eastAsia="宋体" w:hAnsi="Times New Roman" w:cs="Times New Roman"/>
                <w:i/>
                <w:iCs/>
              </w:rPr>
              <w:t>cm</w:t>
            </w:r>
            <w:r>
              <w:rPr>
                <w:rFonts w:ascii="Times New Roman" w:eastAsia="宋体" w:hAnsi="Times New Roman" w:cs="Times New Roman"/>
                <w:i/>
                <w:iCs/>
                <w:vertAlign w:val="superscript"/>
              </w:rPr>
              <w:t>3</w:t>
            </w:r>
            <w:r>
              <w:rPr>
                <w:rFonts w:ascii="Times New Roman" w:eastAsia="宋体" w:hAnsi="Times New Roman" w:cs="Times New Roman" w:hint="eastAsia"/>
                <w:i/>
                <w:iCs/>
              </w:rPr>
              <w:t>/</w:t>
            </w:r>
            <w:r>
              <w:rPr>
                <w:rFonts w:ascii="Times New Roman" w:eastAsia="宋体" w:hAnsi="Times New Roman" w:cs="Times New Roman"/>
                <w:i/>
                <w:iCs/>
              </w:rPr>
              <w:t>m</w:t>
            </w:r>
            <w:r>
              <w:rPr>
                <w:rFonts w:ascii="Times New Roman" w:eastAsia="宋体" w:hAnsi="Times New Roman" w:cs="Times New Roman" w:hint="eastAsia"/>
                <w:i/>
                <w:iCs/>
              </w:rPr>
              <w:t>ol)</w:t>
            </w:r>
          </w:p>
        </w:tc>
        <w:tc>
          <w:tcPr>
            <w:tcW w:w="0" w:type="auto"/>
            <w:vAlign w:val="center"/>
          </w:tcPr>
          <w:p w14:paraId="398B8DEF"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39D0EC81"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1F0DF32C"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75369E72"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4B6975D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27DAD82E"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0" w:type="auto"/>
            <w:vAlign w:val="center"/>
          </w:tcPr>
          <w:p w14:paraId="11A42818"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4</w:t>
            </w:r>
          </w:p>
        </w:tc>
        <w:tc>
          <w:tcPr>
            <w:tcW w:w="0" w:type="auto"/>
            <w:vAlign w:val="center"/>
          </w:tcPr>
          <w:p w14:paraId="61A2C9DA"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4</w:t>
            </w:r>
          </w:p>
        </w:tc>
        <w:tc>
          <w:tcPr>
            <w:tcW w:w="0" w:type="auto"/>
            <w:vAlign w:val="center"/>
          </w:tcPr>
          <w:p w14:paraId="3D26A5AF"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0" w:type="auto"/>
            <w:vAlign w:val="center"/>
          </w:tcPr>
          <w:p w14:paraId="0EAEFD39"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4</w:t>
            </w:r>
          </w:p>
        </w:tc>
        <w:tc>
          <w:tcPr>
            <w:tcW w:w="0" w:type="auto"/>
            <w:vAlign w:val="center"/>
          </w:tcPr>
          <w:p w14:paraId="6A353498"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1</w:t>
            </w:r>
          </w:p>
        </w:tc>
        <w:tc>
          <w:tcPr>
            <w:tcW w:w="1033" w:type="dxa"/>
            <w:vAlign w:val="center"/>
          </w:tcPr>
          <w:p w14:paraId="162F9099"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4</w:t>
            </w:r>
          </w:p>
        </w:tc>
      </w:tr>
      <w:tr w:rsidR="004E78F6" w14:paraId="4173B847" w14:textId="77777777" w:rsidTr="00597A39">
        <w:trPr>
          <w:trHeight w:val="144"/>
          <w:jc w:val="center"/>
        </w:trPr>
        <w:tc>
          <w:tcPr>
            <w:tcW w:w="0" w:type="auto"/>
            <w:vAlign w:val="center"/>
          </w:tcPr>
          <w:p w14:paraId="3DECCBD0"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i/>
                <w:iCs/>
                <w:color w:val="000000"/>
              </w:rPr>
              <w:t>c</w:t>
            </w:r>
            <w:r>
              <w:rPr>
                <w:rFonts w:ascii="Times New Roman" w:eastAsia="宋体" w:hAnsi="Times New Roman" w:cs="Times New Roman"/>
                <w:i/>
                <w:iCs/>
                <w:color w:val="000000"/>
                <w:vertAlign w:val="subscript"/>
              </w:rPr>
              <w:t xml:space="preserve">0 </w:t>
            </w:r>
            <w:r>
              <w:rPr>
                <w:rFonts w:ascii="Times New Roman" w:eastAsia="宋体" w:hAnsi="Times New Roman" w:cs="Times New Roman"/>
                <w:i/>
                <w:iCs/>
                <w:color w:val="000000"/>
              </w:rPr>
              <w:t>(</w:t>
            </w:r>
            <w:proofErr w:type="spellStart"/>
            <w:r>
              <w:rPr>
                <w:rFonts w:ascii="Times New Roman" w:eastAsia="宋体" w:hAnsi="Times New Roman" w:cs="Times New Roman"/>
                <w:i/>
                <w:iCs/>
                <w:color w:val="000000"/>
              </w:rPr>
              <w:t>Mpa</w:t>
            </w:r>
            <w:proofErr w:type="spellEnd"/>
            <w:r>
              <w:rPr>
                <w:rFonts w:ascii="Times New Roman" w:eastAsia="宋体" w:hAnsi="Times New Roman" w:cs="Times New Roman"/>
                <w:i/>
                <w:iCs/>
                <w:color w:val="000000"/>
              </w:rPr>
              <w:t>)</w:t>
            </w:r>
          </w:p>
        </w:tc>
        <w:tc>
          <w:tcPr>
            <w:tcW w:w="0" w:type="auto"/>
            <w:vAlign w:val="center"/>
          </w:tcPr>
          <w:p w14:paraId="4053CC1F"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20</w:t>
            </w:r>
          </w:p>
        </w:tc>
        <w:tc>
          <w:tcPr>
            <w:tcW w:w="0" w:type="auto"/>
            <w:vAlign w:val="center"/>
          </w:tcPr>
          <w:p w14:paraId="69CA87C4"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r>
              <w:rPr>
                <w:rFonts w:ascii="Times New Roman" w:eastAsia="宋体" w:hAnsi="Times New Roman" w:cs="Times New Roman"/>
              </w:rPr>
              <w:t>0</w:t>
            </w:r>
          </w:p>
        </w:tc>
        <w:tc>
          <w:tcPr>
            <w:tcW w:w="0" w:type="auto"/>
            <w:vAlign w:val="center"/>
          </w:tcPr>
          <w:p w14:paraId="19C7677C"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r>
              <w:rPr>
                <w:rFonts w:ascii="Times New Roman" w:eastAsia="宋体" w:hAnsi="Times New Roman" w:cs="Times New Roman"/>
              </w:rPr>
              <w:t>0</w:t>
            </w:r>
          </w:p>
        </w:tc>
        <w:tc>
          <w:tcPr>
            <w:tcW w:w="0" w:type="auto"/>
            <w:vAlign w:val="center"/>
          </w:tcPr>
          <w:p w14:paraId="11D9CE80"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r>
              <w:rPr>
                <w:rFonts w:ascii="Times New Roman" w:eastAsia="宋体" w:hAnsi="Times New Roman" w:cs="Times New Roman"/>
              </w:rPr>
              <w:t>0</w:t>
            </w:r>
          </w:p>
        </w:tc>
        <w:tc>
          <w:tcPr>
            <w:tcW w:w="0" w:type="auto"/>
            <w:vAlign w:val="center"/>
          </w:tcPr>
          <w:p w14:paraId="6BD3BECB"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p>
        </w:tc>
        <w:tc>
          <w:tcPr>
            <w:tcW w:w="0" w:type="auto"/>
            <w:vAlign w:val="center"/>
          </w:tcPr>
          <w:p w14:paraId="354B57B9"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20</w:t>
            </w:r>
          </w:p>
        </w:tc>
        <w:tc>
          <w:tcPr>
            <w:tcW w:w="0" w:type="auto"/>
            <w:vAlign w:val="center"/>
          </w:tcPr>
          <w:p w14:paraId="2671364A"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hint="eastAsia"/>
              </w:rPr>
              <w:t>2</w:t>
            </w:r>
          </w:p>
        </w:tc>
        <w:tc>
          <w:tcPr>
            <w:tcW w:w="0" w:type="auto"/>
            <w:vAlign w:val="center"/>
          </w:tcPr>
          <w:p w14:paraId="603C85CE" w14:textId="77777777" w:rsidR="004E78F6" w:rsidRDefault="004E78F6" w:rsidP="002E4D8F">
            <w:pPr>
              <w:spacing w:beforeLines="50" w:before="120"/>
              <w:jc w:val="center"/>
              <w:rPr>
                <w:rFonts w:ascii="Times New Roman" w:hAnsi="Times New Roman" w:cs="Times New Roman"/>
              </w:rPr>
            </w:pPr>
            <w:r>
              <w:rPr>
                <w:rFonts w:ascii="Times New Roman" w:hAnsi="Times New Roman" w:cs="Times New Roman"/>
              </w:rPr>
              <w:t>20</w:t>
            </w:r>
          </w:p>
        </w:tc>
        <w:tc>
          <w:tcPr>
            <w:tcW w:w="0" w:type="auto"/>
            <w:vAlign w:val="center"/>
          </w:tcPr>
          <w:p w14:paraId="0CE61046"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2</w:t>
            </w:r>
          </w:p>
        </w:tc>
        <w:tc>
          <w:tcPr>
            <w:tcW w:w="0" w:type="auto"/>
            <w:vAlign w:val="center"/>
          </w:tcPr>
          <w:p w14:paraId="710AF823"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rPr>
              <w:t>20</w:t>
            </w:r>
          </w:p>
        </w:tc>
        <w:tc>
          <w:tcPr>
            <w:tcW w:w="0" w:type="auto"/>
            <w:vAlign w:val="center"/>
          </w:tcPr>
          <w:p w14:paraId="4CDE4515" w14:textId="77777777" w:rsidR="004E78F6" w:rsidRDefault="004E78F6" w:rsidP="002E4D8F">
            <w:pPr>
              <w:spacing w:beforeLines="50" w:before="120"/>
              <w:jc w:val="center"/>
              <w:rPr>
                <w:rFonts w:ascii="Times New Roman" w:hAnsi="Times New Roman" w:cs="Times New Roman"/>
              </w:rPr>
            </w:pPr>
            <w:r>
              <w:rPr>
                <w:rFonts w:ascii="Times New Roman" w:eastAsia="宋体" w:hAnsi="Times New Roman" w:cs="Times New Roman"/>
              </w:rPr>
              <w:t>2</w:t>
            </w:r>
          </w:p>
        </w:tc>
        <w:tc>
          <w:tcPr>
            <w:tcW w:w="1033" w:type="dxa"/>
            <w:vAlign w:val="center"/>
          </w:tcPr>
          <w:p w14:paraId="060D25E7" w14:textId="77777777" w:rsidR="004E78F6" w:rsidRDefault="004E78F6" w:rsidP="002E4D8F">
            <w:pPr>
              <w:spacing w:beforeLines="50" w:before="120"/>
              <w:jc w:val="center"/>
              <w:rPr>
                <w:rFonts w:ascii="Times New Roman" w:eastAsia="宋体" w:hAnsi="Times New Roman" w:cs="Times New Roman"/>
              </w:rPr>
            </w:pPr>
            <w:r>
              <w:rPr>
                <w:rFonts w:ascii="Times New Roman" w:eastAsia="宋体" w:hAnsi="Times New Roman" w:cs="Times New Roman" w:hint="eastAsia"/>
              </w:rPr>
              <w:t>2</w:t>
            </w:r>
          </w:p>
        </w:tc>
      </w:tr>
      <w:tr w:rsidR="004E78F6" w14:paraId="454FA433" w14:textId="77777777" w:rsidTr="00597A39">
        <w:trPr>
          <w:trHeight w:val="144"/>
          <w:jc w:val="center"/>
        </w:trPr>
        <w:tc>
          <w:tcPr>
            <w:tcW w:w="0" w:type="auto"/>
            <w:vAlign w:val="center"/>
          </w:tcPr>
          <w:p w14:paraId="0F715FD3" w14:textId="77777777" w:rsidR="004E78F6" w:rsidRDefault="004E78F6">
            <w:pPr>
              <w:spacing w:beforeLines="50" w:before="120"/>
              <w:jc w:val="center"/>
              <w:rPr>
                <w:rFonts w:ascii="Times New Roman" w:eastAsia="宋体" w:hAnsi="Times New Roman" w:cs="Times New Roman"/>
                <w:i/>
                <w:iCs/>
                <w:color w:val="000000"/>
              </w:rPr>
            </w:pPr>
            <w:r>
              <w:rPr>
                <w:rFonts w:ascii="Times New Roman" w:eastAsia="宋体" w:hAnsi="Times New Roman" w:cs="Times New Roman"/>
                <w:i/>
                <w:iCs/>
              </w:rPr>
              <w:t>φ (º)</w:t>
            </w:r>
          </w:p>
        </w:tc>
        <w:tc>
          <w:tcPr>
            <w:tcW w:w="12152" w:type="dxa"/>
            <w:gridSpan w:val="12"/>
            <w:vAlign w:val="center"/>
          </w:tcPr>
          <w:p w14:paraId="0B75E7F0" w14:textId="77777777" w:rsidR="004E78F6" w:rsidRDefault="004E78F6">
            <w:pPr>
              <w:spacing w:beforeLines="50" w:before="120"/>
              <w:jc w:val="center"/>
              <w:rPr>
                <w:rFonts w:ascii="Times New Roman" w:eastAsia="宋体" w:hAnsi="Times New Roman" w:cs="Times New Roman"/>
              </w:rPr>
            </w:pPr>
            <w:r>
              <w:rPr>
                <w:rFonts w:ascii="Times New Roman" w:eastAsia="宋体" w:hAnsi="Times New Roman" w:cs="Times New Roman"/>
              </w:rPr>
              <w:t>ICP middle crust</w:t>
            </w:r>
            <w:r>
              <w:rPr>
                <w:rFonts w:ascii="Times New Roman" w:eastAsia="宋体" w:hAnsi="Times New Roman" w:cs="Times New Roman"/>
                <w:lang w:val="en"/>
              </w:rPr>
              <w:t>,</w:t>
            </w:r>
            <w:r>
              <w:rPr>
                <w:rFonts w:ascii="Times New Roman" w:eastAsia="宋体" w:hAnsi="Times New Roman" w:cs="Times New Roman"/>
              </w:rPr>
              <w:t xml:space="preserve"> and WOP materials: 30 (γ = 0) → 2 (γ &gt; 1); other materials: 30 (γ = 0) → 15 (γ &gt; 1)</w:t>
            </w:r>
          </w:p>
        </w:tc>
      </w:tr>
      <w:tr w:rsidR="004E78F6" w14:paraId="1001D024" w14:textId="77777777" w:rsidTr="006B1250">
        <w:trPr>
          <w:trHeight w:val="124"/>
          <w:jc w:val="center"/>
        </w:trPr>
        <w:tc>
          <w:tcPr>
            <w:tcW w:w="13585" w:type="dxa"/>
            <w:gridSpan w:val="13"/>
            <w:shd w:val="clear" w:color="auto" w:fill="D9D9D9" w:themeFill="background1" w:themeFillShade="D9"/>
            <w:vAlign w:val="center"/>
          </w:tcPr>
          <w:p w14:paraId="1B5B1358" w14:textId="77777777" w:rsidR="004E78F6" w:rsidRDefault="004E78F6">
            <w:pPr>
              <w:spacing w:beforeLines="50" w:before="120"/>
              <w:jc w:val="center"/>
              <w:rPr>
                <w:rFonts w:ascii="Times New Roman" w:eastAsia="宋体" w:hAnsi="Times New Roman" w:cs="Times New Roman"/>
              </w:rPr>
            </w:pPr>
            <w:r>
              <w:rPr>
                <w:rFonts w:ascii="Times New Roman" w:eastAsia="宋体" w:hAnsi="Times New Roman" w:cs="Times New Roman"/>
              </w:rPr>
              <w:t>Thermal Parameters (</w:t>
            </w:r>
            <w:r>
              <w:rPr>
                <w:rFonts w:ascii="Times New Roman" w:eastAsia="宋体" w:hAnsi="Times New Roman" w:cs="Times New Roman"/>
                <w:iCs/>
              </w:rPr>
              <w:t>Ref. 2</w:t>
            </w:r>
            <w:r>
              <w:rPr>
                <w:rFonts w:ascii="Times New Roman" w:eastAsia="宋体" w:hAnsi="Times New Roman" w:cs="Times New Roman"/>
              </w:rPr>
              <w:t>)</w:t>
            </w:r>
          </w:p>
        </w:tc>
      </w:tr>
      <w:tr w:rsidR="004E78F6" w14:paraId="4CC960F6" w14:textId="77777777" w:rsidTr="00460A93">
        <w:trPr>
          <w:trHeight w:val="144"/>
          <w:jc w:val="center"/>
        </w:trPr>
        <w:tc>
          <w:tcPr>
            <w:tcW w:w="0" w:type="auto"/>
            <w:vAlign w:val="center"/>
          </w:tcPr>
          <w:p w14:paraId="309ABF42" w14:textId="77777777" w:rsidR="004E78F6" w:rsidRDefault="004E78F6" w:rsidP="009B794F">
            <w:pPr>
              <w:spacing w:beforeLines="50" w:before="120"/>
              <w:jc w:val="center"/>
              <w:rPr>
                <w:rFonts w:ascii="Times New Roman" w:eastAsia="宋体" w:hAnsi="Times New Roman" w:cs="Times New Roman"/>
                <w:i/>
                <w:iCs/>
                <w:color w:val="000000"/>
              </w:rPr>
            </w:pPr>
            <w:r>
              <w:rPr>
                <w:rFonts w:ascii="Times New Roman" w:eastAsia="宋体" w:hAnsi="Times New Roman" w:cs="Times New Roman"/>
                <w:i/>
                <w:iCs/>
              </w:rPr>
              <w:t>k (Wm</w:t>
            </w:r>
            <w:r>
              <w:rPr>
                <w:rFonts w:ascii="Times New Roman" w:eastAsia="宋体" w:hAnsi="Times New Roman" w:cs="Times New Roman"/>
                <w:i/>
                <w:iCs/>
                <w:vertAlign w:val="superscript"/>
              </w:rPr>
              <w:t>-1</w:t>
            </w:r>
            <w:r>
              <w:rPr>
                <w:rFonts w:ascii="Times New Roman" w:eastAsia="宋体" w:hAnsi="Times New Roman" w:cs="Times New Roman"/>
                <w:i/>
                <w:iCs/>
              </w:rPr>
              <w:t>K</w:t>
            </w:r>
            <w:r>
              <w:rPr>
                <w:rFonts w:ascii="Times New Roman" w:eastAsia="宋体" w:hAnsi="Times New Roman" w:cs="Times New Roman"/>
                <w:i/>
                <w:iCs/>
                <w:vertAlign w:val="superscript"/>
              </w:rPr>
              <w:t>-1</w:t>
            </w:r>
            <w:r>
              <w:rPr>
                <w:rFonts w:ascii="Times New Roman" w:eastAsia="宋体" w:hAnsi="Times New Roman" w:cs="Times New Roman"/>
                <w:i/>
                <w:iCs/>
              </w:rPr>
              <w:t>)</w:t>
            </w:r>
          </w:p>
        </w:tc>
        <w:tc>
          <w:tcPr>
            <w:tcW w:w="0" w:type="auto"/>
            <w:vAlign w:val="center"/>
          </w:tcPr>
          <w:p w14:paraId="3BA81A13"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3.3</w:t>
            </w:r>
          </w:p>
        </w:tc>
        <w:tc>
          <w:tcPr>
            <w:tcW w:w="0" w:type="auto"/>
            <w:vAlign w:val="center"/>
          </w:tcPr>
          <w:p w14:paraId="3AFD0F3D"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3.3</w:t>
            </w:r>
          </w:p>
        </w:tc>
        <w:tc>
          <w:tcPr>
            <w:tcW w:w="0" w:type="auto"/>
            <w:vAlign w:val="center"/>
          </w:tcPr>
          <w:p w14:paraId="193E63D1" w14:textId="77777777" w:rsidR="004E78F6" w:rsidRDefault="004E78F6" w:rsidP="009B794F">
            <w:pPr>
              <w:spacing w:beforeLines="50" w:before="120"/>
              <w:jc w:val="center"/>
              <w:rPr>
                <w:rFonts w:ascii="Times New Roman" w:hAnsi="Times New Roman" w:cs="Times New Roman"/>
              </w:rPr>
            </w:pPr>
            <w:r>
              <w:rPr>
                <w:rFonts w:ascii="Times New Roman" w:eastAsia="宋体" w:hAnsi="Times New Roman" w:cs="Times New Roman"/>
              </w:rPr>
              <w:t>3.3</w:t>
            </w:r>
          </w:p>
        </w:tc>
        <w:tc>
          <w:tcPr>
            <w:tcW w:w="0" w:type="auto"/>
            <w:vAlign w:val="center"/>
          </w:tcPr>
          <w:p w14:paraId="0987F570"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3.3</w:t>
            </w:r>
          </w:p>
        </w:tc>
        <w:tc>
          <w:tcPr>
            <w:tcW w:w="0" w:type="auto"/>
            <w:vAlign w:val="center"/>
          </w:tcPr>
          <w:p w14:paraId="3FDF791E"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3.3</w:t>
            </w:r>
          </w:p>
        </w:tc>
        <w:tc>
          <w:tcPr>
            <w:tcW w:w="0" w:type="auto"/>
            <w:vAlign w:val="center"/>
          </w:tcPr>
          <w:p w14:paraId="7B364CE9"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2.5</w:t>
            </w:r>
          </w:p>
        </w:tc>
        <w:tc>
          <w:tcPr>
            <w:tcW w:w="0" w:type="auto"/>
            <w:vAlign w:val="center"/>
          </w:tcPr>
          <w:p w14:paraId="6D317EC1"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2.5</w:t>
            </w:r>
          </w:p>
        </w:tc>
        <w:tc>
          <w:tcPr>
            <w:tcW w:w="0" w:type="auto"/>
            <w:vAlign w:val="center"/>
          </w:tcPr>
          <w:p w14:paraId="1ED8928C"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2.5</w:t>
            </w:r>
          </w:p>
        </w:tc>
        <w:tc>
          <w:tcPr>
            <w:tcW w:w="0" w:type="auto"/>
            <w:vAlign w:val="center"/>
          </w:tcPr>
          <w:p w14:paraId="757AD601"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2.5</w:t>
            </w:r>
          </w:p>
        </w:tc>
        <w:tc>
          <w:tcPr>
            <w:tcW w:w="0" w:type="auto"/>
            <w:vAlign w:val="center"/>
          </w:tcPr>
          <w:p w14:paraId="0470D9B4"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.5</w:t>
            </w:r>
          </w:p>
        </w:tc>
        <w:tc>
          <w:tcPr>
            <w:tcW w:w="931" w:type="dxa"/>
            <w:vAlign w:val="center"/>
          </w:tcPr>
          <w:p w14:paraId="785C933F"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.5</w:t>
            </w:r>
          </w:p>
        </w:tc>
        <w:tc>
          <w:tcPr>
            <w:tcW w:w="1033" w:type="dxa"/>
            <w:vAlign w:val="center"/>
          </w:tcPr>
          <w:p w14:paraId="1289D552"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2.5</w:t>
            </w:r>
          </w:p>
        </w:tc>
      </w:tr>
      <w:tr w:rsidR="004E78F6" w14:paraId="30C21ADD" w14:textId="77777777" w:rsidTr="00460A93">
        <w:trPr>
          <w:trHeight w:val="144"/>
          <w:jc w:val="center"/>
        </w:trPr>
        <w:tc>
          <w:tcPr>
            <w:tcW w:w="0" w:type="auto"/>
            <w:vAlign w:val="center"/>
          </w:tcPr>
          <w:p w14:paraId="6499A3B8" w14:textId="77777777" w:rsidR="004E78F6" w:rsidRDefault="004E78F6" w:rsidP="009B794F">
            <w:pPr>
              <w:spacing w:beforeLines="50" w:before="120"/>
              <w:jc w:val="center"/>
              <w:rPr>
                <w:rFonts w:ascii="Times New Roman" w:eastAsia="宋体" w:hAnsi="Times New Roman" w:cs="Times New Roman"/>
                <w:i/>
                <w:iCs/>
                <w:color w:val="000000"/>
              </w:rPr>
            </w:pPr>
            <w:proofErr w:type="spellStart"/>
            <w:r>
              <w:rPr>
                <w:rFonts w:ascii="Times New Roman" w:eastAsia="宋体" w:hAnsi="Times New Roman" w:cs="Times New Roman"/>
                <w:i/>
                <w:iCs/>
              </w:rPr>
              <w:t>H</w:t>
            </w:r>
            <w:r>
              <w:rPr>
                <w:rFonts w:ascii="Times New Roman" w:eastAsia="宋体" w:hAnsi="Times New Roman" w:cs="Times New Roman"/>
                <w:i/>
                <w:iCs/>
                <w:vertAlign w:val="subscript"/>
              </w:rPr>
              <w:t>r</w:t>
            </w:r>
            <w:proofErr w:type="spellEnd"/>
            <w:r>
              <w:rPr>
                <w:rFonts w:ascii="Times New Roman" w:eastAsia="宋体" w:hAnsi="Times New Roman" w:cs="Times New Roman"/>
                <w:i/>
                <w:iCs/>
              </w:rPr>
              <w:t xml:space="preserve"> (</w:t>
            </w:r>
            <w:proofErr w:type="spellStart"/>
            <w:r>
              <w:rPr>
                <w:rFonts w:ascii="Times New Roman" w:eastAsia="宋体" w:hAnsi="Times New Roman" w:cs="Times New Roman"/>
                <w:i/>
                <w:iCs/>
              </w:rPr>
              <w:t>μW</w:t>
            </w:r>
            <w:proofErr w:type="spellEnd"/>
            <w:r>
              <w:rPr>
                <w:rFonts w:ascii="Times New Roman" w:eastAsia="宋体" w:hAnsi="Times New Roman" w:cs="Times New Roman"/>
                <w:i/>
                <w:iCs/>
              </w:rPr>
              <w:t>/m</w:t>
            </w:r>
            <w:r>
              <w:rPr>
                <w:rFonts w:ascii="Times New Roman" w:eastAsia="宋体" w:hAnsi="Times New Roman" w:cs="Times New Roman"/>
                <w:i/>
                <w:iCs/>
                <w:vertAlign w:val="superscript"/>
              </w:rPr>
              <w:t>3</w:t>
            </w:r>
            <w:r>
              <w:rPr>
                <w:rFonts w:ascii="Times New Roman" w:eastAsia="宋体" w:hAnsi="Times New Roman" w:cs="Times New Roman"/>
                <w:i/>
                <w:iCs/>
              </w:rPr>
              <w:t>)</w:t>
            </w:r>
          </w:p>
        </w:tc>
        <w:tc>
          <w:tcPr>
            <w:tcW w:w="0" w:type="auto"/>
            <w:vAlign w:val="center"/>
          </w:tcPr>
          <w:p w14:paraId="752AA853"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0.03</w:t>
            </w:r>
          </w:p>
        </w:tc>
        <w:tc>
          <w:tcPr>
            <w:tcW w:w="0" w:type="auto"/>
            <w:vAlign w:val="center"/>
          </w:tcPr>
          <w:p w14:paraId="00887A3B"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0.03</w:t>
            </w:r>
          </w:p>
        </w:tc>
        <w:tc>
          <w:tcPr>
            <w:tcW w:w="0" w:type="auto"/>
            <w:vAlign w:val="center"/>
          </w:tcPr>
          <w:p w14:paraId="0EC5E980" w14:textId="77777777" w:rsidR="004E78F6" w:rsidRDefault="004E78F6" w:rsidP="009B794F">
            <w:pPr>
              <w:spacing w:beforeLines="50" w:before="120"/>
              <w:jc w:val="center"/>
              <w:rPr>
                <w:rFonts w:ascii="Times New Roman" w:hAnsi="Times New Roman" w:cs="Times New Roman"/>
              </w:rPr>
            </w:pPr>
            <w:r>
              <w:rPr>
                <w:rFonts w:ascii="Times New Roman" w:eastAsia="宋体" w:hAnsi="Times New Roman" w:cs="Times New Roman"/>
              </w:rPr>
              <w:t>0.03</w:t>
            </w:r>
          </w:p>
        </w:tc>
        <w:tc>
          <w:tcPr>
            <w:tcW w:w="0" w:type="auto"/>
            <w:vAlign w:val="center"/>
          </w:tcPr>
          <w:p w14:paraId="599B9297"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0.03</w:t>
            </w:r>
          </w:p>
        </w:tc>
        <w:tc>
          <w:tcPr>
            <w:tcW w:w="0" w:type="auto"/>
            <w:vAlign w:val="center"/>
          </w:tcPr>
          <w:p w14:paraId="40538DF3"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0.03</w:t>
            </w:r>
          </w:p>
        </w:tc>
        <w:tc>
          <w:tcPr>
            <w:tcW w:w="0" w:type="auto"/>
            <w:vAlign w:val="center"/>
          </w:tcPr>
          <w:p w14:paraId="60797266"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0.25</w:t>
            </w:r>
          </w:p>
        </w:tc>
        <w:tc>
          <w:tcPr>
            <w:tcW w:w="0" w:type="auto"/>
            <w:vAlign w:val="center"/>
          </w:tcPr>
          <w:p w14:paraId="2E26AC11"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.5</w:t>
            </w:r>
          </w:p>
        </w:tc>
        <w:tc>
          <w:tcPr>
            <w:tcW w:w="0" w:type="auto"/>
            <w:vAlign w:val="center"/>
          </w:tcPr>
          <w:p w14:paraId="1CA3C911"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.5</w:t>
            </w:r>
          </w:p>
        </w:tc>
        <w:tc>
          <w:tcPr>
            <w:tcW w:w="0" w:type="auto"/>
            <w:vAlign w:val="center"/>
          </w:tcPr>
          <w:p w14:paraId="52655031"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w:t>
            </w:r>
          </w:p>
        </w:tc>
        <w:tc>
          <w:tcPr>
            <w:tcW w:w="0" w:type="auto"/>
            <w:vAlign w:val="center"/>
          </w:tcPr>
          <w:p w14:paraId="13C2386D"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0.25</w:t>
            </w:r>
          </w:p>
        </w:tc>
        <w:tc>
          <w:tcPr>
            <w:tcW w:w="931" w:type="dxa"/>
            <w:vAlign w:val="center"/>
          </w:tcPr>
          <w:p w14:paraId="1CFB7229"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0.25</w:t>
            </w:r>
          </w:p>
        </w:tc>
        <w:tc>
          <w:tcPr>
            <w:tcW w:w="1033" w:type="dxa"/>
            <w:vAlign w:val="center"/>
          </w:tcPr>
          <w:p w14:paraId="75574A16"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.5</w:t>
            </w:r>
          </w:p>
        </w:tc>
      </w:tr>
      <w:tr w:rsidR="004E78F6" w14:paraId="27A389C7" w14:textId="77777777" w:rsidTr="00460A93">
        <w:trPr>
          <w:trHeight w:val="144"/>
          <w:jc w:val="center"/>
        </w:trPr>
        <w:tc>
          <w:tcPr>
            <w:tcW w:w="0" w:type="auto"/>
            <w:vAlign w:val="center"/>
          </w:tcPr>
          <w:p w14:paraId="218D6747" w14:textId="77777777" w:rsidR="004E78F6" w:rsidRDefault="004E78F6" w:rsidP="009B794F">
            <w:pPr>
              <w:spacing w:beforeLines="50" w:before="120"/>
              <w:jc w:val="center"/>
              <w:rPr>
                <w:rFonts w:ascii="Times New Roman" w:eastAsia="宋体" w:hAnsi="Times New Roman" w:cs="Times New Roman"/>
                <w:i/>
                <w:iCs/>
                <w:color w:val="000000"/>
              </w:rPr>
            </w:pPr>
            <w:r>
              <w:rPr>
                <w:rFonts w:ascii="Times New Roman" w:eastAsia="宋体" w:hAnsi="Times New Roman" w:cs="Times New Roman"/>
                <w:i/>
                <w:iCs/>
              </w:rPr>
              <w:t>c</w:t>
            </w:r>
            <w:r>
              <w:rPr>
                <w:rFonts w:ascii="Times New Roman" w:eastAsia="宋体" w:hAnsi="Times New Roman" w:cs="Times New Roman"/>
                <w:i/>
                <w:iCs/>
                <w:vertAlign w:val="subscript"/>
              </w:rPr>
              <w:t>p</w:t>
            </w:r>
            <w:r>
              <w:rPr>
                <w:rFonts w:ascii="Times New Roman" w:eastAsia="宋体" w:hAnsi="Times New Roman" w:cs="Times New Roman"/>
                <w:i/>
                <w:iCs/>
              </w:rPr>
              <w:t xml:space="preserve"> (J/(</w:t>
            </w:r>
            <w:proofErr w:type="spellStart"/>
            <w:r>
              <w:rPr>
                <w:rFonts w:ascii="Times New Roman" w:eastAsia="宋体" w:hAnsi="Times New Roman" w:cs="Times New Roman"/>
                <w:i/>
                <w:iCs/>
              </w:rPr>
              <w:t>kg·K</w:t>
            </w:r>
            <w:proofErr w:type="spellEnd"/>
            <w:r>
              <w:rPr>
                <w:rFonts w:ascii="Times New Roman" w:eastAsia="宋体" w:hAnsi="Times New Roman" w:cs="Times New Roman"/>
                <w:i/>
                <w:iCs/>
              </w:rPr>
              <w:t>)</w:t>
            </w:r>
          </w:p>
        </w:tc>
        <w:tc>
          <w:tcPr>
            <w:tcW w:w="0" w:type="auto"/>
            <w:vAlign w:val="center"/>
          </w:tcPr>
          <w:p w14:paraId="48BFE436"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04A2C828"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73E56684" w14:textId="77777777" w:rsidR="004E78F6" w:rsidRDefault="004E78F6" w:rsidP="009B794F">
            <w:pPr>
              <w:spacing w:beforeLines="50" w:before="120"/>
              <w:jc w:val="center"/>
              <w:rPr>
                <w:rFonts w:ascii="Times New Roman" w:hAnsi="Times New Roman" w:cs="Times New Roman"/>
              </w:rPr>
            </w:pPr>
            <w:r>
              <w:rPr>
                <w:rFonts w:ascii="Times New Roman" w:eastAsia="宋体" w:hAnsi="Times New Roman" w:cs="Times New Roman"/>
              </w:rPr>
              <w:t>1200</w:t>
            </w:r>
          </w:p>
        </w:tc>
        <w:tc>
          <w:tcPr>
            <w:tcW w:w="0" w:type="auto"/>
            <w:vAlign w:val="center"/>
          </w:tcPr>
          <w:p w14:paraId="429ADACD"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49C8C642"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366ABF5F"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383C80D8"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0427B670"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028EA39C"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0" w:type="auto"/>
            <w:vAlign w:val="center"/>
          </w:tcPr>
          <w:p w14:paraId="35273EA3"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931" w:type="dxa"/>
            <w:vAlign w:val="center"/>
          </w:tcPr>
          <w:p w14:paraId="3D9AB814"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c>
          <w:tcPr>
            <w:tcW w:w="1033" w:type="dxa"/>
            <w:vAlign w:val="center"/>
          </w:tcPr>
          <w:p w14:paraId="73949EF8" w14:textId="77777777" w:rsidR="004E78F6" w:rsidRDefault="004E78F6" w:rsidP="009B794F">
            <w:pPr>
              <w:spacing w:beforeLines="50" w:before="120"/>
              <w:jc w:val="center"/>
              <w:rPr>
                <w:rFonts w:ascii="Times New Roman" w:eastAsia="宋体" w:hAnsi="Times New Roman" w:cs="Times New Roman"/>
              </w:rPr>
            </w:pPr>
            <w:r>
              <w:rPr>
                <w:rFonts w:ascii="Times New Roman" w:eastAsia="宋体" w:hAnsi="Times New Roman" w:cs="Times New Roman"/>
              </w:rPr>
              <w:t>1200</w:t>
            </w:r>
          </w:p>
        </w:tc>
      </w:tr>
      <w:tr w:rsidR="004E78F6" w14:paraId="618EF80E" w14:textId="77777777" w:rsidTr="00460A93">
        <w:trPr>
          <w:trHeight w:val="144"/>
          <w:jc w:val="center"/>
        </w:trPr>
        <w:tc>
          <w:tcPr>
            <w:tcW w:w="13585" w:type="dxa"/>
            <w:gridSpan w:val="13"/>
            <w:shd w:val="clear" w:color="auto" w:fill="D9D9D9" w:themeFill="background1" w:themeFillShade="D9"/>
            <w:vAlign w:val="center"/>
          </w:tcPr>
          <w:p w14:paraId="47E97088" w14:textId="77777777" w:rsidR="004E78F6" w:rsidRDefault="004E78F6">
            <w:pPr>
              <w:spacing w:beforeLines="50" w:before="120"/>
              <w:jc w:val="center"/>
              <w:rPr>
                <w:rFonts w:ascii="Times New Roman" w:eastAsia="宋体" w:hAnsi="Times New Roman" w:cs="Times New Roman"/>
              </w:rPr>
            </w:pPr>
            <w:r>
              <w:rPr>
                <w:rFonts w:ascii="Times New Roman" w:eastAsia="宋体" w:hAnsi="Times New Roman" w:cs="Times New Roman"/>
              </w:rPr>
              <w:t>Density Parameters (</w:t>
            </w:r>
            <w:r>
              <w:rPr>
                <w:rFonts w:ascii="Times New Roman" w:eastAsia="宋体" w:hAnsi="Times New Roman" w:cs="Times New Roman"/>
                <w:iCs/>
              </w:rPr>
              <w:t>Ref. 9-10</w:t>
            </w:r>
            <w:r>
              <w:rPr>
                <w:rFonts w:ascii="Times New Roman" w:eastAsia="宋体" w:hAnsi="Times New Roman" w:cs="Times New Roman"/>
              </w:rPr>
              <w:t>)</w:t>
            </w:r>
          </w:p>
        </w:tc>
      </w:tr>
      <w:tr w:rsidR="004E78F6" w14:paraId="66DCB84B" w14:textId="77777777" w:rsidTr="00460A93">
        <w:trPr>
          <w:trHeight w:val="144"/>
          <w:jc w:val="center"/>
        </w:trPr>
        <w:tc>
          <w:tcPr>
            <w:tcW w:w="0" w:type="auto"/>
            <w:vAlign w:val="center"/>
          </w:tcPr>
          <w:p w14:paraId="44CF2B72" w14:textId="77777777" w:rsidR="004E78F6" w:rsidRDefault="004E78F6" w:rsidP="00277F92">
            <w:pPr>
              <w:spacing w:beforeLines="50" w:before="120"/>
              <w:jc w:val="center"/>
              <w:rPr>
                <w:rFonts w:ascii="Times New Roman" w:eastAsia="宋体" w:hAnsi="Times New Roman" w:cs="Times New Roman"/>
                <w:i/>
                <w:iCs/>
                <w:color w:val="000000"/>
              </w:rPr>
            </w:pPr>
            <w:r>
              <w:rPr>
                <w:rFonts w:ascii="Times New Roman" w:eastAsia="宋体" w:hAnsi="Times New Roman" w:cs="Times New Roman"/>
                <w:i/>
              </w:rPr>
              <w:t>ρ</w:t>
            </w:r>
            <w:r>
              <w:rPr>
                <w:rFonts w:ascii="Times New Roman" w:eastAsia="宋体" w:hAnsi="Times New Roman" w:cs="Times New Roman"/>
                <w:i/>
                <w:vertAlign w:val="subscript"/>
              </w:rPr>
              <w:t xml:space="preserve">0 </w:t>
            </w:r>
            <w:r>
              <w:rPr>
                <w:rFonts w:ascii="Times New Roman" w:eastAsia="宋体" w:hAnsi="Times New Roman" w:cs="Times New Roman"/>
                <w:i/>
              </w:rPr>
              <w:t>(g·</w:t>
            </w:r>
            <w:proofErr w:type="gramStart"/>
            <w:r>
              <w:rPr>
                <w:rFonts w:ascii="Times New Roman" w:eastAsia="宋体" w:hAnsi="Times New Roman" w:cs="Times New Roman"/>
                <w:i/>
              </w:rPr>
              <w:t>cm</w:t>
            </w:r>
            <w:r>
              <w:rPr>
                <w:rFonts w:ascii="Times New Roman" w:eastAsia="宋体" w:hAnsi="Times New Roman" w:cs="Times New Roman"/>
                <w:i/>
                <w:vertAlign w:val="superscript"/>
              </w:rPr>
              <w:t>-3</w:t>
            </w:r>
            <w:proofErr w:type="gramEnd"/>
            <w:r>
              <w:rPr>
                <w:rFonts w:ascii="Times New Roman" w:eastAsia="宋体" w:hAnsi="Times New Roman" w:cs="Times New Roman"/>
                <w:i/>
              </w:rPr>
              <w:t>)</w:t>
            </w:r>
          </w:p>
        </w:tc>
        <w:tc>
          <w:tcPr>
            <w:tcW w:w="0" w:type="auto"/>
            <w:vAlign w:val="center"/>
          </w:tcPr>
          <w:p w14:paraId="5AC27FA4"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3.39</w:t>
            </w:r>
          </w:p>
        </w:tc>
        <w:tc>
          <w:tcPr>
            <w:tcW w:w="0" w:type="auto"/>
            <w:vAlign w:val="center"/>
          </w:tcPr>
          <w:p w14:paraId="72A79E80"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Table S2</w:t>
            </w:r>
          </w:p>
        </w:tc>
        <w:tc>
          <w:tcPr>
            <w:tcW w:w="0" w:type="auto"/>
            <w:vAlign w:val="center"/>
          </w:tcPr>
          <w:p w14:paraId="2378923B" w14:textId="77777777" w:rsidR="004E78F6" w:rsidRDefault="004E78F6" w:rsidP="00277F92">
            <w:pPr>
              <w:spacing w:beforeLines="50" w:before="120"/>
              <w:jc w:val="center"/>
              <w:rPr>
                <w:rFonts w:ascii="Times New Roman" w:hAnsi="Times New Roman" w:cs="Times New Roman"/>
              </w:rPr>
            </w:pPr>
            <w:r>
              <w:rPr>
                <w:rFonts w:ascii="Times New Roman" w:eastAsia="宋体" w:hAnsi="Times New Roman" w:cs="Times New Roman"/>
              </w:rPr>
              <w:t>Table S2</w:t>
            </w:r>
          </w:p>
        </w:tc>
        <w:tc>
          <w:tcPr>
            <w:tcW w:w="0" w:type="auto"/>
            <w:vAlign w:val="center"/>
          </w:tcPr>
          <w:p w14:paraId="638EB37A"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3.34</w:t>
            </w:r>
          </w:p>
        </w:tc>
        <w:tc>
          <w:tcPr>
            <w:tcW w:w="0" w:type="auto"/>
            <w:vAlign w:val="center"/>
          </w:tcPr>
          <w:p w14:paraId="74884B8C"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3.34</w:t>
            </w:r>
          </w:p>
        </w:tc>
        <w:tc>
          <w:tcPr>
            <w:tcW w:w="0" w:type="auto"/>
            <w:vAlign w:val="center"/>
          </w:tcPr>
          <w:p w14:paraId="2BC74035"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3.00</w:t>
            </w:r>
          </w:p>
        </w:tc>
        <w:tc>
          <w:tcPr>
            <w:tcW w:w="0" w:type="auto"/>
            <w:vAlign w:val="center"/>
          </w:tcPr>
          <w:p w14:paraId="15F6FEF5"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lang w:val="en"/>
              </w:rPr>
              <w:t>70</w:t>
            </w:r>
          </w:p>
        </w:tc>
        <w:tc>
          <w:tcPr>
            <w:tcW w:w="0" w:type="auto"/>
            <w:vAlign w:val="center"/>
          </w:tcPr>
          <w:p w14:paraId="3F9FBE57"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lang w:val="en"/>
              </w:rPr>
              <w:t>70</w:t>
            </w:r>
          </w:p>
        </w:tc>
        <w:tc>
          <w:tcPr>
            <w:tcW w:w="0" w:type="auto"/>
            <w:vAlign w:val="center"/>
          </w:tcPr>
          <w:p w14:paraId="6E55F86D"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lang w:val="en"/>
              </w:rPr>
              <w:t>2.80</w:t>
            </w:r>
          </w:p>
        </w:tc>
        <w:tc>
          <w:tcPr>
            <w:tcW w:w="0" w:type="auto"/>
            <w:vAlign w:val="center"/>
          </w:tcPr>
          <w:p w14:paraId="73287238"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2.85</w:t>
            </w:r>
          </w:p>
        </w:tc>
        <w:tc>
          <w:tcPr>
            <w:tcW w:w="931" w:type="dxa"/>
            <w:vAlign w:val="center"/>
          </w:tcPr>
          <w:p w14:paraId="71B2BBA9" w14:textId="77777777" w:rsidR="004E78F6" w:rsidRDefault="004E78F6" w:rsidP="00277F92">
            <w:pPr>
              <w:spacing w:beforeLines="50" w:before="120"/>
              <w:jc w:val="center"/>
              <w:rPr>
                <w:rFonts w:ascii="Times New Roman" w:eastAsia="宋体" w:hAnsi="Times New Roman" w:cs="Times New Roman"/>
                <w:lang w:val="en"/>
              </w:rPr>
            </w:pPr>
            <w:r>
              <w:rPr>
                <w:rFonts w:ascii="Times New Roman" w:eastAsia="宋体" w:hAnsi="Times New Roman" w:cs="Times New Roman"/>
              </w:rPr>
              <w:t>2.</w:t>
            </w:r>
            <w:r>
              <w:rPr>
                <w:rFonts w:ascii="Times New Roman" w:eastAsia="宋体" w:hAnsi="Times New Roman" w:cs="Times New Roman"/>
                <w:lang w:val="en"/>
              </w:rPr>
              <w:t>90</w:t>
            </w:r>
          </w:p>
        </w:tc>
        <w:tc>
          <w:tcPr>
            <w:tcW w:w="1033" w:type="dxa"/>
            <w:vAlign w:val="center"/>
          </w:tcPr>
          <w:p w14:paraId="70D6433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lang w:val="en"/>
              </w:rPr>
              <w:t>90</w:t>
            </w:r>
          </w:p>
        </w:tc>
      </w:tr>
      <w:tr w:rsidR="004E78F6" w14:paraId="2969F2D2" w14:textId="77777777" w:rsidTr="00460A93">
        <w:trPr>
          <w:trHeight w:val="144"/>
          <w:jc w:val="center"/>
        </w:trPr>
        <w:tc>
          <w:tcPr>
            <w:tcW w:w="0" w:type="auto"/>
            <w:vAlign w:val="center"/>
          </w:tcPr>
          <w:p w14:paraId="3C96FB13" w14:textId="77777777" w:rsidR="004E78F6" w:rsidRDefault="004E78F6" w:rsidP="00277F92">
            <w:pPr>
              <w:spacing w:beforeLines="50" w:before="120"/>
              <w:jc w:val="center"/>
              <w:rPr>
                <w:rFonts w:ascii="Times New Roman" w:eastAsia="宋体" w:hAnsi="Times New Roman" w:cs="Times New Roman"/>
                <w:i/>
                <w:iCs/>
                <w:color w:val="000000"/>
              </w:rPr>
            </w:pPr>
            <w:r>
              <w:rPr>
                <w:rFonts w:ascii="Times New Roman" w:eastAsia="宋体" w:hAnsi="Times New Roman" w:cs="Times New Roman"/>
                <w:i/>
              </w:rPr>
              <w:t>a</w:t>
            </w:r>
            <w:r>
              <w:rPr>
                <w:rFonts w:ascii="Times New Roman" w:eastAsia="宋体" w:hAnsi="Times New Roman" w:cs="Times New Roman"/>
                <w:i/>
                <w:vertAlign w:val="subscript"/>
              </w:rPr>
              <w:t>1</w:t>
            </w:r>
            <w:r>
              <w:rPr>
                <w:rFonts w:ascii="Times New Roman" w:eastAsia="宋体" w:hAnsi="Times New Roman" w:cs="Times New Roman"/>
                <w:i/>
              </w:rPr>
              <w:t>(10</w:t>
            </w:r>
            <w:r>
              <w:rPr>
                <w:rFonts w:ascii="Times New Roman" w:eastAsia="宋体" w:hAnsi="Times New Roman" w:cs="Times New Roman"/>
                <w:i/>
                <w:vertAlign w:val="superscript"/>
              </w:rPr>
              <w:t>-4</w:t>
            </w:r>
            <w:r>
              <w:rPr>
                <w:rFonts w:ascii="Times New Roman" w:eastAsia="宋体" w:hAnsi="Times New Roman" w:cs="Times New Roman"/>
                <w:i/>
              </w:rPr>
              <w:t>)</w:t>
            </w:r>
          </w:p>
        </w:tc>
        <w:tc>
          <w:tcPr>
            <w:tcW w:w="0" w:type="auto"/>
            <w:vAlign w:val="center"/>
          </w:tcPr>
          <w:p w14:paraId="072ADBFA"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0.27768</w:t>
            </w:r>
          </w:p>
        </w:tc>
        <w:tc>
          <w:tcPr>
            <w:tcW w:w="0" w:type="auto"/>
            <w:vAlign w:val="center"/>
          </w:tcPr>
          <w:p w14:paraId="1245B1A8"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0" w:type="auto"/>
            <w:vAlign w:val="center"/>
          </w:tcPr>
          <w:p w14:paraId="16BD377A" w14:textId="77777777" w:rsidR="004E78F6" w:rsidRDefault="004E78F6" w:rsidP="00277F92">
            <w:pPr>
              <w:spacing w:beforeLines="50" w:before="120"/>
              <w:jc w:val="center"/>
              <w:rPr>
                <w:rFonts w:ascii="Times New Roman" w:hAnsi="Times New Roman" w:cs="Times New Roman"/>
              </w:rPr>
            </w:pPr>
            <w:r>
              <w:rPr>
                <w:rFonts w:ascii="Times New Roman" w:eastAsia="宋体" w:hAnsi="Times New Roman" w:cs="Times New Roman"/>
              </w:rPr>
              <w:t>0.27768</w:t>
            </w:r>
          </w:p>
        </w:tc>
        <w:tc>
          <w:tcPr>
            <w:tcW w:w="0" w:type="auto"/>
            <w:vAlign w:val="center"/>
          </w:tcPr>
          <w:p w14:paraId="7405F4B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0" w:type="auto"/>
            <w:vAlign w:val="center"/>
          </w:tcPr>
          <w:p w14:paraId="23894568"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0.27768</w:t>
            </w:r>
          </w:p>
        </w:tc>
        <w:tc>
          <w:tcPr>
            <w:tcW w:w="0" w:type="auto"/>
            <w:vAlign w:val="center"/>
          </w:tcPr>
          <w:p w14:paraId="64385A41"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0.27768</w:t>
            </w:r>
          </w:p>
        </w:tc>
        <w:tc>
          <w:tcPr>
            <w:tcW w:w="0" w:type="auto"/>
            <w:vAlign w:val="center"/>
          </w:tcPr>
          <w:p w14:paraId="60EB67A6"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0" w:type="auto"/>
            <w:vAlign w:val="center"/>
          </w:tcPr>
          <w:p w14:paraId="41F424B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0" w:type="auto"/>
            <w:vAlign w:val="center"/>
          </w:tcPr>
          <w:p w14:paraId="4E308EE3"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0" w:type="auto"/>
            <w:vAlign w:val="center"/>
          </w:tcPr>
          <w:p w14:paraId="37E68C95"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931" w:type="dxa"/>
            <w:vAlign w:val="center"/>
          </w:tcPr>
          <w:p w14:paraId="22ABFC1C"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c>
          <w:tcPr>
            <w:tcW w:w="1033" w:type="dxa"/>
            <w:vAlign w:val="center"/>
          </w:tcPr>
          <w:p w14:paraId="3AF378B1"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0.27014</w:t>
            </w:r>
          </w:p>
        </w:tc>
      </w:tr>
      <w:tr w:rsidR="004E78F6" w14:paraId="35AAC106" w14:textId="77777777" w:rsidTr="00460A93">
        <w:trPr>
          <w:trHeight w:val="144"/>
          <w:jc w:val="center"/>
        </w:trPr>
        <w:tc>
          <w:tcPr>
            <w:tcW w:w="0" w:type="auto"/>
            <w:vAlign w:val="center"/>
          </w:tcPr>
          <w:p w14:paraId="609537EE" w14:textId="77777777" w:rsidR="004E78F6" w:rsidRDefault="004E78F6" w:rsidP="00277F92">
            <w:pPr>
              <w:spacing w:beforeLines="50" w:before="120"/>
              <w:jc w:val="center"/>
              <w:rPr>
                <w:rFonts w:ascii="Times New Roman" w:eastAsia="宋体" w:hAnsi="Times New Roman" w:cs="Times New Roman"/>
                <w:i/>
              </w:rPr>
            </w:pPr>
            <w:r>
              <w:rPr>
                <w:rFonts w:ascii="Times New Roman" w:eastAsia="宋体" w:hAnsi="Times New Roman" w:cs="Times New Roman"/>
                <w:i/>
              </w:rPr>
              <w:t>a</w:t>
            </w:r>
            <w:r>
              <w:rPr>
                <w:rFonts w:ascii="Times New Roman" w:eastAsia="宋体" w:hAnsi="Times New Roman" w:cs="Times New Roman"/>
                <w:i/>
                <w:vertAlign w:val="subscript"/>
              </w:rPr>
              <w:t>2</w:t>
            </w:r>
            <w:r>
              <w:rPr>
                <w:rFonts w:ascii="Times New Roman" w:eastAsia="宋体" w:hAnsi="Times New Roman" w:cs="Times New Roman"/>
                <w:i/>
              </w:rPr>
              <w:t>(10</w:t>
            </w:r>
            <w:r>
              <w:rPr>
                <w:rFonts w:ascii="Times New Roman" w:eastAsia="宋体" w:hAnsi="Times New Roman" w:cs="Times New Roman"/>
                <w:i/>
                <w:vertAlign w:val="superscript"/>
              </w:rPr>
              <w:t>-8</w:t>
            </w:r>
            <w:r>
              <w:rPr>
                <w:rFonts w:ascii="Times New Roman" w:eastAsia="宋体" w:hAnsi="Times New Roman" w:cs="Times New Roman"/>
                <w:i/>
              </w:rPr>
              <w:t xml:space="preserve"> K</w:t>
            </w:r>
            <w:r>
              <w:rPr>
                <w:rFonts w:ascii="Times New Roman" w:eastAsia="宋体" w:hAnsi="Times New Roman" w:cs="Times New Roman"/>
                <w:i/>
                <w:vertAlign w:val="superscript"/>
              </w:rPr>
              <w:t>-1</w:t>
            </w:r>
            <w:r>
              <w:rPr>
                <w:rFonts w:ascii="Times New Roman" w:eastAsia="宋体" w:hAnsi="Times New Roman" w:cs="Times New Roman"/>
                <w:i/>
              </w:rPr>
              <w:t>)</w:t>
            </w:r>
          </w:p>
        </w:tc>
        <w:tc>
          <w:tcPr>
            <w:tcW w:w="0" w:type="auto"/>
            <w:vAlign w:val="center"/>
          </w:tcPr>
          <w:p w14:paraId="578F96E7"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0.95451</w:t>
            </w:r>
          </w:p>
        </w:tc>
        <w:tc>
          <w:tcPr>
            <w:tcW w:w="0" w:type="auto"/>
            <w:vAlign w:val="center"/>
          </w:tcPr>
          <w:p w14:paraId="3A9CF5E8"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0" w:type="auto"/>
            <w:vAlign w:val="center"/>
          </w:tcPr>
          <w:p w14:paraId="3292A4E4" w14:textId="77777777" w:rsidR="004E78F6" w:rsidRDefault="004E78F6" w:rsidP="00277F92">
            <w:pPr>
              <w:spacing w:beforeLines="50" w:before="120"/>
              <w:jc w:val="center"/>
              <w:rPr>
                <w:rFonts w:ascii="Times New Roman" w:hAnsi="Times New Roman" w:cs="Times New Roman"/>
              </w:rPr>
            </w:pPr>
            <w:r>
              <w:rPr>
                <w:rFonts w:ascii="Times New Roman" w:eastAsia="宋体" w:hAnsi="Times New Roman" w:cs="Times New Roman"/>
              </w:rPr>
              <w:t>0.95451</w:t>
            </w:r>
          </w:p>
        </w:tc>
        <w:tc>
          <w:tcPr>
            <w:tcW w:w="0" w:type="auto"/>
            <w:vAlign w:val="center"/>
          </w:tcPr>
          <w:p w14:paraId="3ECC8FFA"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0" w:type="auto"/>
            <w:vAlign w:val="center"/>
          </w:tcPr>
          <w:p w14:paraId="48BC38CB"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0.95451</w:t>
            </w:r>
          </w:p>
        </w:tc>
        <w:tc>
          <w:tcPr>
            <w:tcW w:w="0" w:type="auto"/>
            <w:vAlign w:val="center"/>
          </w:tcPr>
          <w:p w14:paraId="77DBAED1"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0.95451</w:t>
            </w:r>
          </w:p>
        </w:tc>
        <w:tc>
          <w:tcPr>
            <w:tcW w:w="0" w:type="auto"/>
            <w:vAlign w:val="center"/>
          </w:tcPr>
          <w:p w14:paraId="41CE776B"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0" w:type="auto"/>
            <w:vAlign w:val="center"/>
          </w:tcPr>
          <w:p w14:paraId="28C82880"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0" w:type="auto"/>
            <w:vAlign w:val="center"/>
          </w:tcPr>
          <w:p w14:paraId="21C68E2B"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0" w:type="auto"/>
            <w:vAlign w:val="center"/>
          </w:tcPr>
          <w:p w14:paraId="5948CF07"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931" w:type="dxa"/>
            <w:vAlign w:val="center"/>
          </w:tcPr>
          <w:p w14:paraId="593B1D5A"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c>
          <w:tcPr>
            <w:tcW w:w="1033" w:type="dxa"/>
            <w:vAlign w:val="center"/>
          </w:tcPr>
          <w:p w14:paraId="4BE1EF6B"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1.05945</w:t>
            </w:r>
          </w:p>
        </w:tc>
      </w:tr>
      <w:tr w:rsidR="004E78F6" w14:paraId="0F5830F3" w14:textId="77777777" w:rsidTr="00460A93">
        <w:trPr>
          <w:trHeight w:val="144"/>
          <w:jc w:val="center"/>
        </w:trPr>
        <w:tc>
          <w:tcPr>
            <w:tcW w:w="0" w:type="auto"/>
            <w:vAlign w:val="center"/>
          </w:tcPr>
          <w:p w14:paraId="72BBE542" w14:textId="77777777" w:rsidR="004E78F6" w:rsidRDefault="004E78F6" w:rsidP="00277F92">
            <w:pPr>
              <w:spacing w:beforeLines="50" w:before="120"/>
              <w:jc w:val="center"/>
              <w:rPr>
                <w:rFonts w:ascii="Times New Roman" w:eastAsia="宋体" w:hAnsi="Times New Roman" w:cs="Times New Roman"/>
                <w:i/>
              </w:rPr>
            </w:pPr>
            <w:r>
              <w:rPr>
                <w:rFonts w:ascii="Times New Roman" w:eastAsia="宋体" w:hAnsi="Times New Roman" w:cs="Times New Roman"/>
                <w:i/>
              </w:rPr>
              <w:t>a</w:t>
            </w:r>
            <w:r>
              <w:rPr>
                <w:rFonts w:ascii="Times New Roman" w:eastAsia="宋体" w:hAnsi="Times New Roman" w:cs="Times New Roman"/>
                <w:i/>
                <w:vertAlign w:val="subscript"/>
              </w:rPr>
              <w:t xml:space="preserve">3 </w:t>
            </w:r>
            <w:r>
              <w:rPr>
                <w:rFonts w:ascii="Times New Roman" w:eastAsia="宋体" w:hAnsi="Times New Roman" w:cs="Times New Roman"/>
                <w:i/>
              </w:rPr>
              <w:t>(K</w:t>
            </w:r>
            <w:r>
              <w:rPr>
                <w:rFonts w:ascii="Times New Roman" w:eastAsia="宋体" w:hAnsi="Times New Roman" w:cs="Times New Roman"/>
                <w:i/>
                <w:vertAlign w:val="superscript"/>
              </w:rPr>
              <w:t>2</w:t>
            </w:r>
            <w:r>
              <w:rPr>
                <w:rFonts w:ascii="Times New Roman" w:eastAsia="宋体" w:hAnsi="Times New Roman" w:cs="Times New Roman"/>
                <w:i/>
              </w:rPr>
              <w:t>)</w:t>
            </w:r>
          </w:p>
        </w:tc>
        <w:tc>
          <w:tcPr>
            <w:tcW w:w="0" w:type="auto"/>
            <w:vAlign w:val="center"/>
          </w:tcPr>
          <w:p w14:paraId="2D570C44"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-0.12404</w:t>
            </w:r>
          </w:p>
        </w:tc>
        <w:tc>
          <w:tcPr>
            <w:tcW w:w="0" w:type="auto"/>
            <w:vAlign w:val="center"/>
          </w:tcPr>
          <w:p w14:paraId="7F7E46C5"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0" w:type="auto"/>
            <w:vAlign w:val="center"/>
          </w:tcPr>
          <w:p w14:paraId="2A6DEB01" w14:textId="77777777" w:rsidR="004E78F6" w:rsidRDefault="004E78F6" w:rsidP="00277F92">
            <w:pPr>
              <w:spacing w:beforeLines="50" w:before="120"/>
              <w:jc w:val="center"/>
              <w:rPr>
                <w:rFonts w:ascii="Times New Roman" w:hAnsi="Times New Roman" w:cs="Times New Roman"/>
              </w:rPr>
            </w:pPr>
            <w:r>
              <w:rPr>
                <w:rFonts w:ascii="Times New Roman" w:eastAsia="宋体" w:hAnsi="Times New Roman" w:cs="Times New Roman"/>
              </w:rPr>
              <w:t>-0.12404</w:t>
            </w:r>
          </w:p>
        </w:tc>
        <w:tc>
          <w:tcPr>
            <w:tcW w:w="0" w:type="auto"/>
            <w:vAlign w:val="center"/>
          </w:tcPr>
          <w:p w14:paraId="55DD4D85"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0" w:type="auto"/>
            <w:vAlign w:val="center"/>
          </w:tcPr>
          <w:p w14:paraId="25F3BE16"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-0.12404</w:t>
            </w:r>
          </w:p>
        </w:tc>
        <w:tc>
          <w:tcPr>
            <w:tcW w:w="0" w:type="auto"/>
            <w:vAlign w:val="center"/>
          </w:tcPr>
          <w:p w14:paraId="12D0128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-0.12404</w:t>
            </w:r>
          </w:p>
        </w:tc>
        <w:tc>
          <w:tcPr>
            <w:tcW w:w="0" w:type="auto"/>
            <w:vAlign w:val="center"/>
          </w:tcPr>
          <w:p w14:paraId="5362C7C3"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0" w:type="auto"/>
            <w:vAlign w:val="center"/>
          </w:tcPr>
          <w:p w14:paraId="0F96691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0" w:type="auto"/>
            <w:vAlign w:val="center"/>
          </w:tcPr>
          <w:p w14:paraId="18499A3A"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0" w:type="auto"/>
            <w:vAlign w:val="center"/>
          </w:tcPr>
          <w:p w14:paraId="5AAE6FDF"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931" w:type="dxa"/>
            <w:vAlign w:val="center"/>
          </w:tcPr>
          <w:p w14:paraId="71069ED1"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c>
          <w:tcPr>
            <w:tcW w:w="1033" w:type="dxa"/>
            <w:vAlign w:val="center"/>
          </w:tcPr>
          <w:p w14:paraId="2607ABD7"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-0.1243</w:t>
            </w:r>
          </w:p>
        </w:tc>
      </w:tr>
      <w:tr w:rsidR="004E78F6" w14:paraId="12F1A403" w14:textId="77777777" w:rsidTr="00460A93">
        <w:trPr>
          <w:trHeight w:val="144"/>
          <w:jc w:val="center"/>
        </w:trPr>
        <w:tc>
          <w:tcPr>
            <w:tcW w:w="0" w:type="auto"/>
            <w:vAlign w:val="center"/>
          </w:tcPr>
          <w:p w14:paraId="455A8596" w14:textId="77777777" w:rsidR="004E78F6" w:rsidRDefault="004E78F6" w:rsidP="00277F92">
            <w:pPr>
              <w:spacing w:beforeLines="50" w:before="120"/>
              <w:jc w:val="center"/>
              <w:rPr>
                <w:rFonts w:ascii="Times New Roman" w:eastAsia="宋体" w:hAnsi="Times New Roman" w:cs="Times New Roman"/>
                <w:i/>
              </w:rPr>
            </w:pPr>
            <w:r>
              <w:rPr>
                <w:rFonts w:ascii="Times New Roman" w:eastAsia="宋体" w:hAnsi="Times New Roman" w:cs="Times New Roman"/>
                <w:i/>
              </w:rPr>
              <w:t>K (Gpa</w:t>
            </w:r>
            <w:r>
              <w:rPr>
                <w:rFonts w:ascii="Times New Roman" w:eastAsia="宋体" w:hAnsi="Times New Roman" w:cs="Times New Roman"/>
                <w:i/>
                <w:vertAlign w:val="superscript"/>
              </w:rPr>
              <w:t>-1</w:t>
            </w:r>
            <w:r>
              <w:rPr>
                <w:rFonts w:ascii="Times New Roman" w:eastAsia="宋体" w:hAnsi="Times New Roman" w:cs="Times New Roman"/>
                <w:i/>
              </w:rPr>
              <w:t>)</w:t>
            </w:r>
          </w:p>
        </w:tc>
        <w:tc>
          <w:tcPr>
            <w:tcW w:w="0" w:type="auto"/>
            <w:vAlign w:val="center"/>
          </w:tcPr>
          <w:p w14:paraId="3CC3A4E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128</w:t>
            </w:r>
          </w:p>
        </w:tc>
        <w:tc>
          <w:tcPr>
            <w:tcW w:w="0" w:type="auto"/>
            <w:vAlign w:val="center"/>
          </w:tcPr>
          <w:p w14:paraId="38994054"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130</w:t>
            </w:r>
          </w:p>
        </w:tc>
        <w:tc>
          <w:tcPr>
            <w:tcW w:w="0" w:type="auto"/>
            <w:vAlign w:val="center"/>
          </w:tcPr>
          <w:p w14:paraId="6A45A244" w14:textId="77777777" w:rsidR="004E78F6" w:rsidRDefault="004E78F6" w:rsidP="00277F92">
            <w:pPr>
              <w:spacing w:beforeLines="50" w:before="120"/>
              <w:jc w:val="center"/>
              <w:rPr>
                <w:rFonts w:ascii="Times New Roman" w:hAnsi="Times New Roman" w:cs="Times New Roman"/>
              </w:rPr>
            </w:pPr>
            <w:r>
              <w:rPr>
                <w:rFonts w:ascii="Times New Roman" w:eastAsia="宋体" w:hAnsi="Times New Roman" w:cs="Times New Roman"/>
              </w:rPr>
              <w:t>128</w:t>
            </w:r>
          </w:p>
        </w:tc>
        <w:tc>
          <w:tcPr>
            <w:tcW w:w="0" w:type="auto"/>
            <w:vAlign w:val="center"/>
          </w:tcPr>
          <w:p w14:paraId="0C6EFD0C"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130</w:t>
            </w:r>
          </w:p>
        </w:tc>
        <w:tc>
          <w:tcPr>
            <w:tcW w:w="0" w:type="auto"/>
            <w:vAlign w:val="center"/>
          </w:tcPr>
          <w:p w14:paraId="18EE6FE2"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128</w:t>
            </w:r>
          </w:p>
        </w:tc>
        <w:tc>
          <w:tcPr>
            <w:tcW w:w="0" w:type="auto"/>
            <w:vAlign w:val="center"/>
          </w:tcPr>
          <w:p w14:paraId="0E46DF43"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3</w:t>
            </w:r>
          </w:p>
        </w:tc>
        <w:tc>
          <w:tcPr>
            <w:tcW w:w="0" w:type="auto"/>
            <w:vAlign w:val="center"/>
          </w:tcPr>
          <w:p w14:paraId="4FEFBC9E"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63</w:t>
            </w:r>
          </w:p>
        </w:tc>
        <w:tc>
          <w:tcPr>
            <w:tcW w:w="0" w:type="auto"/>
            <w:vAlign w:val="center"/>
          </w:tcPr>
          <w:p w14:paraId="3B23EAD7"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63</w:t>
            </w:r>
          </w:p>
        </w:tc>
        <w:tc>
          <w:tcPr>
            <w:tcW w:w="0" w:type="auto"/>
            <w:vAlign w:val="center"/>
          </w:tcPr>
          <w:p w14:paraId="6BF51418"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63</w:t>
            </w:r>
          </w:p>
        </w:tc>
        <w:tc>
          <w:tcPr>
            <w:tcW w:w="0" w:type="auto"/>
            <w:vAlign w:val="center"/>
          </w:tcPr>
          <w:p w14:paraId="3410BC54"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3</w:t>
            </w:r>
          </w:p>
        </w:tc>
        <w:tc>
          <w:tcPr>
            <w:tcW w:w="931" w:type="dxa"/>
            <w:vAlign w:val="center"/>
          </w:tcPr>
          <w:p w14:paraId="0115B3AB"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3</w:t>
            </w:r>
          </w:p>
        </w:tc>
        <w:tc>
          <w:tcPr>
            <w:tcW w:w="1033" w:type="dxa"/>
            <w:vAlign w:val="center"/>
          </w:tcPr>
          <w:p w14:paraId="389A4FBC" w14:textId="77777777" w:rsidR="004E78F6" w:rsidRDefault="004E78F6" w:rsidP="00277F92">
            <w:pPr>
              <w:spacing w:beforeLines="50" w:before="120"/>
              <w:jc w:val="center"/>
              <w:rPr>
                <w:rFonts w:ascii="Times New Roman" w:eastAsia="宋体" w:hAnsi="Times New Roman" w:cs="Times New Roman"/>
              </w:rPr>
            </w:pPr>
            <w:r>
              <w:rPr>
                <w:rFonts w:ascii="Times New Roman" w:eastAsia="宋体" w:hAnsi="Times New Roman" w:cs="Times New Roman"/>
              </w:rPr>
              <w:t>63</w:t>
            </w:r>
          </w:p>
        </w:tc>
      </w:tr>
    </w:tbl>
    <w:p w14:paraId="5B2DB552" w14:textId="77777777" w:rsidR="004E78F6" w:rsidRPr="001D3D15" w:rsidRDefault="004E78F6" w:rsidP="006007FE">
      <w:pPr>
        <w:spacing w:beforeLines="50" w:before="120" w:line="276" w:lineRule="auto"/>
        <w:jc w:val="both"/>
        <w:rPr>
          <w:rFonts w:ascii="Times New Roman" w:hAnsi="Times New Roman" w:cs="Times New Roman"/>
        </w:rPr>
      </w:pPr>
      <w:r>
        <w:rPr>
          <w:rFonts w:ascii="Times New Roman" w:hAnsi="Times New Roman" w:cs="Times New Roman"/>
          <w:b/>
          <w:bCs/>
        </w:rPr>
        <w:t xml:space="preserve">Table S1. Parameters in numerical experiments. </w:t>
      </w:r>
      <w:r>
        <w:rPr>
          <w:rFonts w:ascii="Times New Roman" w:hAnsi="Times New Roman" w:cs="Times New Roman"/>
        </w:rPr>
        <w:t>Materials: 1- Asthenosphere (</w:t>
      </w:r>
      <w:r>
        <w:rPr>
          <w:rFonts w:ascii="Times New Roman" w:eastAsia="宋体" w:hAnsi="Times New Roman" w:cs="Times New Roman"/>
          <w:iCs/>
        </w:rPr>
        <w:t>Ref. 1-2</w:t>
      </w:r>
      <w:r>
        <w:rPr>
          <w:rFonts w:ascii="Times New Roman" w:hAnsi="Times New Roman" w:cs="Times New Roman"/>
        </w:rPr>
        <w:t>), 2- ICP lithospheric mantle (</w:t>
      </w:r>
      <w:r>
        <w:rPr>
          <w:rFonts w:ascii="Times New Roman" w:eastAsia="宋体" w:hAnsi="Times New Roman" w:cs="Times New Roman"/>
          <w:iCs/>
        </w:rPr>
        <w:t>Ref. 1-2</w:t>
      </w:r>
      <w:r>
        <w:rPr>
          <w:rFonts w:ascii="Times New Roman" w:hAnsi="Times New Roman" w:cs="Times New Roman"/>
        </w:rPr>
        <w:t>), 3- IOP lithospheric mantle (</w:t>
      </w:r>
      <w:r>
        <w:rPr>
          <w:rFonts w:ascii="Times New Roman" w:eastAsia="宋体" w:hAnsi="Times New Roman" w:cs="Times New Roman"/>
          <w:iCs/>
        </w:rPr>
        <w:t>Ref. 1-2</w:t>
      </w:r>
      <w:r>
        <w:rPr>
          <w:rFonts w:ascii="Times New Roman" w:hAnsi="Times New Roman" w:cs="Times New Roman"/>
        </w:rPr>
        <w:t>), 4- SOP lithospheric mantle, 5-WOP lithospheric mantle (</w:t>
      </w:r>
      <w:r>
        <w:rPr>
          <w:rFonts w:ascii="Times New Roman" w:eastAsia="宋体" w:hAnsi="Times New Roman" w:cs="Times New Roman"/>
          <w:iCs/>
        </w:rPr>
        <w:t>Ref. 1-2</w:t>
      </w:r>
      <w:r>
        <w:rPr>
          <w:rFonts w:ascii="Times New Roman" w:hAnsi="Times New Roman" w:cs="Times New Roman"/>
        </w:rPr>
        <w:t>), 6- IOP crust (</w:t>
      </w:r>
      <w:r>
        <w:rPr>
          <w:rFonts w:ascii="Times New Roman" w:eastAsia="宋体" w:hAnsi="Times New Roman" w:cs="Times New Roman"/>
          <w:iCs/>
        </w:rPr>
        <w:t>Ref. 4-7</w:t>
      </w:r>
      <w:r>
        <w:rPr>
          <w:rFonts w:ascii="Times New Roman" w:hAnsi="Times New Roman" w:cs="Times New Roman"/>
        </w:rPr>
        <w:t>), 7- ICP upper crust (</w:t>
      </w:r>
      <w:r>
        <w:rPr>
          <w:rFonts w:ascii="Times New Roman" w:eastAsia="宋体" w:hAnsi="Times New Roman" w:cs="Times New Roman"/>
          <w:iCs/>
        </w:rPr>
        <w:t>Ref. 3-4</w:t>
      </w:r>
      <w:r>
        <w:rPr>
          <w:rFonts w:ascii="Times New Roman" w:hAnsi="Times New Roman" w:cs="Times New Roman"/>
        </w:rPr>
        <w:t>), 8- Upper crust of overriding plates (</w:t>
      </w:r>
      <w:r>
        <w:rPr>
          <w:rFonts w:ascii="Times New Roman" w:eastAsia="宋体" w:hAnsi="Times New Roman" w:cs="Times New Roman"/>
          <w:iCs/>
        </w:rPr>
        <w:t>Ref. 4-7</w:t>
      </w:r>
      <w:r>
        <w:rPr>
          <w:rFonts w:ascii="Times New Roman" w:hAnsi="Times New Roman" w:cs="Times New Roman"/>
        </w:rPr>
        <w:t>), 9- ICP middle crust (</w:t>
      </w:r>
      <w:r>
        <w:rPr>
          <w:rFonts w:ascii="Times New Roman" w:eastAsia="宋体" w:hAnsi="Times New Roman" w:cs="Times New Roman"/>
          <w:iCs/>
        </w:rPr>
        <w:t>Ref. 4-7</w:t>
      </w:r>
      <w:r>
        <w:rPr>
          <w:rFonts w:ascii="Times New Roman" w:hAnsi="Times New Roman" w:cs="Times New Roman"/>
        </w:rPr>
        <w:t>), 10- Continental lower crust (including the lower crust of the ICP, overriding plates, and Indian lower crust) (</w:t>
      </w:r>
      <w:r>
        <w:rPr>
          <w:rFonts w:ascii="Times New Roman" w:eastAsia="宋体" w:hAnsi="Times New Roman" w:cs="Times New Roman"/>
          <w:iCs/>
        </w:rPr>
        <w:t>Ref. 8</w:t>
      </w:r>
      <w:r>
        <w:rPr>
          <w:rFonts w:ascii="Times New Roman" w:hAnsi="Times New Roman" w:cs="Times New Roman"/>
        </w:rPr>
        <w:t xml:space="preserve">), </w:t>
      </w:r>
      <w:r>
        <w:rPr>
          <w:rFonts w:ascii="Times New Roman" w:hAnsi="Times New Roman" w:cs="Times New Roman"/>
          <w:lang w:val="en"/>
        </w:rPr>
        <w:t xml:space="preserve">11- Indian middle crust </w:t>
      </w:r>
      <w:r>
        <w:rPr>
          <w:rFonts w:ascii="Times New Roman" w:hAnsi="Times New Roman" w:cs="Times New Roman"/>
        </w:rPr>
        <w:t>(</w:t>
      </w:r>
      <w:r>
        <w:rPr>
          <w:rFonts w:ascii="Times New Roman" w:eastAsia="宋体" w:hAnsi="Times New Roman" w:cs="Times New Roman"/>
          <w:iCs/>
        </w:rPr>
        <w:t>Ref. 3-4</w:t>
      </w:r>
      <w:r>
        <w:rPr>
          <w:rFonts w:ascii="Times New Roman" w:hAnsi="Times New Roman" w:cs="Times New Roman"/>
        </w:rPr>
        <w:t xml:space="preserve">), </w:t>
      </w:r>
      <w:r>
        <w:rPr>
          <w:rFonts w:ascii="Times New Roman" w:hAnsi="Times New Roman" w:cs="Times New Roman"/>
          <w:lang w:val="en"/>
        </w:rPr>
        <w:t xml:space="preserve">12- Indian upper crust </w:t>
      </w:r>
      <w:r>
        <w:rPr>
          <w:rFonts w:ascii="Times New Roman" w:hAnsi="Times New Roman" w:cs="Times New Roman"/>
        </w:rPr>
        <w:t>(</w:t>
      </w:r>
      <w:r>
        <w:rPr>
          <w:rFonts w:ascii="Times New Roman" w:eastAsia="宋体" w:hAnsi="Times New Roman" w:cs="Times New Roman"/>
          <w:iCs/>
        </w:rPr>
        <w:t>Ref. 4-7</w:t>
      </w:r>
      <w:r>
        <w:rPr>
          <w:rFonts w:ascii="Times New Roman" w:hAnsi="Times New Roman" w:cs="Times New Roman"/>
        </w:rPr>
        <w:t>)</w:t>
      </w:r>
      <w:r>
        <w:rPr>
          <w:rFonts w:ascii="Times New Roman" w:hAnsi="Times New Roman" w:cs="Times New Roman"/>
          <w:lang w:val="en"/>
        </w:rPr>
        <w:t xml:space="preserve">. </w:t>
      </w:r>
      <w:r w:rsidRPr="001D3D15">
        <w:rPr>
          <w:rFonts w:ascii="Times New Roman" w:hAnsi="Times New Roman" w:cs="Times New Roman"/>
        </w:rPr>
        <w:t>ICP-Incoming Continental Plate (</w:t>
      </w:r>
      <w:r w:rsidRPr="00423135">
        <w:rPr>
          <w:rFonts w:ascii="Times New Roman" w:hAnsi="Times New Roman" w:cs="Times New Roman"/>
        </w:rPr>
        <w:t>e.g.</w:t>
      </w:r>
      <w:r w:rsidRPr="001D3D15">
        <w:rPr>
          <w:rFonts w:ascii="Times New Roman" w:hAnsi="Times New Roman" w:cs="Times New Roman"/>
        </w:rPr>
        <w:t>, Greater India</w:t>
      </w:r>
      <w:r w:rsidRPr="00423135">
        <w:rPr>
          <w:rFonts w:ascii="Times New Roman" w:hAnsi="Times New Roman" w:cs="Times New Roman"/>
        </w:rPr>
        <w:t xml:space="preserve">, </w:t>
      </w:r>
      <w:r w:rsidRPr="001D3D15">
        <w:rPr>
          <w:rFonts w:ascii="Times New Roman" w:hAnsi="Times New Roman" w:cs="Times New Roman"/>
        </w:rPr>
        <w:t>continental terranes</w:t>
      </w:r>
      <w:r w:rsidRPr="00423135">
        <w:rPr>
          <w:rFonts w:ascii="Times New Roman" w:hAnsi="Times New Roman" w:cs="Times New Roman"/>
        </w:rPr>
        <w:t xml:space="preserve">, or the continental </w:t>
      </w:r>
      <w:r>
        <w:rPr>
          <w:rFonts w:ascii="Times New Roman" w:hAnsi="Times New Roman" w:cs="Times New Roman"/>
        </w:rPr>
        <w:t>margin</w:t>
      </w:r>
      <w:r w:rsidRPr="00423135">
        <w:rPr>
          <w:rFonts w:ascii="Times New Roman" w:hAnsi="Times New Roman" w:cs="Times New Roman"/>
        </w:rPr>
        <w:t xml:space="preserve"> in the </w:t>
      </w:r>
      <w:r w:rsidRPr="00423135">
        <w:rPr>
          <w:rFonts w:ascii="Times New Roman" w:hAnsi="Times New Roman" w:cs="Times New Roman"/>
          <w:b/>
          <w:bCs/>
        </w:rPr>
        <w:t>Type 6</w:t>
      </w:r>
      <w:r w:rsidRPr="00423135">
        <w:rPr>
          <w:rFonts w:ascii="Times New Roman" w:hAnsi="Times New Roman" w:cs="Times New Roman"/>
        </w:rPr>
        <w:t xml:space="preserve"> models</w:t>
      </w:r>
      <w:r w:rsidRPr="001D3D15">
        <w:rPr>
          <w:rFonts w:ascii="Times New Roman" w:hAnsi="Times New Roman" w:cs="Times New Roman"/>
        </w:rPr>
        <w:t>). IOP-Incoming Oceanic Plate (</w:t>
      </w:r>
      <w:r w:rsidRPr="00423135">
        <w:rPr>
          <w:rFonts w:ascii="Times New Roman" w:hAnsi="Times New Roman" w:cs="Times New Roman"/>
        </w:rPr>
        <w:t>e.g.</w:t>
      </w:r>
      <w:r w:rsidRPr="001D3D15">
        <w:rPr>
          <w:rFonts w:ascii="Times New Roman" w:hAnsi="Times New Roman" w:cs="Times New Roman"/>
        </w:rPr>
        <w:t>, Greater Indian Basin</w:t>
      </w:r>
      <w:r w:rsidRPr="00423135">
        <w:rPr>
          <w:rFonts w:ascii="Times New Roman" w:hAnsi="Times New Roman" w:cs="Times New Roman"/>
        </w:rPr>
        <w:t xml:space="preserve"> or</w:t>
      </w:r>
      <w:r w:rsidRPr="001D3D15">
        <w:rPr>
          <w:rFonts w:ascii="Times New Roman" w:hAnsi="Times New Roman" w:cs="Times New Roman"/>
        </w:rPr>
        <w:t xml:space="preserve"> back-arc basin). SOP-Strong Overriding Plate (</w:t>
      </w:r>
      <w:r w:rsidRPr="00423135">
        <w:rPr>
          <w:rFonts w:ascii="Times New Roman" w:hAnsi="Times New Roman" w:cs="Times New Roman"/>
        </w:rPr>
        <w:t>e.g.</w:t>
      </w:r>
      <w:r w:rsidRPr="001D3D15">
        <w:rPr>
          <w:rFonts w:ascii="Times New Roman" w:hAnsi="Times New Roman" w:cs="Times New Roman"/>
        </w:rPr>
        <w:t>, Asian interiors). WOP-Weak Overriding Plate (</w:t>
      </w:r>
      <w:r w:rsidRPr="00423135">
        <w:rPr>
          <w:rFonts w:ascii="Times New Roman" w:hAnsi="Times New Roman" w:cs="Times New Roman"/>
        </w:rPr>
        <w:t>e.g.</w:t>
      </w:r>
      <w:r w:rsidRPr="001D3D15">
        <w:rPr>
          <w:rFonts w:ascii="Times New Roman" w:hAnsi="Times New Roman" w:cs="Times New Roman"/>
        </w:rPr>
        <w:t xml:space="preserve">, Tibetan terranes). </w:t>
      </w:r>
    </w:p>
    <w:p w14:paraId="0391E768" w14:textId="77777777" w:rsidR="004E78F6" w:rsidRPr="00423135" w:rsidRDefault="004E78F6" w:rsidP="006007FE">
      <w:pPr>
        <w:spacing w:beforeLines="50" w:before="120" w:line="276" w:lineRule="auto"/>
        <w:jc w:val="both"/>
        <w:rPr>
          <w:rFonts w:ascii="Times New Roman" w:hAnsi="Times New Roman" w:cs="Times New Roman"/>
        </w:rPr>
      </w:pPr>
      <w:r>
        <w:rPr>
          <w:rFonts w:ascii="Times New Roman" w:hAnsi="Times New Roman" w:cs="Times New Roman"/>
        </w:rPr>
        <w:lastRenderedPageBreak/>
        <w:tab/>
        <w:t xml:space="preserve">The parameters for </w:t>
      </w:r>
      <w:r>
        <w:rPr>
          <w:rFonts w:ascii="Times New Roman" w:hAnsi="Times New Roman" w:cs="Times New Roman"/>
          <w:b/>
          <w:bCs/>
        </w:rPr>
        <w:t>oceanic sediments</w:t>
      </w:r>
      <w:r>
        <w:rPr>
          <w:rFonts w:ascii="Times New Roman" w:hAnsi="Times New Roman" w:cs="Times New Roman"/>
        </w:rPr>
        <w:t xml:space="preserve"> are the same as those of Material 8, except for </w:t>
      </w:r>
      <w:r>
        <w:rPr>
          <w:rFonts w:ascii="Times New Roman" w:eastAsia="宋体" w:hAnsi="Times New Roman" w:cs="Times New Roman"/>
          <w:i/>
        </w:rPr>
        <w:t>ρ</w:t>
      </w:r>
      <w:r>
        <w:rPr>
          <w:rFonts w:ascii="Times New Roman" w:eastAsia="宋体" w:hAnsi="Times New Roman" w:cs="Times New Roman"/>
          <w:i/>
          <w:vertAlign w:val="subscript"/>
        </w:rPr>
        <w:t>0</w:t>
      </w:r>
      <w:r>
        <w:rPr>
          <w:rFonts w:ascii="Times New Roman" w:eastAsia="宋体" w:hAnsi="Times New Roman" w:cs="Times New Roman"/>
          <w:iCs/>
        </w:rPr>
        <w:t xml:space="preserve"> = 2.60 g/cm</w:t>
      </w:r>
      <w:r>
        <w:rPr>
          <w:rFonts w:ascii="Times New Roman" w:eastAsia="宋体" w:hAnsi="Times New Roman" w:cs="Times New Roman"/>
          <w:iCs/>
          <w:vertAlign w:val="superscript"/>
        </w:rPr>
        <w:t>3</w:t>
      </w:r>
      <w:r>
        <w:rPr>
          <w:rFonts w:ascii="Times New Roman" w:eastAsia="宋体" w:hAnsi="Times New Roman" w:cs="Times New Roman"/>
          <w:iCs/>
        </w:rPr>
        <w:t xml:space="preserve">. The parameters for the </w:t>
      </w:r>
      <w:r w:rsidRPr="00423135">
        <w:rPr>
          <w:rFonts w:ascii="Times New Roman" w:eastAsia="宋体" w:hAnsi="Times New Roman" w:cs="Times New Roman"/>
          <w:b/>
          <w:bCs/>
          <w:iCs/>
        </w:rPr>
        <w:t xml:space="preserve">continental </w:t>
      </w:r>
      <w:r>
        <w:rPr>
          <w:rFonts w:ascii="Times New Roman" w:eastAsia="宋体" w:hAnsi="Times New Roman" w:cs="Times New Roman"/>
          <w:b/>
          <w:bCs/>
          <w:iCs/>
        </w:rPr>
        <w:t>margin</w:t>
      </w:r>
      <w:r w:rsidRPr="00423135">
        <w:rPr>
          <w:rFonts w:ascii="Times New Roman" w:eastAsia="宋体" w:hAnsi="Times New Roman" w:cs="Times New Roman"/>
          <w:b/>
          <w:bCs/>
          <w:iCs/>
        </w:rPr>
        <w:t xml:space="preserve"> crust</w:t>
      </w:r>
      <w:r>
        <w:rPr>
          <w:rFonts w:ascii="Times New Roman" w:eastAsia="宋体" w:hAnsi="Times New Roman" w:cs="Times New Roman"/>
          <w:iCs/>
        </w:rPr>
        <w:t xml:space="preserve"> are the same as those of </w:t>
      </w:r>
      <w:r w:rsidRPr="008B3C15">
        <w:rPr>
          <w:rFonts w:ascii="Times New Roman" w:eastAsia="宋体" w:hAnsi="Times New Roman" w:cs="Times New Roman"/>
          <w:iCs/>
        </w:rPr>
        <w:t>Material 6</w:t>
      </w:r>
      <w:r>
        <w:rPr>
          <w:rFonts w:ascii="Times New Roman" w:eastAsia="宋体" w:hAnsi="Times New Roman" w:cs="Times New Roman"/>
          <w:iCs/>
        </w:rPr>
        <w:t xml:space="preserve">. The parameters for the </w:t>
      </w:r>
      <w:r w:rsidRPr="005D2BBD">
        <w:rPr>
          <w:rFonts w:ascii="Times New Roman" w:eastAsia="宋体" w:hAnsi="Times New Roman" w:cs="Times New Roman"/>
          <w:b/>
          <w:bCs/>
          <w:iCs/>
        </w:rPr>
        <w:t xml:space="preserve">continental </w:t>
      </w:r>
      <w:r>
        <w:rPr>
          <w:rFonts w:ascii="Times New Roman" w:eastAsia="宋体" w:hAnsi="Times New Roman" w:cs="Times New Roman"/>
          <w:b/>
          <w:bCs/>
          <w:iCs/>
        </w:rPr>
        <w:t>margin</w:t>
      </w:r>
      <w:r w:rsidRPr="005D2BBD">
        <w:rPr>
          <w:rFonts w:ascii="Times New Roman" w:eastAsia="宋体" w:hAnsi="Times New Roman" w:cs="Times New Roman"/>
          <w:b/>
          <w:bCs/>
          <w:iCs/>
        </w:rPr>
        <w:t xml:space="preserve"> </w:t>
      </w:r>
      <w:r>
        <w:rPr>
          <w:rFonts w:ascii="Times New Roman" w:eastAsia="宋体" w:hAnsi="Times New Roman" w:cs="Times New Roman"/>
          <w:b/>
          <w:bCs/>
          <w:iCs/>
        </w:rPr>
        <w:t>lithospheric mantle</w:t>
      </w:r>
      <w:r>
        <w:rPr>
          <w:rFonts w:ascii="Times New Roman" w:eastAsia="宋体" w:hAnsi="Times New Roman" w:cs="Times New Roman"/>
          <w:iCs/>
        </w:rPr>
        <w:t xml:space="preserve"> are the same as those of </w:t>
      </w:r>
      <w:r w:rsidRPr="008B3C15">
        <w:rPr>
          <w:rFonts w:ascii="Times New Roman" w:eastAsia="宋体" w:hAnsi="Times New Roman" w:cs="Times New Roman"/>
          <w:iCs/>
        </w:rPr>
        <w:t xml:space="preserve">Material </w:t>
      </w:r>
      <w:r>
        <w:rPr>
          <w:rFonts w:ascii="Times New Roman" w:eastAsia="宋体" w:hAnsi="Times New Roman" w:cs="Times New Roman"/>
          <w:iCs/>
        </w:rPr>
        <w:t xml:space="preserve">2, </w:t>
      </w:r>
      <w:r>
        <w:rPr>
          <w:rFonts w:ascii="Times New Roman" w:hAnsi="Times New Roman" w:cs="Times New Roman"/>
        </w:rPr>
        <w:t xml:space="preserve">except for </w:t>
      </w:r>
      <w:r>
        <w:rPr>
          <w:rFonts w:ascii="Times New Roman" w:eastAsia="宋体" w:hAnsi="Times New Roman" w:cs="Times New Roman"/>
          <w:i/>
        </w:rPr>
        <w:t>ρ</w:t>
      </w:r>
      <w:r>
        <w:rPr>
          <w:rFonts w:ascii="Times New Roman" w:eastAsia="宋体" w:hAnsi="Times New Roman" w:cs="Times New Roman"/>
          <w:i/>
          <w:vertAlign w:val="subscript"/>
        </w:rPr>
        <w:t>0</w:t>
      </w:r>
      <w:r>
        <w:rPr>
          <w:rFonts w:ascii="Times New Roman" w:eastAsia="宋体" w:hAnsi="Times New Roman" w:cs="Times New Roman"/>
          <w:iCs/>
        </w:rPr>
        <w:t xml:space="preserve"> = 3.37 g/cm</w:t>
      </w:r>
      <w:r>
        <w:rPr>
          <w:rFonts w:ascii="Times New Roman" w:eastAsia="宋体" w:hAnsi="Times New Roman" w:cs="Times New Roman"/>
          <w:iCs/>
          <w:vertAlign w:val="superscript"/>
        </w:rPr>
        <w:t>3</w:t>
      </w:r>
      <w:r>
        <w:rPr>
          <w:rFonts w:ascii="Times New Roman" w:eastAsia="宋体" w:hAnsi="Times New Roman" w:cs="Times New Roman"/>
          <w:iCs/>
        </w:rPr>
        <w:t xml:space="preserve">. The parameters for the </w:t>
      </w:r>
      <w:r>
        <w:rPr>
          <w:rFonts w:ascii="Times New Roman" w:eastAsia="宋体" w:hAnsi="Times New Roman" w:cs="Times New Roman"/>
          <w:b/>
          <w:bCs/>
          <w:iCs/>
        </w:rPr>
        <w:t xml:space="preserve">“Indian” </w:t>
      </w:r>
      <w:r>
        <w:rPr>
          <w:rFonts w:ascii="Times New Roman" w:eastAsia="宋体" w:hAnsi="Times New Roman" w:cs="Times New Roman"/>
          <w:iCs/>
          <w:lang w:val="en"/>
        </w:rPr>
        <w:t>lower crust and lithospheric mantle</w:t>
      </w:r>
      <w:r>
        <w:rPr>
          <w:rFonts w:ascii="Times New Roman" w:eastAsia="宋体" w:hAnsi="Times New Roman" w:cs="Times New Roman"/>
          <w:iCs/>
        </w:rPr>
        <w:t xml:space="preserve"> are the same as those of the ICP, except for that </w:t>
      </w:r>
      <w:r w:rsidRPr="00B74057">
        <w:rPr>
          <w:rFonts w:ascii="Times New Roman" w:eastAsia="宋体" w:hAnsi="Times New Roman" w:cs="Times New Roman"/>
          <w:i/>
        </w:rPr>
        <w:t>ρ</w:t>
      </w:r>
      <w:r w:rsidRPr="0075445D">
        <w:rPr>
          <w:rFonts w:ascii="Times New Roman" w:eastAsia="宋体" w:hAnsi="Times New Roman" w:cs="Times New Roman"/>
          <w:i/>
          <w:vertAlign w:val="subscript"/>
        </w:rPr>
        <w:t>0</w:t>
      </w:r>
      <w:r>
        <w:rPr>
          <w:rFonts w:ascii="Times New Roman" w:eastAsia="宋体" w:hAnsi="Times New Roman" w:cs="Times New Roman"/>
          <w:i/>
        </w:rPr>
        <w:t xml:space="preserve"> </w:t>
      </w:r>
      <w:r>
        <w:rPr>
          <w:rFonts w:ascii="Times New Roman" w:eastAsia="宋体" w:hAnsi="Times New Roman" w:cs="Times New Roman"/>
          <w:iCs/>
        </w:rPr>
        <w:t>(Indian lower crust) = 3.0 g/cm</w:t>
      </w:r>
      <w:r>
        <w:rPr>
          <w:rFonts w:ascii="Times New Roman" w:eastAsia="宋体" w:hAnsi="Times New Roman" w:cs="Times New Roman"/>
          <w:iCs/>
          <w:vertAlign w:val="superscript"/>
        </w:rPr>
        <w:t>3</w:t>
      </w:r>
      <w:r>
        <w:rPr>
          <w:rFonts w:ascii="Times New Roman" w:eastAsia="宋体" w:hAnsi="Times New Roman" w:cs="Times New Roman"/>
          <w:iCs/>
        </w:rPr>
        <w:t>, and A mafic feature of the Indian crust is implied in the results of seismic tomography</w:t>
      </w:r>
      <w:r w:rsidRPr="00322CAC">
        <w:rPr>
          <w:rFonts w:ascii="Times New Roman" w:eastAsia="宋体" w:hAnsi="Times New Roman" w:cs="Times New Roman"/>
          <w:iCs/>
          <w:noProof/>
          <w:vertAlign w:val="superscript"/>
        </w:rPr>
        <w:t>75</w:t>
      </w:r>
      <w:r>
        <w:rPr>
          <w:rFonts w:ascii="Times New Roman" w:eastAsia="宋体" w:hAnsi="Times New Roman" w:cs="Times New Roman"/>
          <w:iCs/>
        </w:rPr>
        <w:t xml:space="preserve">. </w:t>
      </w:r>
      <w:r>
        <w:rPr>
          <w:rFonts w:ascii="Times New Roman" w:hAnsi="Times New Roman" w:cs="Times New Roman"/>
        </w:rPr>
        <w:t xml:space="preserve">In Runs 32-35, </w:t>
      </w:r>
      <w:r>
        <w:rPr>
          <w:rFonts w:ascii="Times New Roman" w:eastAsia="宋体" w:hAnsi="Times New Roman" w:cs="Times New Roman"/>
          <w:i/>
        </w:rPr>
        <w:t>ρ</w:t>
      </w:r>
      <w:r>
        <w:rPr>
          <w:rFonts w:ascii="Times New Roman" w:eastAsia="宋体" w:hAnsi="Times New Roman" w:cs="Times New Roman"/>
          <w:i/>
          <w:vertAlign w:val="subscript"/>
        </w:rPr>
        <w:t>0</w:t>
      </w:r>
      <w:r>
        <w:rPr>
          <w:rFonts w:ascii="Times New Roman" w:eastAsia="宋体" w:hAnsi="Times New Roman" w:cs="Times New Roman"/>
          <w:i/>
        </w:rPr>
        <w:t xml:space="preserve"> </w:t>
      </w:r>
      <w:r>
        <w:rPr>
          <w:rFonts w:ascii="Times New Roman" w:eastAsia="宋体" w:hAnsi="Times New Roman" w:cs="Times New Roman"/>
          <w:iCs/>
        </w:rPr>
        <w:t xml:space="preserve">(Indian lithospheric mantle) is </w:t>
      </w:r>
      <w:r>
        <w:rPr>
          <w:rFonts w:ascii="Times New Roman" w:hAnsi="Times New Roman" w:cs="Times New Roman"/>
        </w:rPr>
        <w:t>3.35 g/cm</w:t>
      </w:r>
      <w:r w:rsidRPr="00697B0C">
        <w:rPr>
          <w:rFonts w:ascii="Times New Roman" w:hAnsi="Times New Roman" w:cs="Times New Roman"/>
          <w:vertAlign w:val="superscript"/>
        </w:rPr>
        <w:t>3</w:t>
      </w:r>
      <w:r>
        <w:rPr>
          <w:rFonts w:ascii="Times New Roman" w:hAnsi="Times New Roman" w:cs="Times New Roman"/>
        </w:rPr>
        <w:t>, 3.36 g/cm</w:t>
      </w:r>
      <w:r w:rsidRPr="00697B0C">
        <w:rPr>
          <w:rFonts w:ascii="Times New Roman" w:hAnsi="Times New Roman" w:cs="Times New Roman"/>
          <w:vertAlign w:val="superscript"/>
        </w:rPr>
        <w:t>3</w:t>
      </w:r>
      <w:r>
        <w:rPr>
          <w:rFonts w:ascii="Times New Roman" w:hAnsi="Times New Roman" w:cs="Times New Roman"/>
        </w:rPr>
        <w:t>, 3.37 g/cm</w:t>
      </w:r>
      <w:r w:rsidRPr="00697B0C">
        <w:rPr>
          <w:rFonts w:ascii="Times New Roman" w:hAnsi="Times New Roman" w:cs="Times New Roman"/>
          <w:vertAlign w:val="superscript"/>
        </w:rPr>
        <w:t>3</w:t>
      </w:r>
      <w:r>
        <w:rPr>
          <w:rFonts w:ascii="Times New Roman" w:hAnsi="Times New Roman" w:cs="Times New Roman"/>
        </w:rPr>
        <w:t>, and 3.38 g/cm</w:t>
      </w:r>
      <w:r w:rsidRPr="00697B0C">
        <w:rPr>
          <w:rFonts w:ascii="Times New Roman" w:hAnsi="Times New Roman" w:cs="Times New Roman"/>
          <w:vertAlign w:val="superscript"/>
        </w:rPr>
        <w:t>3</w:t>
      </w:r>
      <w:r>
        <w:rPr>
          <w:rFonts w:ascii="Times New Roman" w:hAnsi="Times New Roman" w:cs="Times New Roman"/>
        </w:rPr>
        <w:t xml:space="preserve">, respectively; in other models, </w:t>
      </w:r>
      <w:r>
        <w:rPr>
          <w:rFonts w:ascii="Times New Roman" w:eastAsia="宋体" w:hAnsi="Times New Roman" w:cs="Times New Roman"/>
          <w:i/>
        </w:rPr>
        <w:t>ρ</w:t>
      </w:r>
      <w:r>
        <w:rPr>
          <w:rFonts w:ascii="Times New Roman" w:eastAsia="宋体" w:hAnsi="Times New Roman" w:cs="Times New Roman"/>
          <w:i/>
          <w:vertAlign w:val="subscript"/>
        </w:rPr>
        <w:t>0</w:t>
      </w:r>
      <w:r>
        <w:rPr>
          <w:rFonts w:ascii="Times New Roman" w:eastAsia="宋体" w:hAnsi="Times New Roman" w:cs="Times New Roman"/>
          <w:iCs/>
        </w:rPr>
        <w:t xml:space="preserve"> (Indian lithospheric mantle) is </w:t>
      </w:r>
      <w:r>
        <w:rPr>
          <w:rFonts w:ascii="Times New Roman" w:hAnsi="Times New Roman" w:cs="Times New Roman"/>
        </w:rPr>
        <w:t>3.34 g/cm</w:t>
      </w:r>
      <w:r w:rsidRPr="00697B0C">
        <w:rPr>
          <w:rFonts w:ascii="Times New Roman" w:hAnsi="Times New Roman" w:cs="Times New Roman"/>
          <w:vertAlign w:val="superscript"/>
        </w:rPr>
        <w:t>3</w:t>
      </w:r>
      <w:r>
        <w:rPr>
          <w:rFonts w:ascii="Times New Roman" w:eastAsia="宋体" w:hAnsi="Times New Roman" w:cs="Times New Roman"/>
          <w:iCs/>
        </w:rPr>
        <w:t xml:space="preserve">. Except for those be highlighted in Table 2: </w:t>
      </w:r>
      <w:r>
        <w:rPr>
          <w:rFonts w:ascii="Times New Roman" w:hAnsi="Times New Roman" w:cs="Times New Roman"/>
        </w:rPr>
        <w:t>the maximum yielding stress for the ICP crust and mantle is 100 MPa, that for WOP materials is 50 MPa, and that for other materials is 200 MPa</w:t>
      </w:r>
      <w:r>
        <w:rPr>
          <w:rFonts w:ascii="Times New Roman" w:eastAsia="宋体" w:hAnsi="Times New Roman" w:cs="Times New Roman"/>
          <w:iCs/>
        </w:rPr>
        <w:t>.</w:t>
      </w:r>
    </w:p>
    <w:p w14:paraId="0F672161" w14:textId="77777777" w:rsidR="004E78F6" w:rsidRDefault="004E78F6" w:rsidP="006007FE">
      <w:pPr>
        <w:spacing w:beforeLines="50" w:before="120" w:line="276" w:lineRule="auto"/>
        <w:jc w:val="both"/>
        <w:rPr>
          <w:rFonts w:ascii="Times New Roman" w:eastAsia="宋体" w:hAnsi="Times New Roman" w:cs="Times New Roman"/>
          <w:iCs/>
        </w:rPr>
      </w:pPr>
      <w:r>
        <w:rPr>
          <w:rFonts w:ascii="Times New Roman" w:eastAsia="宋体" w:hAnsi="Times New Roman" w:cs="Times New Roman"/>
          <w:iCs/>
        </w:rPr>
        <w:tab/>
      </w:r>
      <w:r>
        <w:rPr>
          <w:rFonts w:ascii="Times New Roman" w:hAnsi="Times New Roman" w:cs="Times New Roman"/>
        </w:rPr>
        <w:t>Subscript “dis” refers to parameters for dislocation creep, while “</w:t>
      </w:r>
      <w:proofErr w:type="spellStart"/>
      <w:r>
        <w:rPr>
          <w:rFonts w:ascii="Times New Roman" w:hAnsi="Times New Roman" w:cs="Times New Roman"/>
        </w:rPr>
        <w:t>dif</w:t>
      </w:r>
      <w:proofErr w:type="spellEnd"/>
      <w:r>
        <w:rPr>
          <w:rFonts w:ascii="Times New Roman" w:hAnsi="Times New Roman" w:cs="Times New Roman"/>
        </w:rPr>
        <w:t>” refers to diffusion creep (Equation S5). For the depth &lt;660 km, the material viscosity is between 10</w:t>
      </w:r>
      <w:r>
        <w:rPr>
          <w:rFonts w:ascii="Times New Roman" w:hAnsi="Times New Roman" w:cs="Times New Roman"/>
          <w:vertAlign w:val="superscript"/>
        </w:rPr>
        <w:t>19</w:t>
      </w:r>
      <w:r>
        <w:rPr>
          <w:rFonts w:ascii="Times New Roman" w:hAnsi="Times New Roman" w:cs="Times New Roman"/>
        </w:rPr>
        <w:t xml:space="preserve"> </w:t>
      </w:r>
      <w:proofErr w:type="spellStart"/>
      <w:r>
        <w:rPr>
          <w:rFonts w:ascii="Times New Roman" w:hAnsi="Times New Roman" w:cs="Times New Roman"/>
        </w:rPr>
        <w:t>Pa·s</w:t>
      </w:r>
      <w:proofErr w:type="spellEnd"/>
      <w:r>
        <w:rPr>
          <w:rFonts w:ascii="Times New Roman" w:hAnsi="Times New Roman" w:cs="Times New Roman"/>
        </w:rPr>
        <w:t xml:space="preserve"> and 10</w:t>
      </w:r>
      <w:r>
        <w:rPr>
          <w:rFonts w:ascii="Times New Roman" w:hAnsi="Times New Roman" w:cs="Times New Roman"/>
          <w:vertAlign w:val="superscript"/>
        </w:rPr>
        <w:t>24</w:t>
      </w:r>
      <w:r>
        <w:rPr>
          <w:rFonts w:ascii="Times New Roman" w:hAnsi="Times New Roman" w:cs="Times New Roman"/>
        </w:rPr>
        <w:t xml:space="preserve"> </w:t>
      </w:r>
      <w:proofErr w:type="spellStart"/>
      <w:r>
        <w:rPr>
          <w:rFonts w:ascii="Times New Roman" w:hAnsi="Times New Roman" w:cs="Times New Roman"/>
        </w:rPr>
        <w:t>Pa·s</w:t>
      </w:r>
      <w:proofErr w:type="spellEnd"/>
      <w:r>
        <w:rPr>
          <w:rFonts w:ascii="Times New Roman" w:hAnsi="Times New Roman" w:cs="Times New Roman"/>
        </w:rPr>
        <w:t xml:space="preserve">; For </w:t>
      </w:r>
      <w:r>
        <w:rPr>
          <w:rFonts w:ascii="Times New Roman" w:hAnsi="Times New Roman" w:cs="Times New Roman" w:hint="eastAsia"/>
        </w:rPr>
        <w:t>greater</w:t>
      </w:r>
      <w:r>
        <w:rPr>
          <w:rFonts w:ascii="Times New Roman" w:hAnsi="Times New Roman" w:cs="Times New Roman"/>
        </w:rPr>
        <w:t xml:space="preserve"> depths, we assume that the diffusion creep is the only deformation regime in the mantle, whose viscosity is confined to be ≤10</w:t>
      </w:r>
      <w:r>
        <w:rPr>
          <w:rFonts w:ascii="Times New Roman" w:hAnsi="Times New Roman" w:cs="Times New Roman"/>
          <w:vertAlign w:val="superscript"/>
        </w:rPr>
        <w:t>23</w:t>
      </w:r>
      <w:r>
        <w:rPr>
          <w:rFonts w:ascii="Times New Roman" w:hAnsi="Times New Roman" w:cs="Times New Roman"/>
        </w:rPr>
        <w:t xml:space="preserve"> </w:t>
      </w:r>
      <w:proofErr w:type="spellStart"/>
      <w:r>
        <w:rPr>
          <w:rFonts w:ascii="Times New Roman" w:hAnsi="Times New Roman" w:cs="Times New Roman"/>
        </w:rPr>
        <w:t>Pa·s</w:t>
      </w:r>
      <w:proofErr w:type="spellEnd"/>
      <w:r>
        <w:rPr>
          <w:rFonts w:ascii="Times New Roman" w:hAnsi="Times New Roman" w:cs="Times New Roman"/>
        </w:rPr>
        <w:t xml:space="preserve"> (</w:t>
      </w:r>
      <w:r>
        <w:rPr>
          <w:rFonts w:ascii="Times New Roman" w:eastAsia="宋体" w:hAnsi="Times New Roman" w:cs="Times New Roman"/>
          <w:iCs/>
        </w:rPr>
        <w:t>Ref. 11-12</w:t>
      </w:r>
      <w:r>
        <w:rPr>
          <w:rFonts w:ascii="Times New Roman" w:hAnsi="Times New Roman" w:cs="Times New Roman"/>
        </w:rPr>
        <w:t xml:space="preserve">). </w:t>
      </w:r>
      <w:r w:rsidRPr="00126C5C">
        <w:rPr>
          <w:rFonts w:ascii="Times New Roman" w:hAnsi="Times New Roman" w:cs="Times New Roman"/>
          <w:i/>
          <w:iCs/>
        </w:rPr>
        <w:t>c</w:t>
      </w:r>
      <w:r w:rsidRPr="00126C5C">
        <w:rPr>
          <w:rFonts w:ascii="Times New Roman" w:hAnsi="Times New Roman" w:cs="Times New Roman"/>
          <w:i/>
          <w:iCs/>
          <w:vertAlign w:val="subscript"/>
        </w:rPr>
        <w:t>0</w:t>
      </w:r>
      <w:r>
        <w:rPr>
          <w:rFonts w:ascii="Times New Roman" w:hAnsi="Times New Roman" w:cs="Times New Roman"/>
        </w:rPr>
        <w:t xml:space="preserve">- yielding cohesion, </w:t>
      </w:r>
      <w:r w:rsidRPr="00423135">
        <w:rPr>
          <w:rFonts w:ascii="Times New Roman" w:hAnsi="Times New Roman" w:cs="Times New Roman"/>
          <w:i/>
          <w:iCs/>
        </w:rPr>
        <w:t>φ</w:t>
      </w:r>
      <w:r>
        <w:rPr>
          <w:rFonts w:ascii="Times New Roman" w:hAnsi="Times New Roman" w:cs="Times New Roman"/>
        </w:rPr>
        <w:t xml:space="preserve">- friction angle, </w:t>
      </w:r>
      <w:r w:rsidRPr="00126C5C">
        <w:rPr>
          <w:rFonts w:ascii="Times New Roman" w:eastAsia="宋体" w:hAnsi="Times New Roman" w:cs="Times New Roman"/>
          <w:i/>
          <w:iCs/>
        </w:rPr>
        <w:t>γ</w:t>
      </w:r>
      <w:r>
        <w:rPr>
          <w:rFonts w:ascii="Times New Roman" w:eastAsia="宋体" w:hAnsi="Times New Roman" w:cs="Times New Roman"/>
        </w:rPr>
        <w:t xml:space="preserve"> is the accumulated plastic strain.</w:t>
      </w:r>
      <w:r>
        <w:rPr>
          <w:rFonts w:ascii="Times New Roman" w:hAnsi="Times New Roman" w:cs="Times New Roman"/>
          <w:i/>
        </w:rPr>
        <w:t xml:space="preserve"> </w:t>
      </w:r>
      <w:r w:rsidRPr="00126C5C">
        <w:rPr>
          <w:rFonts w:ascii="Times New Roman" w:hAnsi="Times New Roman" w:cs="Times New Roman"/>
          <w:i/>
          <w:iCs/>
        </w:rPr>
        <w:t>k</w:t>
      </w:r>
      <w:r>
        <w:rPr>
          <w:rFonts w:ascii="Times New Roman" w:hAnsi="Times New Roman" w:cs="Times New Roman"/>
        </w:rPr>
        <w:t xml:space="preserve">- thermal conductivity, </w:t>
      </w:r>
      <w:proofErr w:type="spellStart"/>
      <w:r w:rsidRPr="00126C5C">
        <w:rPr>
          <w:rFonts w:ascii="Times New Roman" w:hAnsi="Times New Roman" w:cs="Times New Roman"/>
          <w:i/>
          <w:iCs/>
        </w:rPr>
        <w:t>H</w:t>
      </w:r>
      <w:r w:rsidRPr="00126C5C">
        <w:rPr>
          <w:rFonts w:ascii="Times New Roman" w:hAnsi="Times New Roman" w:cs="Times New Roman"/>
          <w:i/>
          <w:iCs/>
          <w:vertAlign w:val="subscript"/>
        </w:rPr>
        <w:t>r</w:t>
      </w:r>
      <w:proofErr w:type="spellEnd"/>
      <w:r>
        <w:rPr>
          <w:rFonts w:ascii="Times New Roman" w:hAnsi="Times New Roman" w:cs="Times New Roman"/>
        </w:rPr>
        <w:t xml:space="preserve">- radioactive heat production, </w:t>
      </w:r>
      <w:r w:rsidRPr="00126C5C">
        <w:rPr>
          <w:rFonts w:ascii="Times New Roman" w:hAnsi="Times New Roman" w:cs="Times New Roman"/>
          <w:i/>
          <w:iCs/>
        </w:rPr>
        <w:t>c</w:t>
      </w:r>
      <w:r w:rsidRPr="00126C5C">
        <w:rPr>
          <w:rFonts w:ascii="Times New Roman" w:hAnsi="Times New Roman" w:cs="Times New Roman"/>
          <w:i/>
          <w:iCs/>
          <w:vertAlign w:val="subscript"/>
        </w:rPr>
        <w:t>p</w:t>
      </w:r>
      <w:r>
        <w:rPr>
          <w:rFonts w:ascii="Times New Roman" w:hAnsi="Times New Roman" w:cs="Times New Roman"/>
        </w:rPr>
        <w:t xml:space="preserve">-heat capacity, </w:t>
      </w:r>
      <w:r w:rsidRPr="00126C5C">
        <w:rPr>
          <w:rFonts w:ascii="Times New Roman" w:hAnsi="Times New Roman" w:cs="Times New Roman"/>
          <w:i/>
          <w:iCs/>
        </w:rPr>
        <w:t>ρ</w:t>
      </w:r>
      <w:r w:rsidRPr="00126C5C">
        <w:rPr>
          <w:rFonts w:ascii="Times New Roman" w:hAnsi="Times New Roman" w:cs="Times New Roman"/>
          <w:i/>
          <w:iCs/>
          <w:vertAlign w:val="subscript"/>
        </w:rPr>
        <w:t>0</w:t>
      </w:r>
      <w:r>
        <w:rPr>
          <w:rFonts w:ascii="Times New Roman" w:hAnsi="Times New Roman" w:cs="Times New Roman"/>
        </w:rPr>
        <w:t xml:space="preserve">- the reference density at room temperature (20 ̊C) and pressure (0.1 MPa), </w:t>
      </w:r>
      <w:r w:rsidRPr="00126C5C">
        <w:rPr>
          <w:rFonts w:ascii="Times New Roman" w:hAnsi="Times New Roman" w:cs="Times New Roman"/>
          <w:i/>
          <w:iCs/>
        </w:rPr>
        <w:t>K</w:t>
      </w:r>
      <w:r>
        <w:rPr>
          <w:rFonts w:ascii="Times New Roman" w:hAnsi="Times New Roman" w:cs="Times New Roman"/>
        </w:rPr>
        <w:t xml:space="preserve">- bulk modulus. </w:t>
      </w:r>
    </w:p>
    <w:p w14:paraId="02783A3E" w14:textId="77777777" w:rsidR="004E78F6" w:rsidRDefault="004E78F6" w:rsidP="006007FE">
      <w:pPr>
        <w:spacing w:line="276" w:lineRule="auto"/>
        <w:jc w:val="both"/>
        <w:rPr>
          <w:rFonts w:ascii="Times New Roman" w:hAnsi="Times New Roman" w:cs="Times New Roman"/>
        </w:rPr>
      </w:pPr>
      <w:r>
        <w:rPr>
          <w:rFonts w:ascii="Times New Roman" w:hAnsi="Times New Roman" w:cs="Times New Roman"/>
        </w:rPr>
        <w:t xml:space="preserve">References. 1- </w:t>
      </w:r>
      <w:proofErr w:type="spellStart"/>
      <w:r>
        <w:rPr>
          <w:rFonts w:ascii="Times New Roman" w:hAnsi="Times New Roman" w:cs="Times New Roman"/>
        </w:rPr>
        <w:t>Hirth</w:t>
      </w:r>
      <w:proofErr w:type="spellEnd"/>
      <w:r>
        <w:rPr>
          <w:rFonts w:ascii="Times New Roman" w:hAnsi="Times New Roman" w:cs="Times New Roman"/>
        </w:rPr>
        <w:t xml:space="preserve"> and </w:t>
      </w:r>
      <w:proofErr w:type="spellStart"/>
      <w:r>
        <w:rPr>
          <w:rFonts w:ascii="Times New Roman" w:hAnsi="Times New Roman" w:cs="Times New Roman"/>
        </w:rPr>
        <w:t>Kohlstedt</w:t>
      </w:r>
      <w:proofErr w:type="spellEnd"/>
      <w:r>
        <w:rPr>
          <w:rFonts w:ascii="Times New Roman" w:hAnsi="Times New Roman" w:cs="Times New Roman"/>
        </w:rPr>
        <w:t>, 200</w:t>
      </w:r>
      <w:r>
        <w:rPr>
          <w:rFonts w:ascii="Times New Roman" w:hAnsi="Times New Roman" w:cs="Times New Roman" w:hint="eastAsia"/>
        </w:rPr>
        <w:t>3</w:t>
      </w:r>
      <w:r w:rsidRPr="00322CAC">
        <w:rPr>
          <w:rFonts w:ascii="Times New Roman" w:hAnsi="Times New Roman" w:cs="Times New Roman"/>
          <w:noProof/>
          <w:vertAlign w:val="superscript"/>
        </w:rPr>
        <w:t>77</w:t>
      </w:r>
      <w:r>
        <w:rPr>
          <w:rFonts w:ascii="Times New Roman" w:hAnsi="Times New Roman" w:cs="Times New Roman"/>
        </w:rPr>
        <w:t xml:space="preserve">; 2- </w:t>
      </w:r>
      <w:proofErr w:type="spellStart"/>
      <w:r>
        <w:rPr>
          <w:rFonts w:ascii="Times New Roman" w:hAnsi="Times New Roman" w:cs="Times New Roman"/>
        </w:rPr>
        <w:t>Brune</w:t>
      </w:r>
      <w:proofErr w:type="spellEnd"/>
      <w:r>
        <w:rPr>
          <w:rFonts w:ascii="Times New Roman" w:hAnsi="Times New Roman" w:cs="Times New Roman"/>
        </w:rPr>
        <w:t xml:space="preserve"> et al., 2014</w:t>
      </w:r>
      <w:r w:rsidRPr="00322CAC">
        <w:rPr>
          <w:rFonts w:ascii="Times New Roman" w:hAnsi="Times New Roman" w:cs="Times New Roman"/>
          <w:noProof/>
          <w:vertAlign w:val="superscript"/>
        </w:rPr>
        <w:t>79</w:t>
      </w:r>
      <w:r>
        <w:rPr>
          <w:rFonts w:ascii="Times New Roman" w:hAnsi="Times New Roman" w:cs="Times New Roman"/>
        </w:rPr>
        <w:t>; 3- Gleason and Tullis, 1995</w:t>
      </w:r>
      <w:r w:rsidRPr="00322CAC">
        <w:rPr>
          <w:rFonts w:ascii="Times New Roman" w:hAnsi="Times New Roman" w:cs="Times New Roman"/>
          <w:noProof/>
          <w:vertAlign w:val="superscript"/>
        </w:rPr>
        <w:t>80</w:t>
      </w:r>
      <w:r>
        <w:rPr>
          <w:rFonts w:ascii="Times New Roman" w:hAnsi="Times New Roman" w:cs="Times New Roman"/>
        </w:rPr>
        <w:t>; 4- Rutter and Brodie, 2004</w:t>
      </w:r>
      <w:r w:rsidRPr="00322CAC">
        <w:rPr>
          <w:rFonts w:ascii="Times New Roman" w:hAnsi="Times New Roman" w:cs="Times New Roman"/>
          <w:noProof/>
          <w:vertAlign w:val="superscript"/>
        </w:rPr>
        <w:t>81</w:t>
      </w:r>
      <w:r>
        <w:rPr>
          <w:rFonts w:ascii="Times New Roman" w:hAnsi="Times New Roman" w:cs="Times New Roman"/>
        </w:rPr>
        <w:t xml:space="preserve">; 5- Kirby and </w:t>
      </w:r>
      <w:proofErr w:type="spellStart"/>
      <w:r>
        <w:rPr>
          <w:rFonts w:ascii="Times New Roman" w:hAnsi="Times New Roman" w:cs="Times New Roman"/>
        </w:rPr>
        <w:t>Kronenberg</w:t>
      </w:r>
      <w:proofErr w:type="spellEnd"/>
      <w:r>
        <w:rPr>
          <w:rFonts w:ascii="Times New Roman" w:hAnsi="Times New Roman" w:cs="Times New Roman"/>
        </w:rPr>
        <w:t>, 1987</w:t>
      </w:r>
      <w:r w:rsidRPr="00322CAC">
        <w:rPr>
          <w:rFonts w:ascii="Times New Roman" w:hAnsi="Times New Roman" w:cs="Times New Roman"/>
          <w:noProof/>
          <w:vertAlign w:val="superscript"/>
        </w:rPr>
        <w:t>82</w:t>
      </w:r>
      <w:r>
        <w:rPr>
          <w:rFonts w:ascii="Times New Roman" w:hAnsi="Times New Roman" w:cs="Times New Roman"/>
        </w:rPr>
        <w:t xml:space="preserve">; 6- </w:t>
      </w:r>
      <w:proofErr w:type="spellStart"/>
      <w:r>
        <w:rPr>
          <w:rFonts w:ascii="Times New Roman" w:hAnsi="Times New Roman" w:cs="Times New Roman"/>
        </w:rPr>
        <w:t>Ranalli</w:t>
      </w:r>
      <w:proofErr w:type="spellEnd"/>
      <w:r>
        <w:rPr>
          <w:rFonts w:ascii="Times New Roman" w:hAnsi="Times New Roman" w:cs="Times New Roman"/>
        </w:rPr>
        <w:t xml:space="preserve"> and Murphy, 1987</w:t>
      </w:r>
      <w:r w:rsidRPr="00322CAC">
        <w:rPr>
          <w:rFonts w:ascii="Times New Roman" w:hAnsi="Times New Roman" w:cs="Times New Roman"/>
          <w:noProof/>
          <w:vertAlign w:val="superscript"/>
        </w:rPr>
        <w:t>83</w:t>
      </w:r>
      <w:r>
        <w:rPr>
          <w:rFonts w:ascii="Times New Roman" w:hAnsi="Times New Roman" w:cs="Times New Roman"/>
        </w:rPr>
        <w:t xml:space="preserve">; 7- </w:t>
      </w:r>
      <w:proofErr w:type="spellStart"/>
      <w:r>
        <w:rPr>
          <w:rFonts w:ascii="Times New Roman" w:hAnsi="Times New Roman" w:cs="Times New Roman"/>
        </w:rPr>
        <w:t>Huangfu</w:t>
      </w:r>
      <w:proofErr w:type="spellEnd"/>
      <w:r>
        <w:rPr>
          <w:rFonts w:ascii="Times New Roman" w:hAnsi="Times New Roman" w:cs="Times New Roman"/>
        </w:rPr>
        <w:t xml:space="preserve"> et al., 2018</w:t>
      </w:r>
      <w:r w:rsidRPr="00322CAC">
        <w:rPr>
          <w:rFonts w:ascii="Times New Roman" w:hAnsi="Times New Roman" w:cs="Times New Roman"/>
          <w:noProof/>
          <w:vertAlign w:val="superscript"/>
        </w:rPr>
        <w:t>23</w:t>
      </w:r>
      <w:r>
        <w:rPr>
          <w:rFonts w:ascii="Times New Roman" w:hAnsi="Times New Roman" w:cs="Times New Roman"/>
        </w:rPr>
        <w:t xml:space="preserve">; 8- </w:t>
      </w:r>
      <w:proofErr w:type="spellStart"/>
      <w:r>
        <w:rPr>
          <w:rFonts w:ascii="Times New Roman" w:hAnsi="Times New Roman" w:cs="Times New Roman"/>
        </w:rPr>
        <w:t>Rybacki</w:t>
      </w:r>
      <w:proofErr w:type="spellEnd"/>
      <w:r>
        <w:rPr>
          <w:rFonts w:ascii="Times New Roman" w:hAnsi="Times New Roman" w:cs="Times New Roman"/>
        </w:rPr>
        <w:t xml:space="preserve"> and </w:t>
      </w:r>
      <w:proofErr w:type="spellStart"/>
      <w:r>
        <w:rPr>
          <w:rFonts w:ascii="Times New Roman" w:hAnsi="Times New Roman" w:cs="Times New Roman"/>
        </w:rPr>
        <w:t>Dresen</w:t>
      </w:r>
      <w:proofErr w:type="spellEnd"/>
      <w:r>
        <w:rPr>
          <w:rFonts w:ascii="Times New Roman" w:hAnsi="Times New Roman" w:cs="Times New Roman"/>
        </w:rPr>
        <w:t>, 2004</w:t>
      </w:r>
      <w:r w:rsidRPr="00322CAC">
        <w:rPr>
          <w:rFonts w:ascii="Times New Roman" w:hAnsi="Times New Roman" w:cs="Times New Roman"/>
          <w:noProof/>
          <w:vertAlign w:val="superscript"/>
        </w:rPr>
        <w:t>84</w:t>
      </w:r>
      <w:r>
        <w:rPr>
          <w:rFonts w:ascii="Times New Roman" w:hAnsi="Times New Roman" w:cs="Times New Roman"/>
        </w:rPr>
        <w:t xml:space="preserve">; 9- </w:t>
      </w:r>
      <w:proofErr w:type="spellStart"/>
      <w:r>
        <w:rPr>
          <w:rFonts w:ascii="Times New Roman" w:hAnsi="Times New Roman" w:cs="Times New Roman"/>
        </w:rPr>
        <w:t>Djomani</w:t>
      </w:r>
      <w:proofErr w:type="spellEnd"/>
      <w:r>
        <w:rPr>
          <w:rFonts w:ascii="Times New Roman" w:hAnsi="Times New Roman" w:cs="Times New Roman"/>
        </w:rPr>
        <w:t xml:space="preserve"> et al., 2001</w:t>
      </w:r>
      <w:r w:rsidRPr="00322CAC">
        <w:rPr>
          <w:rFonts w:ascii="Times New Roman" w:hAnsi="Times New Roman" w:cs="Times New Roman"/>
          <w:noProof/>
          <w:vertAlign w:val="superscript"/>
        </w:rPr>
        <w:t>85</w:t>
      </w:r>
      <w:r>
        <w:rPr>
          <w:rFonts w:ascii="Times New Roman" w:hAnsi="Times New Roman" w:cs="Times New Roman"/>
        </w:rPr>
        <w:t xml:space="preserve">; 10- Schutt and </w:t>
      </w:r>
      <w:proofErr w:type="spellStart"/>
      <w:r>
        <w:rPr>
          <w:rFonts w:ascii="Times New Roman" w:hAnsi="Times New Roman" w:cs="Times New Roman"/>
        </w:rPr>
        <w:t>Lesher</w:t>
      </w:r>
      <w:proofErr w:type="spellEnd"/>
      <w:r>
        <w:rPr>
          <w:rFonts w:ascii="Times New Roman" w:hAnsi="Times New Roman" w:cs="Times New Roman"/>
        </w:rPr>
        <w:t>, 2006</w:t>
      </w:r>
      <w:r w:rsidRPr="00322CAC">
        <w:rPr>
          <w:rFonts w:ascii="Times New Roman" w:hAnsi="Times New Roman" w:cs="Times New Roman"/>
          <w:noProof/>
          <w:vertAlign w:val="superscript"/>
        </w:rPr>
        <w:t>86</w:t>
      </w:r>
      <w:r>
        <w:rPr>
          <w:rFonts w:ascii="Times New Roman" w:hAnsi="Times New Roman" w:cs="Times New Roman"/>
        </w:rPr>
        <w:t xml:space="preserve">; 11- </w:t>
      </w:r>
      <w:proofErr w:type="spellStart"/>
      <w:r>
        <w:rPr>
          <w:rFonts w:ascii="Times New Roman" w:hAnsi="Times New Roman" w:cs="Times New Roman"/>
        </w:rPr>
        <w:t>Karato</w:t>
      </w:r>
      <w:proofErr w:type="spellEnd"/>
      <w:r>
        <w:rPr>
          <w:rFonts w:ascii="Times New Roman" w:hAnsi="Times New Roman" w:cs="Times New Roman"/>
        </w:rPr>
        <w:t xml:space="preserve"> and Wu, 1993</w:t>
      </w:r>
      <w:r w:rsidRPr="00322CAC">
        <w:rPr>
          <w:rFonts w:ascii="Times New Roman" w:hAnsi="Times New Roman" w:cs="Times New Roman"/>
          <w:noProof/>
          <w:vertAlign w:val="superscript"/>
        </w:rPr>
        <w:t>87</w:t>
      </w:r>
      <w:r>
        <w:rPr>
          <w:rFonts w:ascii="Times New Roman" w:hAnsi="Times New Roman" w:cs="Times New Roman"/>
        </w:rPr>
        <w:t xml:space="preserve">; 12- Yamazaki and </w:t>
      </w:r>
      <w:proofErr w:type="spellStart"/>
      <w:r>
        <w:rPr>
          <w:rFonts w:ascii="Times New Roman" w:hAnsi="Times New Roman" w:cs="Times New Roman"/>
        </w:rPr>
        <w:t>Karato</w:t>
      </w:r>
      <w:proofErr w:type="spellEnd"/>
      <w:r>
        <w:rPr>
          <w:rFonts w:ascii="Times New Roman" w:hAnsi="Times New Roman" w:cs="Times New Roman"/>
        </w:rPr>
        <w:t>, 2001</w:t>
      </w:r>
      <w:r w:rsidRPr="00322CAC">
        <w:rPr>
          <w:rFonts w:ascii="Times New Roman" w:hAnsi="Times New Roman" w:cs="Times New Roman"/>
          <w:noProof/>
          <w:vertAlign w:val="superscript"/>
        </w:rPr>
        <w:t>88</w:t>
      </w:r>
      <w:r>
        <w:rPr>
          <w:rFonts w:ascii="Times New Roman" w:hAnsi="Times New Roman" w:cs="Times New Roman"/>
        </w:rPr>
        <w:t>.</w:t>
      </w:r>
    </w:p>
    <w:p w14:paraId="595F123F" w14:textId="77777777" w:rsidR="004E78F6" w:rsidRDefault="004E78F6"/>
    <w:p w14:paraId="2F4BDDCC" w14:textId="77777777" w:rsidR="004E78F6" w:rsidRDefault="004E78F6">
      <w:pPr>
        <w:spacing w:beforeLines="50" w:before="120" w:line="276" w:lineRule="auto"/>
        <w:jc w:val="both"/>
        <w:rPr>
          <w:rFonts w:ascii="Times New Roman" w:hAnsi="Times New Roman" w:cs="Times New Roman"/>
        </w:rPr>
      </w:pPr>
      <w:r>
        <w:rPr>
          <w:rFonts w:ascii="Times New Roman" w:hAnsi="Times New Roman" w:cs="Times New Roman"/>
          <w:b/>
          <w:bCs/>
        </w:rPr>
        <w:t>Table S2. The presented numerical models and their key variables</w:t>
      </w:r>
      <w:r>
        <w:rPr>
          <w:rFonts w:ascii="Times New Roman" w:hAnsi="Times New Roman" w:cs="Times New Roman"/>
        </w:rPr>
        <w:t>. M.Y.S.- Maximum Yielding Stress. W.O.C.- Weak Overriding-plate Crust (</w:t>
      </w:r>
      <w:r>
        <w:rPr>
          <w:rFonts w:ascii="Times New Roman" w:hAnsi="Times New Roman" w:cs="Times New Roman"/>
          <w:color w:val="0000FF"/>
        </w:rPr>
        <w:t>Figure S1</w:t>
      </w:r>
      <w:r>
        <w:rPr>
          <w:rFonts w:ascii="Times New Roman" w:hAnsi="Times New Roman" w:cs="Times New Roman"/>
        </w:rPr>
        <w:t>). W.O.L.M.- Weak Overriding-plate Lithospheric Mantle (</w:t>
      </w:r>
      <w:r>
        <w:rPr>
          <w:rFonts w:ascii="Times New Roman" w:hAnsi="Times New Roman" w:cs="Times New Roman"/>
          <w:color w:val="0000FF"/>
        </w:rPr>
        <w:t>Figure S1</w:t>
      </w:r>
      <w:r>
        <w:rPr>
          <w:rFonts w:ascii="Times New Roman" w:hAnsi="Times New Roman" w:cs="Times New Roman"/>
        </w:rPr>
        <w:t>). C. Density- Compositional Density (</w:t>
      </w:r>
      <w:r>
        <w:rPr>
          <w:rFonts w:ascii="Times New Roman" w:hAnsi="Times New Roman" w:cs="Times New Roman"/>
          <w:color w:val="0000FF"/>
        </w:rPr>
        <w:t>Equation S8</w:t>
      </w:r>
      <w:r>
        <w:rPr>
          <w:rFonts w:ascii="Times New Roman" w:hAnsi="Times New Roman" w:cs="Times New Roman"/>
        </w:rPr>
        <w:t>). The terrane hinge refers to the portion of the terrane slab above the oceanic slab (</w:t>
      </w:r>
      <w:r w:rsidRPr="00507281">
        <w:rPr>
          <w:rFonts w:ascii="Times New Roman" w:hAnsi="Times New Roman" w:cs="Times New Roman"/>
          <w:color w:val="0000FF"/>
        </w:rPr>
        <w:t>Figures 4e, S2</w:t>
      </w:r>
      <w:r>
        <w:rPr>
          <w:rFonts w:ascii="Times New Roman" w:hAnsi="Times New Roman" w:cs="Times New Roman"/>
          <w:color w:val="0000FF"/>
        </w:rPr>
        <w:t>3</w:t>
      </w:r>
      <w:r>
        <w:rPr>
          <w:rFonts w:ascii="Times New Roman" w:hAnsi="Times New Roman" w:cs="Times New Roman"/>
        </w:rPr>
        <w:t>), which is assumed to be weakened by dehydration of the oceanic slab (</w:t>
      </w:r>
      <w:r>
        <w:rPr>
          <w:rFonts w:ascii="Times New Roman" w:hAnsi="Times New Roman" w:cs="Times New Roman"/>
          <w:color w:val="0000FF"/>
        </w:rPr>
        <w:t>Supplementary Section 1</w:t>
      </w:r>
      <w:r>
        <w:rPr>
          <w:rFonts w:ascii="Times New Roman" w:hAnsi="Times New Roman" w:cs="Times New Roman"/>
        </w:rPr>
        <w:t xml:space="preserve">). In the </w:t>
      </w:r>
      <w:r w:rsidRPr="00423135">
        <w:rPr>
          <w:rFonts w:ascii="Times New Roman" w:hAnsi="Times New Roman" w:cs="Times New Roman"/>
          <w:b/>
          <w:bCs/>
        </w:rPr>
        <w:t>Type 5</w:t>
      </w:r>
      <w:r>
        <w:rPr>
          <w:rFonts w:ascii="Times New Roman" w:hAnsi="Times New Roman" w:cs="Times New Roman"/>
        </w:rPr>
        <w:t xml:space="preserve"> models, the compositional density of the terrane lithospheric mantle is 3.37 g/cm</w:t>
      </w:r>
      <w:r w:rsidRPr="00423135">
        <w:rPr>
          <w:rFonts w:ascii="Times New Roman" w:hAnsi="Times New Roman" w:cs="Times New Roman"/>
          <w:vertAlign w:val="superscript"/>
        </w:rPr>
        <w:t>3</w:t>
      </w:r>
      <w:r>
        <w:rPr>
          <w:rFonts w:ascii="Times New Roman" w:hAnsi="Times New Roman" w:cs="Times New Roman"/>
        </w:rPr>
        <w:t xml:space="preserve">. In the </w:t>
      </w:r>
      <w:r w:rsidRPr="00423135">
        <w:rPr>
          <w:rFonts w:ascii="Times New Roman" w:hAnsi="Times New Roman" w:cs="Times New Roman"/>
          <w:b/>
          <w:bCs/>
        </w:rPr>
        <w:t>Type 6</w:t>
      </w:r>
      <w:r>
        <w:rPr>
          <w:rFonts w:ascii="Times New Roman" w:hAnsi="Times New Roman" w:cs="Times New Roman"/>
        </w:rPr>
        <w:t xml:space="preserve"> models: the compositional density of the terrane lithospheric mantle is 3.34 g/cm</w:t>
      </w:r>
      <w:r w:rsidRPr="00697B0C">
        <w:rPr>
          <w:rFonts w:ascii="Times New Roman" w:hAnsi="Times New Roman" w:cs="Times New Roman"/>
          <w:vertAlign w:val="superscript"/>
        </w:rPr>
        <w:t>3</w:t>
      </w:r>
      <w:r>
        <w:rPr>
          <w:rFonts w:ascii="Times New Roman" w:hAnsi="Times New Roman" w:cs="Times New Roman"/>
        </w:rPr>
        <w:t>. Other parameters for the numerical models are in Table S1.</w:t>
      </w:r>
    </w:p>
    <w:p w14:paraId="0C889C9A" w14:textId="77777777" w:rsidR="004E78F6" w:rsidRDefault="004E78F6">
      <w:pPr>
        <w:spacing w:beforeLines="50" w:before="120" w:line="276" w:lineRule="auto"/>
        <w:jc w:val="both"/>
        <w:rPr>
          <w:rFonts w:ascii="Times New Roman" w:hAnsi="Times New Roman" w:cs="Times New Roman"/>
        </w:rPr>
      </w:pPr>
    </w:p>
    <w:p w14:paraId="6FEC69FA" w14:textId="77777777" w:rsidR="004E78F6" w:rsidRDefault="004E78F6">
      <w:pPr>
        <w:sectPr w:rsidR="004E78F6">
          <w:pgSz w:w="15840" w:h="12240" w:orient="landscape"/>
          <w:pgMar w:top="720" w:right="720" w:bottom="720" w:left="720" w:header="720" w:footer="720" w:gutter="0"/>
          <w:cols w:space="720"/>
          <w:docGrid w:linePitch="360"/>
        </w:sectPr>
      </w:pPr>
    </w:p>
    <w:p w14:paraId="5BAA9833" w14:textId="77777777" w:rsidR="004E78F6" w:rsidRDefault="004E78F6" w:rsidP="00126C5C">
      <w:pPr>
        <w:spacing w:after="40"/>
        <w:jc w:val="center"/>
        <w:rPr>
          <w:lang w:val="en"/>
        </w:rPr>
      </w:pPr>
      <w:r>
        <w:rPr>
          <w:noProof/>
        </w:rPr>
        <w:lastRenderedPageBreak/>
        <w:drawing>
          <wp:inline distT="0" distB="0" distL="0" distR="0" wp14:anchorId="3031813D" wp14:editId="7637CFAF">
            <wp:extent cx="5043170" cy="8229600"/>
            <wp:effectExtent l="0" t="0" r="5080" b="0"/>
            <wp:docPr id="4" name="图片 4" descr="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日程表&#10;&#10;描述已自动生成"/>
                    <pic:cNvPicPr>
                      <a:picLocks noChangeAspect="1" noChangeArrowheads="1"/>
                    </pic:cNvPicPr>
                  </pic:nvPicPr>
                  <pic:blipFill>
                    <a:blip r:embed="rId6" cstate="hqprint">
                      <a:extLst>
                        <a:ext uri="{28A0092B-C50C-407E-A947-70E740481C1C}">
                          <a14:useLocalDpi xmlns:a14="http://schemas.microsoft.com/office/drawing/2010/main" val="0"/>
                        </a:ext>
                      </a:extLst>
                    </a:blip>
                    <a:srcRect/>
                    <a:stretch>
                      <a:fillRect/>
                    </a:stretch>
                  </pic:blipFill>
                  <pic:spPr bwMode="auto">
                    <a:xfrm>
                      <a:off x="0" y="0"/>
                      <a:ext cx="5043170" cy="8229600"/>
                    </a:xfrm>
                    <a:prstGeom prst="rect">
                      <a:avLst/>
                    </a:prstGeom>
                    <a:noFill/>
                    <a:ln>
                      <a:noFill/>
                    </a:ln>
                  </pic:spPr>
                </pic:pic>
              </a:graphicData>
            </a:graphic>
          </wp:inline>
        </w:drawing>
      </w:r>
    </w:p>
    <w:p w14:paraId="3A9DCA73" w14:textId="77777777" w:rsidR="004E78F6" w:rsidRDefault="004E78F6" w:rsidP="00DF3973">
      <w:pPr>
        <w:spacing w:line="276" w:lineRule="auto"/>
        <w:jc w:val="both"/>
        <w:rPr>
          <w:rFonts w:ascii="Times New Roman" w:hAnsi="Times New Roman" w:cs="Times New Roman"/>
        </w:rPr>
      </w:pPr>
      <w:r>
        <w:rPr>
          <w:rFonts w:ascii="Times New Roman" w:hAnsi="Times New Roman" w:cs="Times New Roman"/>
          <w:b/>
          <w:bCs/>
          <w:lang w:val="en"/>
        </w:rPr>
        <w:lastRenderedPageBreak/>
        <w:t>Figure S1. Initial conditions and key evolution snapshots for the numerical models</w:t>
      </w:r>
      <w:r>
        <w:rPr>
          <w:rFonts w:ascii="Times New Roman" w:hAnsi="Times New Roman" w:cs="Times New Roman"/>
          <w:lang w:val="en"/>
        </w:rPr>
        <w:t xml:space="preserve">. </w:t>
      </w:r>
      <w:r>
        <w:rPr>
          <w:rFonts w:ascii="Times New Roman" w:hAnsi="Times New Roman" w:cs="Times New Roman"/>
        </w:rPr>
        <w:t>(</w:t>
      </w:r>
      <w:r>
        <w:rPr>
          <w:rFonts w:ascii="Times New Roman" w:hAnsi="Times New Roman" w:cs="Times New Roman"/>
          <w:b/>
          <w:bCs/>
        </w:rPr>
        <w:t>a</w:t>
      </w:r>
      <w:r>
        <w:rPr>
          <w:rFonts w:ascii="Times New Roman" w:hAnsi="Times New Roman" w:cs="Times New Roman"/>
        </w:rPr>
        <w:t xml:space="preserve">) Material initialization and boundary conditions for the </w:t>
      </w:r>
      <w:r w:rsidRPr="004D0425">
        <w:rPr>
          <w:rFonts w:ascii="Times New Roman" w:hAnsi="Times New Roman" w:cs="Times New Roman"/>
          <w:b/>
          <w:bCs/>
        </w:rPr>
        <w:t>Type 1</w:t>
      </w:r>
      <w:r>
        <w:rPr>
          <w:rFonts w:ascii="Times New Roman" w:hAnsi="Times New Roman" w:cs="Times New Roman"/>
        </w:rPr>
        <w:t xml:space="preserve"> models (Runs 1-4), where the incoming plate is purely continental (e.g., Greater India). </w:t>
      </w:r>
      <w:r w:rsidRPr="004D0425">
        <w:rPr>
          <w:rFonts w:ascii="Times New Roman" w:hAnsi="Times New Roman" w:cs="Times New Roman"/>
          <w:i/>
          <w:iCs/>
        </w:rPr>
        <w:t>ICP-Incoming Continental Plate</w:t>
      </w:r>
      <w:r>
        <w:rPr>
          <w:rFonts w:ascii="Times New Roman" w:hAnsi="Times New Roman" w:cs="Times New Roman"/>
          <w:i/>
          <w:iCs/>
        </w:rPr>
        <w:t>.</w:t>
      </w:r>
      <w:r w:rsidRPr="0026678D">
        <w:rPr>
          <w:rFonts w:ascii="Times New Roman" w:hAnsi="Times New Roman" w:cs="Times New Roman"/>
        </w:rPr>
        <w:t xml:space="preserve"> </w:t>
      </w:r>
      <w:r w:rsidRPr="00423135">
        <w:rPr>
          <w:rFonts w:ascii="Times New Roman" w:hAnsi="Times New Roman" w:cs="Times New Roman"/>
          <w:i/>
          <w:iCs/>
        </w:rPr>
        <w:t>Litho.- Lithosphere. Strong Litho.- e.g., Asian interiors. Weak Litho.- e.g., Tibetan terranes.</w:t>
      </w:r>
      <w:r>
        <w:rPr>
          <w:rFonts w:ascii="Times New Roman" w:hAnsi="Times New Roman" w:cs="Times New Roman"/>
          <w:i/>
          <w:iCs/>
        </w:rPr>
        <w:t xml:space="preserve"> </w:t>
      </w:r>
      <w:r>
        <w:rPr>
          <w:rFonts w:ascii="Times New Roman" w:hAnsi="Times New Roman" w:cs="Times New Roman"/>
        </w:rPr>
        <w:t>(</w:t>
      </w:r>
      <w:r>
        <w:rPr>
          <w:rFonts w:ascii="Times New Roman" w:hAnsi="Times New Roman" w:cs="Times New Roman"/>
          <w:b/>
          <w:bCs/>
        </w:rPr>
        <w:t>b</w:t>
      </w:r>
      <w:r>
        <w:rPr>
          <w:rFonts w:ascii="Times New Roman" w:hAnsi="Times New Roman" w:cs="Times New Roman"/>
        </w:rPr>
        <w:t xml:space="preserve">) Material initialization and boundary conditions for the </w:t>
      </w:r>
      <w:r w:rsidRPr="004D0425">
        <w:rPr>
          <w:rFonts w:ascii="Times New Roman" w:hAnsi="Times New Roman" w:cs="Times New Roman"/>
          <w:b/>
          <w:bCs/>
        </w:rPr>
        <w:t xml:space="preserve">Type </w:t>
      </w:r>
      <w:r>
        <w:rPr>
          <w:rFonts w:ascii="Times New Roman" w:hAnsi="Times New Roman" w:cs="Times New Roman"/>
          <w:b/>
          <w:bCs/>
        </w:rPr>
        <w:t>2</w:t>
      </w:r>
      <w:r>
        <w:rPr>
          <w:rFonts w:ascii="Times New Roman" w:hAnsi="Times New Roman" w:cs="Times New Roman"/>
        </w:rPr>
        <w:t xml:space="preserve"> models (Runs 5-6), where the incoming plate before cratonic India is purely oceanic (e.g., Greater Indian Basin).</w:t>
      </w:r>
      <w:r w:rsidRPr="005E286E">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b/>
          <w:bCs/>
        </w:rPr>
        <w:t>c</w:t>
      </w:r>
      <w:r>
        <w:rPr>
          <w:rFonts w:ascii="Times New Roman" w:hAnsi="Times New Roman" w:cs="Times New Roman"/>
        </w:rPr>
        <w:t xml:space="preserve">) Snapshot of the material distribution in a </w:t>
      </w:r>
      <w:r w:rsidRPr="004D0425">
        <w:rPr>
          <w:rFonts w:ascii="Times New Roman" w:hAnsi="Times New Roman" w:cs="Times New Roman"/>
          <w:b/>
          <w:bCs/>
        </w:rPr>
        <w:t>Type 3</w:t>
      </w:r>
      <w:r>
        <w:rPr>
          <w:rFonts w:ascii="Times New Roman" w:hAnsi="Times New Roman" w:cs="Times New Roman"/>
        </w:rPr>
        <w:t xml:space="preserve"> model (Run 9) at 44 Ma, where a 200 km long ICP subducts following the consumption of a young 40 Myr-old oceanic plate (e.g., back-arc basin).</w:t>
      </w:r>
      <w:r w:rsidRPr="00D92698">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b/>
          <w:bCs/>
        </w:rPr>
        <w:t>d</w:t>
      </w:r>
      <w:r>
        <w:rPr>
          <w:rFonts w:ascii="Times New Roman" w:hAnsi="Times New Roman" w:cs="Times New Roman"/>
        </w:rPr>
        <w:t xml:space="preserve">) Snapshot of the material distribution in a </w:t>
      </w:r>
      <w:r w:rsidRPr="00423135">
        <w:rPr>
          <w:rFonts w:ascii="Times New Roman" w:hAnsi="Times New Roman" w:cs="Times New Roman"/>
          <w:b/>
          <w:bCs/>
        </w:rPr>
        <w:t>Type 4</w:t>
      </w:r>
      <w:r>
        <w:rPr>
          <w:rFonts w:ascii="Times New Roman" w:hAnsi="Times New Roman" w:cs="Times New Roman"/>
        </w:rPr>
        <w:t xml:space="preserve"> model (Run 13) at 44 Ma. Type 4 model is different from the Type 3 model regarding the length of the ICP before cratonic India: ~900 km long vs. 200 km long</w:t>
      </w:r>
      <w:r w:rsidRPr="00322CAC">
        <w:rPr>
          <w:rFonts w:ascii="Times New Roman" w:hAnsi="Times New Roman" w:cs="Times New Roman"/>
          <w:noProof/>
          <w:vertAlign w:val="superscript"/>
        </w:rPr>
        <w:t>4,13</w:t>
      </w:r>
      <w:r>
        <w:rPr>
          <w:rFonts w:ascii="Times New Roman" w:hAnsi="Times New Roman" w:cs="Times New Roman"/>
        </w:rPr>
        <w:t>. (</w:t>
      </w:r>
      <w:r>
        <w:rPr>
          <w:rFonts w:ascii="Times New Roman" w:hAnsi="Times New Roman" w:cs="Times New Roman"/>
          <w:b/>
          <w:bCs/>
        </w:rPr>
        <w:t>e</w:t>
      </w:r>
      <w:r>
        <w:rPr>
          <w:rFonts w:ascii="Times New Roman" w:hAnsi="Times New Roman" w:cs="Times New Roman"/>
        </w:rPr>
        <w:t xml:space="preserve">) Material initialization and boundary conditions for the </w:t>
      </w:r>
      <w:r w:rsidRPr="004D0425">
        <w:rPr>
          <w:rFonts w:ascii="Times New Roman" w:hAnsi="Times New Roman" w:cs="Times New Roman"/>
          <w:b/>
          <w:bCs/>
        </w:rPr>
        <w:t xml:space="preserve">Type </w:t>
      </w:r>
      <w:r>
        <w:rPr>
          <w:rFonts w:ascii="Times New Roman" w:hAnsi="Times New Roman" w:cs="Times New Roman"/>
          <w:b/>
          <w:bCs/>
        </w:rPr>
        <w:t>5</w:t>
      </w:r>
      <w:r>
        <w:rPr>
          <w:rFonts w:ascii="Times New Roman" w:hAnsi="Times New Roman" w:cs="Times New Roman"/>
        </w:rPr>
        <w:t xml:space="preserve"> models (Runs 15-22), where</w:t>
      </w:r>
      <w:r>
        <w:rPr>
          <w:rFonts w:ascii="Times New Roman" w:hAnsi="Times New Roman" w:cs="Times New Roman"/>
          <w:lang w:val="en"/>
        </w:rPr>
        <w:t xml:space="preserve"> a preceding terrane separates with cratonic India by an oceanic block (e.g., Greater Indian Basin)</w:t>
      </w:r>
      <w:r>
        <w:rPr>
          <w:rFonts w:ascii="Times New Roman" w:hAnsi="Times New Roman" w:cs="Times New Roman"/>
        </w:rPr>
        <w:t>.</w:t>
      </w:r>
      <w:r w:rsidRPr="00742127">
        <w:rPr>
          <w:rFonts w:ascii="Times New Roman" w:hAnsi="Times New Roman" w:cs="Times New Roman"/>
          <w:lang w:val="en"/>
        </w:rPr>
        <w:t xml:space="preserve"> </w:t>
      </w:r>
      <w:r>
        <w:rPr>
          <w:rFonts w:ascii="Times New Roman" w:hAnsi="Times New Roman" w:cs="Times New Roman"/>
          <w:lang w:val="en"/>
        </w:rPr>
        <w:t>The terrane Lithosphere is 500 km long in Runs 15-18 and 600 km long in Runs 19-22 (</w:t>
      </w:r>
      <w:r w:rsidRPr="004D0425">
        <w:rPr>
          <w:rFonts w:ascii="Times New Roman" w:hAnsi="Times New Roman" w:cs="Times New Roman"/>
          <w:color w:val="0000FF"/>
          <w:lang w:val="en"/>
        </w:rPr>
        <w:t>Table S</w:t>
      </w:r>
      <w:r>
        <w:rPr>
          <w:rFonts w:ascii="Times New Roman" w:hAnsi="Times New Roman" w:cs="Times New Roman"/>
          <w:color w:val="0000FF"/>
          <w:lang w:val="en"/>
        </w:rPr>
        <w:t>2</w:t>
      </w:r>
      <w:r>
        <w:rPr>
          <w:rFonts w:ascii="Times New Roman" w:hAnsi="Times New Roman" w:cs="Times New Roman"/>
          <w:lang w:val="en"/>
        </w:rPr>
        <w:t>).</w:t>
      </w:r>
      <w:r>
        <w:rPr>
          <w:rFonts w:ascii="Times New Roman" w:hAnsi="Times New Roman" w:cs="Times New Roman"/>
        </w:rPr>
        <w:t xml:space="preserve"> The oceanic lithosphere is 80 Myr old, with a compositional density of 3.39 g/cm</w:t>
      </w:r>
      <w:r w:rsidRPr="004D0425">
        <w:rPr>
          <w:rFonts w:ascii="Times New Roman" w:hAnsi="Times New Roman" w:cs="Times New Roman"/>
          <w:vertAlign w:val="superscript"/>
        </w:rPr>
        <w:t>3</w:t>
      </w:r>
      <w:r>
        <w:rPr>
          <w:rFonts w:ascii="Times New Roman" w:hAnsi="Times New Roman" w:cs="Times New Roman"/>
        </w:rPr>
        <w:t xml:space="preserve"> for the lithosphere mantle (</w:t>
      </w:r>
      <w:r w:rsidRPr="00423135">
        <w:rPr>
          <w:rFonts w:ascii="Times New Roman" w:hAnsi="Times New Roman" w:cs="Times New Roman"/>
          <w:color w:val="0000FF"/>
        </w:rPr>
        <w:t>Table S</w:t>
      </w:r>
      <w:r>
        <w:rPr>
          <w:rFonts w:ascii="Times New Roman" w:hAnsi="Times New Roman" w:cs="Times New Roman"/>
          <w:color w:val="0000FF"/>
        </w:rPr>
        <w:t>2</w:t>
      </w:r>
      <w:r>
        <w:rPr>
          <w:rFonts w:ascii="Times New Roman" w:hAnsi="Times New Roman" w:cs="Times New Roman"/>
        </w:rPr>
        <w:t xml:space="preserve">). </w:t>
      </w:r>
      <w:r>
        <w:rPr>
          <w:rFonts w:ascii="Times New Roman" w:hAnsi="Times New Roman" w:cs="Times New Roman"/>
          <w:b/>
          <w:bCs/>
          <w:lang w:val="en"/>
        </w:rPr>
        <w:t>(f)</w:t>
      </w:r>
      <w:r>
        <w:rPr>
          <w:rFonts w:ascii="Times New Roman" w:hAnsi="Times New Roman" w:cs="Times New Roman"/>
          <w:lang w:val="en"/>
        </w:rPr>
        <w:t xml:space="preserve"> Material initialization for the preferred </w:t>
      </w:r>
      <w:r w:rsidRPr="00423135">
        <w:rPr>
          <w:rFonts w:ascii="Times New Roman" w:hAnsi="Times New Roman" w:cs="Times New Roman"/>
          <w:b/>
          <w:bCs/>
          <w:lang w:val="en"/>
        </w:rPr>
        <w:t xml:space="preserve">Type </w:t>
      </w:r>
      <w:r>
        <w:rPr>
          <w:rFonts w:ascii="Times New Roman" w:hAnsi="Times New Roman" w:cs="Times New Roman"/>
          <w:b/>
          <w:bCs/>
          <w:lang w:val="en"/>
        </w:rPr>
        <w:t xml:space="preserve">6 </w:t>
      </w:r>
      <w:r>
        <w:rPr>
          <w:rFonts w:ascii="Times New Roman" w:hAnsi="Times New Roman" w:cs="Times New Roman"/>
          <w:lang w:val="en"/>
        </w:rPr>
        <w:t>models (Runs 23-40) (</w:t>
      </w:r>
      <w:r w:rsidRPr="00423135">
        <w:rPr>
          <w:rFonts w:ascii="Times New Roman" w:hAnsi="Times New Roman" w:cs="Times New Roman"/>
          <w:color w:val="0000FF"/>
          <w:lang w:val="en"/>
        </w:rPr>
        <w:t>Table S</w:t>
      </w:r>
      <w:r>
        <w:rPr>
          <w:rFonts w:ascii="Times New Roman" w:hAnsi="Times New Roman" w:cs="Times New Roman"/>
          <w:color w:val="0000FF"/>
          <w:lang w:val="en"/>
        </w:rPr>
        <w:t>2)</w:t>
      </w:r>
      <w:r>
        <w:rPr>
          <w:rFonts w:ascii="Times New Roman" w:hAnsi="Times New Roman" w:cs="Times New Roman"/>
          <w:lang w:val="en"/>
        </w:rPr>
        <w:t xml:space="preserve">. Here, the plate segment following the terrane contains a thin crust (10 km thick), and its lithospheric mantle has a continent-like compositional density of </w:t>
      </w:r>
      <w:r>
        <w:rPr>
          <w:rFonts w:ascii="Times New Roman" w:hAnsi="Times New Roman" w:cs="Times New Roman"/>
        </w:rPr>
        <w:t>3.37 g/cm</w:t>
      </w:r>
      <w:r w:rsidRPr="006B59E2">
        <w:rPr>
          <w:rFonts w:ascii="Times New Roman" w:hAnsi="Times New Roman" w:cs="Times New Roman"/>
          <w:vertAlign w:val="superscript"/>
        </w:rPr>
        <w:t>3</w:t>
      </w:r>
      <w:r>
        <w:rPr>
          <w:rFonts w:ascii="Times New Roman" w:hAnsi="Times New Roman" w:cs="Times New Roman"/>
        </w:rPr>
        <w:t xml:space="preserve"> (e.g., a thinned continental margin) </w:t>
      </w:r>
      <w:r>
        <w:rPr>
          <w:rFonts w:ascii="Times New Roman" w:hAnsi="Times New Roman" w:cs="Times New Roman"/>
          <w:lang w:val="en"/>
        </w:rPr>
        <w:t>(</w:t>
      </w:r>
      <w:r w:rsidRPr="006B59E2">
        <w:rPr>
          <w:rFonts w:ascii="Times New Roman" w:hAnsi="Times New Roman" w:cs="Times New Roman"/>
          <w:color w:val="0000FF"/>
          <w:lang w:val="en"/>
        </w:rPr>
        <w:t>Table S</w:t>
      </w:r>
      <w:r>
        <w:rPr>
          <w:rFonts w:ascii="Times New Roman" w:hAnsi="Times New Roman" w:cs="Times New Roman"/>
          <w:color w:val="0000FF"/>
          <w:lang w:val="en"/>
        </w:rPr>
        <w:t>2</w:t>
      </w:r>
      <w:r>
        <w:rPr>
          <w:rFonts w:ascii="Times New Roman" w:hAnsi="Times New Roman" w:cs="Times New Roman"/>
          <w:lang w:val="en"/>
        </w:rPr>
        <w:t xml:space="preserve">). The terrane lithosphere is 600 km long </w:t>
      </w:r>
      <w:r w:rsidRPr="00322CAC">
        <w:rPr>
          <w:rFonts w:ascii="Times New Roman" w:hAnsi="Times New Roman" w:cs="Times New Roman"/>
          <w:noProof/>
          <w:vertAlign w:val="superscript"/>
          <w:lang w:val="en"/>
        </w:rPr>
        <w:t>19</w:t>
      </w:r>
      <w:r>
        <w:rPr>
          <w:rFonts w:ascii="Times New Roman" w:hAnsi="Times New Roman" w:cs="Times New Roman"/>
          <w:lang w:val="en"/>
        </w:rPr>
        <w:t xml:space="preserve">. The enlarged views demonstrate the material distribution of different domains. </w:t>
      </w:r>
      <w:r>
        <w:rPr>
          <w:rFonts w:ascii="Times New Roman" w:hAnsi="Times New Roman" w:cs="Times New Roman"/>
        </w:rPr>
        <w:t>(</w:t>
      </w:r>
      <w:r>
        <w:rPr>
          <w:rFonts w:ascii="Times New Roman" w:hAnsi="Times New Roman" w:cs="Times New Roman"/>
          <w:b/>
          <w:bCs/>
        </w:rPr>
        <w:t>g-k</w:t>
      </w:r>
      <w:r>
        <w:rPr>
          <w:rFonts w:ascii="Times New Roman" w:hAnsi="Times New Roman" w:cs="Times New Roman"/>
        </w:rPr>
        <w:t xml:space="preserve">) The viscosity structure for different material domains. </w:t>
      </w:r>
    </w:p>
    <w:p w14:paraId="526C6329" w14:textId="77777777" w:rsidR="004E78F6" w:rsidRPr="00423135" w:rsidRDefault="004E78F6" w:rsidP="00DF3973">
      <w:pPr>
        <w:spacing w:line="276" w:lineRule="auto"/>
        <w:jc w:val="both"/>
        <w:rPr>
          <w:rFonts w:ascii="Times New Roman" w:hAnsi="Times New Roman" w:cs="Times New Roman"/>
          <w:lang w:val="en"/>
        </w:rPr>
      </w:pPr>
      <w:r>
        <w:rPr>
          <w:rFonts w:ascii="Times New Roman" w:hAnsi="Times New Roman" w:cs="Times New Roman"/>
        </w:rPr>
        <w:tab/>
        <w:t>In the numerical models, the numerical resolution is ~5 km, where the mesh node is within 50 km from the nearest material interface and gradually increases to ~50 km where the node is &gt;190 km away from the closest material interface.</w:t>
      </w:r>
      <w:r>
        <w:rPr>
          <w:rFonts w:ascii="Times New Roman" w:hAnsi="Times New Roman" w:cs="Times New Roman"/>
          <w:lang w:val="en"/>
        </w:rPr>
        <w:t xml:space="preserve"> </w:t>
      </w:r>
      <w:r>
        <w:rPr>
          <w:rFonts w:ascii="Times New Roman" w:hAnsi="Times New Roman" w:cs="Times New Roman"/>
        </w:rPr>
        <w:t>We added the horizontal velocity for the incoming plate between 10 and 100 km and above the 400 km depth (</w:t>
      </w:r>
      <w:r>
        <w:rPr>
          <w:rFonts w:ascii="Times New Roman" w:hAnsi="Times New Roman" w:cs="Times New Roman"/>
          <w:i/>
          <w:iCs/>
          <w:color w:val="0000FF"/>
        </w:rPr>
        <w:t>cf.</w:t>
      </w:r>
      <w:r>
        <w:rPr>
          <w:rFonts w:ascii="Times New Roman" w:hAnsi="Times New Roman" w:cs="Times New Roman"/>
          <w:color w:val="0000FF"/>
        </w:rPr>
        <w:t xml:space="preserve"> </w:t>
      </w:r>
      <w:proofErr w:type="spellStart"/>
      <w:r w:rsidRPr="00D454CC">
        <w:rPr>
          <w:rFonts w:ascii="Times New Roman" w:hAnsi="Times New Roman" w:cs="Times New Roman"/>
          <w:color w:val="0000FF"/>
        </w:rPr>
        <w:t>Gerya</w:t>
      </w:r>
      <w:proofErr w:type="spellEnd"/>
      <w:r w:rsidRPr="00D454CC">
        <w:rPr>
          <w:rFonts w:ascii="Times New Roman" w:hAnsi="Times New Roman" w:cs="Times New Roman"/>
          <w:color w:val="0000FF"/>
        </w:rPr>
        <w:t xml:space="preserve"> and </w:t>
      </w:r>
      <w:proofErr w:type="spellStart"/>
      <w:r w:rsidRPr="00D454CC">
        <w:rPr>
          <w:rFonts w:ascii="Times New Roman" w:hAnsi="Times New Roman" w:cs="Times New Roman"/>
          <w:color w:val="0000FF"/>
        </w:rPr>
        <w:t>Meilick</w:t>
      </w:r>
      <w:proofErr w:type="spellEnd"/>
      <w:r>
        <w:rPr>
          <w:rFonts w:ascii="Times New Roman" w:hAnsi="Times New Roman" w:cs="Times New Roman"/>
          <w:color w:val="0000FF"/>
        </w:rPr>
        <w:t>, 2011</w:t>
      </w:r>
      <w:r>
        <w:rPr>
          <w:rFonts w:ascii="Times New Roman" w:hAnsi="Times New Roman" w:cs="Times New Roman"/>
        </w:rPr>
        <w:t>)</w:t>
      </w:r>
      <w:r w:rsidRPr="00322CAC">
        <w:rPr>
          <w:rFonts w:ascii="Times New Roman" w:hAnsi="Times New Roman" w:cs="Times New Roman"/>
          <w:noProof/>
          <w:vertAlign w:val="superscript"/>
        </w:rPr>
        <w:t>89</w:t>
      </w:r>
      <w:r>
        <w:rPr>
          <w:rFonts w:ascii="Times New Roman" w:hAnsi="Times New Roman" w:cs="Times New Roman"/>
        </w:rPr>
        <w:t xml:space="preserve">. Other boundaries are free to slip. The surface and bottom temperatures remain at 0 and 1350 ˚C, respectively. All continental plates initially follow a 1-D steady-state conductive thermal profile. The oceanic slab tip is 80 Myr old, </w:t>
      </w:r>
      <w:proofErr w:type="gramStart"/>
      <w:r>
        <w:rPr>
          <w:rFonts w:ascii="Times New Roman" w:hAnsi="Times New Roman" w:cs="Times New Roman"/>
        </w:rPr>
        <w:t>similar to</w:t>
      </w:r>
      <w:proofErr w:type="gramEnd"/>
      <w:r>
        <w:rPr>
          <w:rFonts w:ascii="Times New Roman" w:hAnsi="Times New Roman" w:cs="Times New Roman"/>
        </w:rPr>
        <w:t xml:space="preserve"> that of the Tethyan Ocean during the early Cenozoic </w:t>
      </w:r>
      <w:r w:rsidRPr="00322CAC">
        <w:rPr>
          <w:rFonts w:ascii="Times New Roman" w:hAnsi="Times New Roman" w:cs="Times New Roman"/>
          <w:noProof/>
          <w:vertAlign w:val="superscript"/>
        </w:rPr>
        <w:t>14,15</w:t>
      </w:r>
      <w:r>
        <w:rPr>
          <w:rFonts w:ascii="Times New Roman" w:hAnsi="Times New Roman" w:cs="Times New Roman"/>
        </w:rPr>
        <w:t>.</w:t>
      </w:r>
    </w:p>
    <w:p w14:paraId="2324FD61" w14:textId="77777777" w:rsidR="004E78F6" w:rsidRDefault="004E78F6">
      <w:pPr>
        <w:rPr>
          <w:lang w:val="en"/>
        </w:rPr>
      </w:pPr>
      <w:r>
        <w:rPr>
          <w:lang w:val="en"/>
        </w:rPr>
        <w:br w:type="page"/>
      </w:r>
    </w:p>
    <w:p w14:paraId="5D1931C7" w14:textId="77777777" w:rsidR="004E78F6" w:rsidRDefault="004E78F6">
      <w:pPr>
        <w:spacing w:after="40"/>
        <w:rPr>
          <w:lang w:val="en"/>
        </w:rPr>
      </w:pPr>
      <w:r>
        <w:rPr>
          <w:noProof/>
        </w:rPr>
        <w:lastRenderedPageBreak/>
        <w:drawing>
          <wp:inline distT="0" distB="0" distL="0" distR="0" wp14:anchorId="56275433" wp14:editId="3DD60A76">
            <wp:extent cx="5850890" cy="76638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cstate="hqprint">
                      <a:extLst>
                        <a:ext uri="{28A0092B-C50C-407E-A947-70E740481C1C}">
                          <a14:useLocalDpi xmlns:a14="http://schemas.microsoft.com/office/drawing/2010/main" val="0"/>
                        </a:ext>
                      </a:extLst>
                    </a:blip>
                    <a:srcRect/>
                    <a:stretch>
                      <a:fillRect/>
                    </a:stretch>
                  </pic:blipFill>
                  <pic:spPr bwMode="auto">
                    <a:xfrm>
                      <a:off x="0" y="0"/>
                      <a:ext cx="5850890" cy="7663815"/>
                    </a:xfrm>
                    <a:prstGeom prst="rect">
                      <a:avLst/>
                    </a:prstGeom>
                    <a:noFill/>
                    <a:ln>
                      <a:noFill/>
                    </a:ln>
                  </pic:spPr>
                </pic:pic>
              </a:graphicData>
            </a:graphic>
          </wp:inline>
        </w:drawing>
      </w:r>
    </w:p>
    <w:p w14:paraId="2A977A55" w14:textId="77777777" w:rsidR="004E78F6" w:rsidRDefault="004E78F6">
      <w:pPr>
        <w:spacing w:line="276" w:lineRule="auto"/>
        <w:jc w:val="both"/>
        <w:rPr>
          <w:rFonts w:ascii="Times New Roman" w:hAnsi="Times New Roman" w:cs="Times New Roman"/>
          <w:lang w:val="en"/>
        </w:rPr>
      </w:pPr>
      <w:r>
        <w:rPr>
          <w:rFonts w:ascii="Times New Roman" w:hAnsi="Times New Roman" w:cs="Times New Roman"/>
          <w:b/>
          <w:bCs/>
          <w:lang w:val="en"/>
        </w:rPr>
        <w:t>Figure S2.</w:t>
      </w:r>
      <w:r>
        <w:rPr>
          <w:rFonts w:ascii="Times New Roman" w:hAnsi="Times New Roman" w:cs="Times New Roman"/>
          <w:lang w:val="en"/>
        </w:rPr>
        <w:t xml:space="preserve"> </w:t>
      </w:r>
      <w:r>
        <w:rPr>
          <w:rFonts w:ascii="Times New Roman" w:hAnsi="Times New Roman" w:cs="Times New Roman"/>
          <w:b/>
          <w:bCs/>
          <w:lang w:val="en"/>
        </w:rPr>
        <w:t>Viscosity structures</w:t>
      </w:r>
      <w:r>
        <w:rPr>
          <w:rFonts w:ascii="Times New Roman" w:hAnsi="Times New Roman" w:cs="Times New Roman"/>
          <w:lang w:val="en"/>
        </w:rPr>
        <w:t xml:space="preserve">. </w:t>
      </w:r>
      <w:r>
        <w:rPr>
          <w:rFonts w:ascii="Times New Roman" w:hAnsi="Times New Roman" w:cs="Times New Roman"/>
          <w:b/>
          <w:bCs/>
          <w:lang w:val="en"/>
        </w:rPr>
        <w:t xml:space="preserve">(a) </w:t>
      </w:r>
      <w:r>
        <w:rPr>
          <w:rFonts w:ascii="Times New Roman" w:hAnsi="Times New Roman" w:cs="Times New Roman"/>
          <w:lang w:val="en"/>
        </w:rPr>
        <w:t xml:space="preserve">Viscosity structure at 55 Ma for the </w:t>
      </w:r>
      <w:r w:rsidRPr="00423135">
        <w:rPr>
          <w:rFonts w:ascii="Times New Roman" w:hAnsi="Times New Roman" w:cs="Times New Roman"/>
          <w:b/>
          <w:bCs/>
          <w:lang w:val="en"/>
        </w:rPr>
        <w:t>Type 1</w:t>
      </w:r>
      <w:r w:rsidRPr="00126C5C">
        <w:rPr>
          <w:rFonts w:ascii="Times New Roman" w:hAnsi="Times New Roman" w:cs="Times New Roman"/>
          <w:b/>
          <w:bCs/>
          <w:lang w:val="en"/>
        </w:rPr>
        <w:t xml:space="preserve"> </w:t>
      </w:r>
      <w:r>
        <w:rPr>
          <w:rFonts w:ascii="Times New Roman" w:hAnsi="Times New Roman" w:cs="Times New Roman"/>
          <w:lang w:val="en"/>
        </w:rPr>
        <w:t>models (</w:t>
      </w:r>
      <w:r>
        <w:rPr>
          <w:rFonts w:ascii="Times New Roman" w:hAnsi="Times New Roman" w:cs="Times New Roman"/>
          <w:color w:val="0000FF"/>
          <w:lang w:val="en"/>
        </w:rPr>
        <w:t>Figure S1a</w:t>
      </w:r>
      <w:r>
        <w:rPr>
          <w:rFonts w:ascii="Times New Roman" w:hAnsi="Times New Roman" w:cs="Times New Roman"/>
          <w:lang w:val="en"/>
        </w:rPr>
        <w:t xml:space="preserve">). </w:t>
      </w:r>
      <w:r>
        <w:rPr>
          <w:rFonts w:ascii="Times New Roman" w:hAnsi="Times New Roman" w:cs="Times New Roman"/>
          <w:b/>
          <w:bCs/>
          <w:lang w:val="en"/>
        </w:rPr>
        <w:t xml:space="preserve">(b) </w:t>
      </w:r>
      <w:r>
        <w:rPr>
          <w:rFonts w:ascii="Times New Roman" w:hAnsi="Times New Roman" w:cs="Times New Roman"/>
          <w:lang w:val="en"/>
        </w:rPr>
        <w:t xml:space="preserve">Viscosity structure at 55 Ma for the </w:t>
      </w:r>
      <w:r w:rsidRPr="00423135">
        <w:rPr>
          <w:rFonts w:ascii="Times New Roman" w:hAnsi="Times New Roman" w:cs="Times New Roman"/>
          <w:b/>
          <w:bCs/>
          <w:lang w:val="en"/>
        </w:rPr>
        <w:t>Type 2</w:t>
      </w:r>
      <w:r>
        <w:rPr>
          <w:rFonts w:ascii="Times New Roman" w:hAnsi="Times New Roman" w:cs="Times New Roman"/>
          <w:lang w:val="en"/>
        </w:rPr>
        <w:t xml:space="preserve"> models (</w:t>
      </w:r>
      <w:r>
        <w:rPr>
          <w:rFonts w:ascii="Times New Roman" w:hAnsi="Times New Roman" w:cs="Times New Roman"/>
          <w:color w:val="0000FF"/>
          <w:lang w:val="en"/>
        </w:rPr>
        <w:t>Figure S1b</w:t>
      </w:r>
      <w:r>
        <w:rPr>
          <w:rFonts w:ascii="Times New Roman" w:hAnsi="Times New Roman" w:cs="Times New Roman"/>
          <w:lang w:val="en"/>
        </w:rPr>
        <w:t>).</w:t>
      </w:r>
      <w:r>
        <w:rPr>
          <w:rFonts w:ascii="Times New Roman" w:hAnsi="Times New Roman" w:cs="Times New Roman"/>
          <w:b/>
          <w:bCs/>
          <w:lang w:val="en"/>
        </w:rPr>
        <w:t xml:space="preserve"> </w:t>
      </w:r>
      <w:r>
        <w:rPr>
          <w:rFonts w:ascii="Times New Roman" w:hAnsi="Times New Roman" w:cs="Times New Roman"/>
        </w:rPr>
        <w:t>(</w:t>
      </w:r>
      <w:r>
        <w:rPr>
          <w:rFonts w:ascii="Times New Roman" w:hAnsi="Times New Roman" w:cs="Times New Roman"/>
          <w:b/>
          <w:bCs/>
        </w:rPr>
        <w:t>c</w:t>
      </w:r>
      <w:r>
        <w:rPr>
          <w:rFonts w:ascii="Times New Roman" w:hAnsi="Times New Roman" w:cs="Times New Roman"/>
        </w:rPr>
        <w:t xml:space="preserve">) Snapshot of the viscosity in a </w:t>
      </w:r>
      <w:r w:rsidRPr="00423135">
        <w:rPr>
          <w:rFonts w:ascii="Times New Roman" w:hAnsi="Times New Roman" w:cs="Times New Roman"/>
          <w:b/>
          <w:bCs/>
        </w:rPr>
        <w:t>Type 3</w:t>
      </w:r>
      <w:r>
        <w:rPr>
          <w:rFonts w:ascii="Times New Roman" w:hAnsi="Times New Roman" w:cs="Times New Roman"/>
        </w:rPr>
        <w:t xml:space="preserve"> </w:t>
      </w:r>
      <w:r>
        <w:rPr>
          <w:rFonts w:ascii="Times New Roman" w:hAnsi="Times New Roman" w:cs="Times New Roman"/>
        </w:rPr>
        <w:lastRenderedPageBreak/>
        <w:t xml:space="preserve">model at 44 Ma </w:t>
      </w:r>
      <w:r>
        <w:rPr>
          <w:rFonts w:ascii="Times New Roman" w:hAnsi="Times New Roman" w:cs="Times New Roman"/>
          <w:lang w:val="en"/>
        </w:rPr>
        <w:t xml:space="preserve">(Run 9, </w:t>
      </w:r>
      <w:r>
        <w:rPr>
          <w:rFonts w:ascii="Times New Roman" w:hAnsi="Times New Roman" w:cs="Times New Roman"/>
          <w:color w:val="0000FF"/>
          <w:lang w:val="en"/>
        </w:rPr>
        <w:t>Figure S1c</w:t>
      </w:r>
      <w:r>
        <w:rPr>
          <w:rFonts w:ascii="Times New Roman" w:hAnsi="Times New Roman" w:cs="Times New Roman"/>
          <w:lang w:val="en"/>
        </w:rPr>
        <w:t>)</w:t>
      </w:r>
      <w:r>
        <w:rPr>
          <w:rFonts w:ascii="Times New Roman" w:hAnsi="Times New Roman" w:cs="Times New Roman"/>
        </w:rPr>
        <w:t>. (</w:t>
      </w:r>
      <w:r>
        <w:rPr>
          <w:rFonts w:ascii="Times New Roman" w:hAnsi="Times New Roman" w:cs="Times New Roman"/>
          <w:b/>
          <w:bCs/>
        </w:rPr>
        <w:t>d</w:t>
      </w:r>
      <w:r>
        <w:rPr>
          <w:rFonts w:ascii="Times New Roman" w:hAnsi="Times New Roman" w:cs="Times New Roman"/>
        </w:rPr>
        <w:t xml:space="preserve">) Snapshot of the viscosity in a </w:t>
      </w:r>
      <w:r w:rsidRPr="00423135">
        <w:rPr>
          <w:rFonts w:ascii="Times New Roman" w:hAnsi="Times New Roman" w:cs="Times New Roman"/>
          <w:b/>
          <w:bCs/>
        </w:rPr>
        <w:t>Type 4</w:t>
      </w:r>
      <w:r>
        <w:rPr>
          <w:rFonts w:ascii="Times New Roman" w:hAnsi="Times New Roman" w:cs="Times New Roman"/>
        </w:rPr>
        <w:t xml:space="preserve"> model at 44 Ma </w:t>
      </w:r>
      <w:r>
        <w:rPr>
          <w:rFonts w:ascii="Times New Roman" w:hAnsi="Times New Roman" w:cs="Times New Roman"/>
          <w:lang w:val="en"/>
        </w:rPr>
        <w:t xml:space="preserve">(Run 13, </w:t>
      </w:r>
      <w:r>
        <w:rPr>
          <w:rFonts w:ascii="Times New Roman" w:hAnsi="Times New Roman" w:cs="Times New Roman"/>
          <w:color w:val="0000FF"/>
          <w:lang w:val="en"/>
        </w:rPr>
        <w:t>Figure S1d</w:t>
      </w:r>
      <w:r>
        <w:rPr>
          <w:rFonts w:ascii="Times New Roman" w:hAnsi="Times New Roman" w:cs="Times New Roman"/>
          <w:lang w:val="en"/>
        </w:rPr>
        <w:t xml:space="preserve">). </w:t>
      </w:r>
      <w:r>
        <w:rPr>
          <w:rFonts w:ascii="Times New Roman" w:hAnsi="Times New Roman" w:cs="Times New Roman"/>
          <w:b/>
          <w:bCs/>
          <w:lang w:val="en"/>
        </w:rPr>
        <w:t xml:space="preserve">(e) </w:t>
      </w:r>
      <w:r>
        <w:rPr>
          <w:rFonts w:ascii="Times New Roman" w:hAnsi="Times New Roman" w:cs="Times New Roman"/>
          <w:lang w:val="en"/>
        </w:rPr>
        <w:t xml:space="preserve">Viscosity structure at 55 Ma for the </w:t>
      </w:r>
      <w:r w:rsidRPr="004D0425">
        <w:rPr>
          <w:rFonts w:ascii="Times New Roman" w:hAnsi="Times New Roman" w:cs="Times New Roman"/>
          <w:b/>
          <w:bCs/>
          <w:lang w:val="en"/>
        </w:rPr>
        <w:t xml:space="preserve">Type </w:t>
      </w:r>
      <w:r>
        <w:rPr>
          <w:rFonts w:ascii="Times New Roman" w:hAnsi="Times New Roman" w:cs="Times New Roman"/>
          <w:b/>
          <w:bCs/>
          <w:lang w:val="en"/>
        </w:rPr>
        <w:t>5</w:t>
      </w:r>
      <w:r w:rsidRPr="004D0425">
        <w:rPr>
          <w:rFonts w:ascii="Times New Roman" w:hAnsi="Times New Roman" w:cs="Times New Roman"/>
          <w:b/>
          <w:bCs/>
          <w:lang w:val="en"/>
        </w:rPr>
        <w:t xml:space="preserve"> </w:t>
      </w:r>
      <w:r>
        <w:rPr>
          <w:rFonts w:ascii="Times New Roman" w:hAnsi="Times New Roman" w:cs="Times New Roman"/>
          <w:lang w:val="en"/>
        </w:rPr>
        <w:t>models (</w:t>
      </w:r>
      <w:r>
        <w:rPr>
          <w:rFonts w:ascii="Times New Roman" w:hAnsi="Times New Roman" w:cs="Times New Roman"/>
          <w:color w:val="0000FF"/>
          <w:lang w:val="en"/>
        </w:rPr>
        <w:t>Figure S1e</w:t>
      </w:r>
      <w:r>
        <w:rPr>
          <w:rFonts w:ascii="Times New Roman" w:hAnsi="Times New Roman" w:cs="Times New Roman"/>
          <w:lang w:val="en"/>
        </w:rPr>
        <w:t>). (</w:t>
      </w:r>
      <w:r>
        <w:rPr>
          <w:rFonts w:ascii="Times New Roman" w:hAnsi="Times New Roman" w:cs="Times New Roman"/>
          <w:b/>
          <w:bCs/>
          <w:lang w:val="en"/>
        </w:rPr>
        <w:t xml:space="preserve">f) </w:t>
      </w:r>
      <w:r>
        <w:rPr>
          <w:rFonts w:ascii="Times New Roman" w:hAnsi="Times New Roman" w:cs="Times New Roman"/>
          <w:lang w:val="en"/>
        </w:rPr>
        <w:t xml:space="preserve">Viscosity structure at 55 Ma for the </w:t>
      </w:r>
      <w:r w:rsidRPr="004D0425">
        <w:rPr>
          <w:rFonts w:ascii="Times New Roman" w:hAnsi="Times New Roman" w:cs="Times New Roman"/>
          <w:b/>
          <w:bCs/>
          <w:lang w:val="en"/>
        </w:rPr>
        <w:t>Type</w:t>
      </w:r>
      <w:r>
        <w:rPr>
          <w:rFonts w:ascii="Times New Roman" w:hAnsi="Times New Roman" w:cs="Times New Roman"/>
          <w:b/>
          <w:bCs/>
          <w:lang w:val="en"/>
        </w:rPr>
        <w:t xml:space="preserve"> 6</w:t>
      </w:r>
      <w:r w:rsidRPr="004D0425">
        <w:rPr>
          <w:rFonts w:ascii="Times New Roman" w:hAnsi="Times New Roman" w:cs="Times New Roman"/>
          <w:b/>
          <w:bCs/>
          <w:lang w:val="en"/>
        </w:rPr>
        <w:t xml:space="preserve"> </w:t>
      </w:r>
      <w:r>
        <w:rPr>
          <w:rFonts w:ascii="Times New Roman" w:hAnsi="Times New Roman" w:cs="Times New Roman"/>
          <w:lang w:val="en"/>
        </w:rPr>
        <w:t>models (</w:t>
      </w:r>
      <w:r>
        <w:rPr>
          <w:rFonts w:ascii="Times New Roman" w:hAnsi="Times New Roman" w:cs="Times New Roman"/>
          <w:color w:val="0000FF"/>
          <w:lang w:val="en"/>
        </w:rPr>
        <w:t>Figure S1f</w:t>
      </w:r>
      <w:r>
        <w:rPr>
          <w:rFonts w:ascii="Times New Roman" w:hAnsi="Times New Roman" w:cs="Times New Roman"/>
          <w:lang w:val="en"/>
        </w:rPr>
        <w:t xml:space="preserve">). </w:t>
      </w:r>
      <w:r w:rsidRPr="004D0425">
        <w:rPr>
          <w:rFonts w:ascii="Times New Roman" w:hAnsi="Times New Roman" w:cs="Times New Roman"/>
          <w:i/>
          <w:iCs/>
        </w:rPr>
        <w:t>ICP-Incoming Continental Plate</w:t>
      </w:r>
      <w:r>
        <w:rPr>
          <w:rFonts w:ascii="Times New Roman" w:hAnsi="Times New Roman" w:cs="Times New Roman"/>
          <w:i/>
          <w:iCs/>
        </w:rPr>
        <w:t xml:space="preserve"> (e.g., Greater India).</w:t>
      </w:r>
      <w:r w:rsidRPr="0026678D">
        <w:rPr>
          <w:rFonts w:ascii="Times New Roman" w:hAnsi="Times New Roman" w:cs="Times New Roman"/>
        </w:rPr>
        <w:t xml:space="preserve"> </w:t>
      </w:r>
      <w:r w:rsidRPr="004D0425">
        <w:rPr>
          <w:rFonts w:ascii="Times New Roman" w:hAnsi="Times New Roman" w:cs="Times New Roman"/>
          <w:i/>
          <w:iCs/>
        </w:rPr>
        <w:t xml:space="preserve">Litho.- Lithosphere. </w:t>
      </w:r>
    </w:p>
    <w:p w14:paraId="103CDCF5" w14:textId="77777777" w:rsidR="004E78F6" w:rsidRDefault="004E78F6">
      <w:pPr>
        <w:spacing w:line="276" w:lineRule="auto"/>
        <w:jc w:val="both"/>
        <w:rPr>
          <w:lang w:val="en"/>
        </w:rPr>
      </w:pPr>
      <w:r>
        <w:rPr>
          <w:lang w:val="en"/>
        </w:rPr>
        <w:br w:type="page"/>
      </w:r>
    </w:p>
    <w:p w14:paraId="09F560D3" w14:textId="77777777" w:rsidR="004E78F6" w:rsidRDefault="004E78F6">
      <w:pPr>
        <w:spacing w:after="40"/>
        <w:jc w:val="center"/>
        <w:rPr>
          <w:lang w:val="en"/>
        </w:rPr>
      </w:pPr>
      <w:r>
        <w:rPr>
          <w:noProof/>
        </w:rPr>
        <w:lastRenderedPageBreak/>
        <w:drawing>
          <wp:inline distT="0" distB="0" distL="0" distR="0" wp14:anchorId="575C13DA" wp14:editId="02727AE0">
            <wp:extent cx="5943600" cy="23101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8" cstate="hqprint">
                      <a:extLst>
                        <a:ext uri="{28A0092B-C50C-407E-A947-70E740481C1C}">
                          <a14:useLocalDpi xmlns:a14="http://schemas.microsoft.com/office/drawing/2010/main" val="0"/>
                        </a:ext>
                      </a:extLst>
                    </a:blip>
                    <a:srcRect/>
                    <a:stretch>
                      <a:fillRect/>
                    </a:stretch>
                  </pic:blipFill>
                  <pic:spPr>
                    <a:xfrm>
                      <a:off x="0" y="0"/>
                      <a:ext cx="5943600" cy="2310130"/>
                    </a:xfrm>
                    <a:prstGeom prst="rect">
                      <a:avLst/>
                    </a:prstGeom>
                    <a:noFill/>
                    <a:ln>
                      <a:noFill/>
                    </a:ln>
                  </pic:spPr>
                </pic:pic>
              </a:graphicData>
            </a:graphic>
          </wp:inline>
        </w:drawing>
      </w:r>
    </w:p>
    <w:p w14:paraId="25902C83" w14:textId="77777777" w:rsidR="004E78F6" w:rsidRDefault="004E78F6" w:rsidP="00706579">
      <w:pPr>
        <w:spacing w:line="276" w:lineRule="auto"/>
        <w:jc w:val="both"/>
        <w:rPr>
          <w:rFonts w:ascii="Times New Roman" w:hAnsi="Times New Roman" w:cs="Times New Roman"/>
          <w:lang w:val="en"/>
        </w:rPr>
      </w:pPr>
      <w:r w:rsidRPr="005E35E9">
        <w:rPr>
          <w:rFonts w:ascii="Times New Roman" w:hAnsi="Times New Roman" w:cs="Times New Roman"/>
          <w:b/>
          <w:bCs/>
          <w:lang w:val="en"/>
        </w:rPr>
        <w:t>Figure S3</w:t>
      </w:r>
      <w:r>
        <w:rPr>
          <w:rFonts w:ascii="Times New Roman" w:hAnsi="Times New Roman" w:cs="Times New Roman"/>
          <w:lang w:val="en"/>
        </w:rPr>
        <w:t xml:space="preserve">. </w:t>
      </w:r>
      <w:r>
        <w:rPr>
          <w:rFonts w:ascii="Times New Roman" w:hAnsi="Times New Roman" w:cs="Times New Roman"/>
          <w:b/>
          <w:bCs/>
          <w:lang w:val="en"/>
        </w:rPr>
        <w:t>Solidi for the crustal and mantle materials</w:t>
      </w:r>
      <w:r>
        <w:rPr>
          <w:rFonts w:ascii="Times New Roman" w:hAnsi="Times New Roman" w:cs="Times New Roman"/>
          <w:lang w:val="en"/>
        </w:rPr>
        <w:t xml:space="preserve"> </w:t>
      </w:r>
      <w:r w:rsidRPr="00322CAC">
        <w:rPr>
          <w:rFonts w:ascii="Times New Roman" w:hAnsi="Times New Roman" w:cs="Times New Roman"/>
          <w:noProof/>
          <w:vertAlign w:val="superscript"/>
          <w:lang w:val="en"/>
        </w:rPr>
        <w:t>54,60</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xml:space="preserve">) The solidus for the crustal materials is based on lab experiments </w:t>
      </w:r>
      <w:r w:rsidRPr="00322CAC">
        <w:rPr>
          <w:rFonts w:ascii="Times New Roman" w:hAnsi="Times New Roman" w:cs="Times New Roman"/>
          <w:noProof/>
          <w:vertAlign w:val="superscript"/>
          <w:lang w:val="en"/>
        </w:rPr>
        <w:t>71</w:t>
      </w:r>
      <w:r>
        <w:rPr>
          <w:rFonts w:ascii="Times New Roman" w:hAnsi="Times New Roman" w:cs="Times New Roman"/>
          <w:lang w:val="en"/>
        </w:rPr>
        <w:t xml:space="preserve">. </w:t>
      </w:r>
      <w:r w:rsidRPr="007D71DF">
        <w:rPr>
          <w:rFonts w:ascii="Times New Roman" w:hAnsi="Times New Roman" w:cs="Times New Roman"/>
          <w:lang w:val="en"/>
        </w:rPr>
        <w:t>2%</w:t>
      </w:r>
      <w:r>
        <w:rPr>
          <w:rFonts w:ascii="Times New Roman" w:hAnsi="Times New Roman" w:cs="Times New Roman"/>
          <w:lang w:val="en"/>
        </w:rPr>
        <w:t xml:space="preserve"> </w:t>
      </w:r>
      <w:r w:rsidRPr="007D71DF">
        <w:rPr>
          <w:rFonts w:ascii="Times New Roman" w:hAnsi="Times New Roman" w:cs="Times New Roman"/>
          <w:lang w:val="en"/>
        </w:rPr>
        <w:t>means that amphibolite has experienced 2% mel</w:t>
      </w:r>
      <w:r>
        <w:rPr>
          <w:rFonts w:ascii="Times New Roman" w:hAnsi="Times New Roman" w:cs="Times New Roman"/>
          <w:lang w:val="en"/>
        </w:rPr>
        <w:t>ting. Liquidus equals 100% melting degree. (</w:t>
      </w:r>
      <w:r>
        <w:rPr>
          <w:rFonts w:ascii="Times New Roman" w:hAnsi="Times New Roman" w:cs="Times New Roman"/>
          <w:b/>
          <w:bCs/>
          <w:lang w:val="en"/>
        </w:rPr>
        <w:t>b</w:t>
      </w:r>
      <w:r>
        <w:rPr>
          <w:rFonts w:ascii="Times New Roman" w:hAnsi="Times New Roman" w:cs="Times New Roman"/>
          <w:lang w:val="en"/>
        </w:rPr>
        <w:t>)-(</w:t>
      </w:r>
      <w:r>
        <w:rPr>
          <w:rFonts w:ascii="Times New Roman" w:hAnsi="Times New Roman" w:cs="Times New Roman"/>
          <w:b/>
          <w:bCs/>
          <w:lang w:val="en"/>
        </w:rPr>
        <w:t>c</w:t>
      </w:r>
      <w:r>
        <w:rPr>
          <w:rFonts w:ascii="Times New Roman" w:hAnsi="Times New Roman" w:cs="Times New Roman"/>
          <w:lang w:val="en"/>
        </w:rPr>
        <w:t xml:space="preserve">) The solidus for the mantle materials is based on Morgan (2001) and Katz et al. (2003). “0.1 bulk wt. %” refers to the water content we use for calculating the solidus. The fertile peridotite solidus is used for simulating the melting of the asthenospheric mantle and the weak overriding-plate lithospheric mantle (e.g., the metasomatized Tibetan lithospheric mantle) </w:t>
      </w:r>
      <w:r w:rsidRPr="00322CAC">
        <w:rPr>
          <w:rFonts w:ascii="Times New Roman" w:hAnsi="Times New Roman" w:cs="Times New Roman"/>
          <w:noProof/>
          <w:vertAlign w:val="superscript"/>
          <w:lang w:val="en"/>
        </w:rPr>
        <w:t>27,30,34</w:t>
      </w:r>
      <w:r>
        <w:rPr>
          <w:rFonts w:ascii="Times New Roman" w:hAnsi="Times New Roman" w:cs="Times New Roman"/>
          <w:lang w:val="en"/>
        </w:rPr>
        <w:t>. The refractory mantle solidus is used for calculating the melting of other mantle materials.</w:t>
      </w:r>
    </w:p>
    <w:p w14:paraId="2708575D" w14:textId="77777777" w:rsidR="004E78F6" w:rsidRDefault="004E78F6">
      <w:pPr>
        <w:rPr>
          <w:lang w:val="en"/>
        </w:rPr>
      </w:pPr>
      <w:r>
        <w:rPr>
          <w:lang w:val="en"/>
        </w:rPr>
        <w:br w:type="page"/>
      </w:r>
    </w:p>
    <w:p w14:paraId="060C3FFD" w14:textId="77777777" w:rsidR="004E78F6" w:rsidRDefault="004E78F6" w:rsidP="00E43C42">
      <w:pPr>
        <w:spacing w:after="40"/>
        <w:jc w:val="center"/>
      </w:pPr>
      <w:r>
        <w:rPr>
          <w:noProof/>
        </w:rPr>
        <w:lastRenderedPageBreak/>
        <w:drawing>
          <wp:inline distT="0" distB="0" distL="0" distR="0" wp14:anchorId="7CE08D55" wp14:editId="4D9AEB4B">
            <wp:extent cx="5608320" cy="8229600"/>
            <wp:effectExtent l="0" t="0" r="0" b="0"/>
            <wp:docPr id="20" name="图片 2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示&#10;&#10;描述已自动生成"/>
                    <pic:cNvPicPr>
                      <a:picLocks noChangeAspect="1" noChangeArrowheads="1"/>
                    </pic:cNvPicPr>
                  </pic:nvPicPr>
                  <pic:blipFill>
                    <a:blip r:embed="rId9" cstate="hqprint">
                      <a:extLst>
                        <a:ext uri="{28A0092B-C50C-407E-A947-70E740481C1C}">
                          <a14:useLocalDpi xmlns:a14="http://schemas.microsoft.com/office/drawing/2010/main" val="0"/>
                        </a:ext>
                      </a:extLst>
                    </a:blip>
                    <a:srcRect/>
                    <a:stretch>
                      <a:fillRect/>
                    </a:stretch>
                  </pic:blipFill>
                  <pic:spPr bwMode="auto">
                    <a:xfrm>
                      <a:off x="0" y="0"/>
                      <a:ext cx="5608320" cy="8229600"/>
                    </a:xfrm>
                    <a:prstGeom prst="rect">
                      <a:avLst/>
                    </a:prstGeom>
                    <a:noFill/>
                    <a:ln>
                      <a:noFill/>
                    </a:ln>
                  </pic:spPr>
                </pic:pic>
              </a:graphicData>
            </a:graphic>
          </wp:inline>
        </w:drawing>
      </w:r>
    </w:p>
    <w:p w14:paraId="1EFF7F0A" w14:textId="77777777" w:rsidR="004E78F6" w:rsidRDefault="004E78F6" w:rsidP="00131422">
      <w:pPr>
        <w:jc w:val="both"/>
        <w:rPr>
          <w:rFonts w:ascii="Times New Roman" w:hAnsi="Times New Roman" w:cs="Times New Roman"/>
          <w:lang w:val="en"/>
        </w:rPr>
      </w:pPr>
      <w:r w:rsidRPr="005E35E9">
        <w:rPr>
          <w:rFonts w:ascii="Times New Roman" w:hAnsi="Times New Roman" w:cs="Times New Roman"/>
          <w:b/>
          <w:bCs/>
          <w:lang w:val="en"/>
        </w:rPr>
        <w:lastRenderedPageBreak/>
        <w:t>Figure S4.</w:t>
      </w:r>
      <w:r>
        <w:rPr>
          <w:rFonts w:ascii="Times New Roman" w:hAnsi="Times New Roman" w:cs="Times New Roman"/>
          <w:b/>
          <w:bCs/>
          <w:lang w:val="en"/>
        </w:rPr>
        <w:t xml:space="preserve"> Seismic velocity structure beneath the Indo-Eurasian Orogeny and density variation in the numerical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xml:space="preserve">) Results of P-wave seismic tomography along the four transactions </w:t>
      </w:r>
      <w:r w:rsidRPr="00322CAC">
        <w:rPr>
          <w:rFonts w:ascii="Times New Roman" w:hAnsi="Times New Roman" w:cs="Times New Roman"/>
          <w:noProof/>
          <w:vertAlign w:val="superscript"/>
          <w:lang w:val="en"/>
        </w:rPr>
        <w:t>45,90</w:t>
      </w:r>
      <w:r>
        <w:rPr>
          <w:rFonts w:ascii="Times New Roman" w:hAnsi="Times New Roman" w:cs="Times New Roman"/>
          <w:lang w:val="en"/>
        </w:rPr>
        <w:t>. In the seismic tomography figures, the background is based on Li et al., 2008, and the dashed lines mark ranges of high-velocity anomalies (</w:t>
      </w:r>
      <w:proofErr w:type="spellStart"/>
      <w:r>
        <w:rPr>
          <w:rFonts w:ascii="Times New Roman" w:hAnsi="Times New Roman" w:cs="Times New Roman"/>
          <w:lang w:val="en"/>
        </w:rPr>
        <w:t>dVp</w:t>
      </w:r>
      <w:proofErr w:type="spellEnd"/>
      <w:r>
        <w:rPr>
          <w:rFonts w:ascii="Times New Roman" w:hAnsi="Times New Roman" w:cs="Times New Roman"/>
          <w:lang w:val="en"/>
        </w:rPr>
        <w:t>/</w:t>
      </w:r>
      <w:proofErr w:type="spellStart"/>
      <w:r>
        <w:rPr>
          <w:rFonts w:ascii="Times New Roman" w:hAnsi="Times New Roman" w:cs="Times New Roman"/>
          <w:lang w:val="en"/>
        </w:rPr>
        <w:t>Vp</w:t>
      </w:r>
      <w:proofErr w:type="spellEnd"/>
      <w:r>
        <w:rPr>
          <w:rFonts w:ascii="Times New Roman" w:hAnsi="Times New Roman" w:cs="Times New Roman"/>
          <w:lang w:val="en"/>
        </w:rPr>
        <w:t xml:space="preserve"> = ~0.5%) in Simmons et al., 2012. The transaction distribution is based on Parsons et al., 2020. The data for drawing seismic tomography profiles is from </w:t>
      </w:r>
      <w:proofErr w:type="spellStart"/>
      <w:r>
        <w:rPr>
          <w:rFonts w:ascii="Times New Roman" w:hAnsi="Times New Roman" w:cs="Times New Roman"/>
          <w:lang w:val="en"/>
        </w:rPr>
        <w:t>SubMachine</w:t>
      </w:r>
      <w:proofErr w:type="spellEnd"/>
      <w:r>
        <w:rPr>
          <w:rFonts w:ascii="Times New Roman" w:hAnsi="Times New Roman" w:cs="Times New Roman"/>
          <w:lang w:val="en"/>
        </w:rPr>
        <w:t xml:space="preserve"> </w:t>
      </w:r>
      <w:r w:rsidRPr="00322CAC">
        <w:rPr>
          <w:rFonts w:ascii="Times New Roman" w:hAnsi="Times New Roman" w:cs="Times New Roman"/>
          <w:noProof/>
          <w:vertAlign w:val="superscript"/>
          <w:lang w:val="en"/>
        </w:rPr>
        <w:t>91</w:t>
      </w:r>
      <w:r>
        <w:rPr>
          <w:rFonts w:ascii="Times New Roman" w:hAnsi="Times New Roman" w:cs="Times New Roman"/>
          <w:lang w:val="en"/>
        </w:rPr>
        <w:t xml:space="preserve">. H- Himalayas, L- Lhasa terrane, Q- Qiangtang terrane, H-S- Hoh </w:t>
      </w:r>
      <w:proofErr w:type="spellStart"/>
      <w:r>
        <w:rPr>
          <w:rFonts w:ascii="Times New Roman" w:hAnsi="Times New Roman" w:cs="Times New Roman"/>
          <w:lang w:val="en"/>
        </w:rPr>
        <w:t>Xil</w:t>
      </w:r>
      <w:proofErr w:type="spellEnd"/>
      <w:r>
        <w:rPr>
          <w:rFonts w:ascii="Times New Roman" w:hAnsi="Times New Roman" w:cs="Times New Roman"/>
          <w:lang w:val="en"/>
        </w:rPr>
        <w:t xml:space="preserve">- </w:t>
      </w:r>
      <w:proofErr w:type="spellStart"/>
      <w:r>
        <w:rPr>
          <w:rFonts w:ascii="Times New Roman" w:hAnsi="Times New Roman" w:cs="Times New Roman"/>
          <w:lang w:val="en"/>
        </w:rPr>
        <w:t>Songpan</w:t>
      </w:r>
      <w:proofErr w:type="spellEnd"/>
      <w:r>
        <w:rPr>
          <w:rFonts w:ascii="Times New Roman" w:hAnsi="Times New Roman" w:cs="Times New Roman"/>
          <w:lang w:val="en"/>
        </w:rPr>
        <w:t xml:space="preserve"> </w:t>
      </w:r>
      <w:proofErr w:type="spellStart"/>
      <w:r>
        <w:rPr>
          <w:rFonts w:ascii="Times New Roman" w:hAnsi="Times New Roman" w:cs="Times New Roman"/>
          <w:lang w:val="en"/>
        </w:rPr>
        <w:t>Ganzi</w:t>
      </w:r>
      <w:proofErr w:type="spellEnd"/>
      <w:r>
        <w:rPr>
          <w:rFonts w:ascii="Times New Roman" w:hAnsi="Times New Roman" w:cs="Times New Roman"/>
          <w:lang w:val="en"/>
        </w:rPr>
        <w:t xml:space="preserve"> terranes, K-Q-Q- Kunlun-</w:t>
      </w:r>
      <w:proofErr w:type="spellStart"/>
      <w:r>
        <w:rPr>
          <w:rFonts w:ascii="Times New Roman" w:hAnsi="Times New Roman" w:cs="Times New Roman"/>
          <w:lang w:val="en"/>
        </w:rPr>
        <w:t>Qaidam</w:t>
      </w:r>
      <w:proofErr w:type="spellEnd"/>
      <w:r>
        <w:rPr>
          <w:rFonts w:ascii="Times New Roman" w:hAnsi="Times New Roman" w:cs="Times New Roman"/>
          <w:lang w:val="en"/>
        </w:rPr>
        <w:t>-</w:t>
      </w:r>
      <w:proofErr w:type="spellStart"/>
      <w:r>
        <w:rPr>
          <w:rFonts w:ascii="Times New Roman" w:hAnsi="Times New Roman" w:cs="Times New Roman"/>
          <w:lang w:val="en"/>
        </w:rPr>
        <w:t>Qilan</w:t>
      </w:r>
      <w:proofErr w:type="spellEnd"/>
      <w:r>
        <w:rPr>
          <w:rFonts w:ascii="Times New Roman" w:hAnsi="Times New Roman" w:cs="Times New Roman"/>
          <w:lang w:val="en"/>
        </w:rPr>
        <w:t xml:space="preserve"> blocks. (</w:t>
      </w:r>
      <w:r>
        <w:rPr>
          <w:rFonts w:ascii="Times New Roman" w:hAnsi="Times New Roman" w:cs="Times New Roman"/>
          <w:b/>
          <w:bCs/>
          <w:lang w:val="en"/>
        </w:rPr>
        <w:t>b</w:t>
      </w:r>
      <w:r>
        <w:rPr>
          <w:rFonts w:ascii="Times New Roman" w:hAnsi="Times New Roman" w:cs="Times New Roman"/>
          <w:lang w:val="en"/>
        </w:rPr>
        <w:t xml:space="preserve">) Density perturbation at the end of a </w:t>
      </w:r>
      <w:r w:rsidRPr="00423135">
        <w:rPr>
          <w:rFonts w:ascii="Times New Roman" w:hAnsi="Times New Roman" w:cs="Times New Roman"/>
          <w:b/>
          <w:bCs/>
          <w:lang w:val="en"/>
        </w:rPr>
        <w:t>Type 1</w:t>
      </w:r>
      <w:r>
        <w:rPr>
          <w:rFonts w:ascii="Times New Roman" w:hAnsi="Times New Roman" w:cs="Times New Roman"/>
          <w:lang w:val="en"/>
        </w:rPr>
        <w:t xml:space="preserve"> model (Run 4). The density variation is calculated regarding the 1D density transection. </w:t>
      </w:r>
      <w:proofErr w:type="spellStart"/>
      <w:r>
        <w:rPr>
          <w:rFonts w:ascii="Times New Roman" w:hAnsi="Times New Roman" w:cs="Times New Roman"/>
          <w:lang w:val="en"/>
        </w:rPr>
        <w:t>rhs</w:t>
      </w:r>
      <w:proofErr w:type="spellEnd"/>
      <w:r>
        <w:rPr>
          <w:rFonts w:ascii="Times New Roman" w:hAnsi="Times New Roman" w:cs="Times New Roman"/>
          <w:lang w:val="en"/>
        </w:rPr>
        <w:t>- right-hand side. (</w:t>
      </w:r>
      <w:r>
        <w:rPr>
          <w:rFonts w:ascii="Times New Roman" w:hAnsi="Times New Roman" w:cs="Times New Roman"/>
          <w:b/>
          <w:bCs/>
          <w:lang w:val="en"/>
        </w:rPr>
        <w:t>c</w:t>
      </w:r>
      <w:r>
        <w:rPr>
          <w:rFonts w:ascii="Times New Roman" w:hAnsi="Times New Roman" w:cs="Times New Roman"/>
          <w:lang w:val="en"/>
        </w:rPr>
        <w:t xml:space="preserve">) Density perturbation at the end of a </w:t>
      </w:r>
      <w:r w:rsidRPr="00697B0C">
        <w:rPr>
          <w:rFonts w:ascii="Times New Roman" w:hAnsi="Times New Roman" w:cs="Times New Roman"/>
          <w:b/>
          <w:bCs/>
          <w:lang w:val="en"/>
        </w:rPr>
        <w:t xml:space="preserve">Type </w:t>
      </w:r>
      <w:r>
        <w:rPr>
          <w:rFonts w:ascii="Times New Roman" w:hAnsi="Times New Roman" w:cs="Times New Roman"/>
          <w:b/>
          <w:bCs/>
          <w:lang w:val="en"/>
        </w:rPr>
        <w:t xml:space="preserve">2 </w:t>
      </w:r>
      <w:r>
        <w:rPr>
          <w:rFonts w:ascii="Times New Roman" w:hAnsi="Times New Roman" w:cs="Times New Roman"/>
          <w:lang w:val="en"/>
        </w:rPr>
        <w:t>model (Run 6). (</w:t>
      </w:r>
      <w:r>
        <w:rPr>
          <w:rFonts w:ascii="Times New Roman" w:hAnsi="Times New Roman" w:cs="Times New Roman"/>
          <w:b/>
          <w:bCs/>
          <w:lang w:val="en"/>
        </w:rPr>
        <w:t>d</w:t>
      </w:r>
      <w:r>
        <w:rPr>
          <w:rFonts w:ascii="Times New Roman" w:hAnsi="Times New Roman" w:cs="Times New Roman"/>
          <w:lang w:val="en"/>
        </w:rPr>
        <w:t xml:space="preserve">) Density perturbation at the end of a </w:t>
      </w:r>
      <w:r w:rsidRPr="00697B0C">
        <w:rPr>
          <w:rFonts w:ascii="Times New Roman" w:hAnsi="Times New Roman" w:cs="Times New Roman"/>
          <w:b/>
          <w:bCs/>
          <w:lang w:val="en"/>
        </w:rPr>
        <w:t xml:space="preserve">Type </w:t>
      </w:r>
      <w:r>
        <w:rPr>
          <w:rFonts w:ascii="Times New Roman" w:hAnsi="Times New Roman" w:cs="Times New Roman"/>
          <w:b/>
          <w:bCs/>
          <w:lang w:val="en"/>
        </w:rPr>
        <w:t xml:space="preserve">3 </w:t>
      </w:r>
      <w:r>
        <w:rPr>
          <w:rFonts w:ascii="Times New Roman" w:hAnsi="Times New Roman" w:cs="Times New Roman"/>
          <w:lang w:val="en"/>
        </w:rPr>
        <w:t>model (Run 9). (</w:t>
      </w:r>
      <w:r>
        <w:rPr>
          <w:rFonts w:ascii="Times New Roman" w:hAnsi="Times New Roman" w:cs="Times New Roman"/>
          <w:b/>
          <w:bCs/>
          <w:lang w:val="en"/>
        </w:rPr>
        <w:t>e</w:t>
      </w:r>
      <w:r>
        <w:rPr>
          <w:rFonts w:ascii="Times New Roman" w:hAnsi="Times New Roman" w:cs="Times New Roman"/>
          <w:lang w:val="en"/>
        </w:rPr>
        <w:t xml:space="preserve">) Density perturbation at the end of a </w:t>
      </w:r>
      <w:r w:rsidRPr="00697B0C">
        <w:rPr>
          <w:rFonts w:ascii="Times New Roman" w:hAnsi="Times New Roman" w:cs="Times New Roman"/>
          <w:b/>
          <w:bCs/>
          <w:lang w:val="en"/>
        </w:rPr>
        <w:t xml:space="preserve">Type </w:t>
      </w:r>
      <w:r>
        <w:rPr>
          <w:rFonts w:ascii="Times New Roman" w:hAnsi="Times New Roman" w:cs="Times New Roman"/>
          <w:lang w:val="en"/>
        </w:rPr>
        <w:t>4 model (Run 13). (</w:t>
      </w:r>
      <w:r>
        <w:rPr>
          <w:rFonts w:ascii="Times New Roman" w:hAnsi="Times New Roman" w:cs="Times New Roman"/>
          <w:b/>
          <w:bCs/>
          <w:lang w:val="en"/>
        </w:rPr>
        <w:t>f</w:t>
      </w:r>
      <w:r>
        <w:rPr>
          <w:rFonts w:ascii="Times New Roman" w:hAnsi="Times New Roman" w:cs="Times New Roman"/>
          <w:lang w:val="en"/>
        </w:rPr>
        <w:t xml:space="preserve">) Density perturbation at the end of a </w:t>
      </w:r>
      <w:r w:rsidRPr="00697B0C">
        <w:rPr>
          <w:rFonts w:ascii="Times New Roman" w:hAnsi="Times New Roman" w:cs="Times New Roman"/>
          <w:b/>
          <w:bCs/>
          <w:lang w:val="en"/>
        </w:rPr>
        <w:t xml:space="preserve">Type </w:t>
      </w:r>
      <w:r>
        <w:rPr>
          <w:rFonts w:ascii="Times New Roman" w:hAnsi="Times New Roman" w:cs="Times New Roman"/>
          <w:lang w:val="en"/>
        </w:rPr>
        <w:t>5 model (Run 18). (</w:t>
      </w:r>
      <w:r>
        <w:rPr>
          <w:rFonts w:ascii="Times New Roman" w:hAnsi="Times New Roman" w:cs="Times New Roman"/>
          <w:b/>
          <w:bCs/>
          <w:lang w:val="en"/>
        </w:rPr>
        <w:t>g</w:t>
      </w:r>
      <w:r>
        <w:rPr>
          <w:rFonts w:ascii="Times New Roman" w:hAnsi="Times New Roman" w:cs="Times New Roman"/>
          <w:lang w:val="en"/>
        </w:rPr>
        <w:t xml:space="preserve">) Density perturbation at the end of a </w:t>
      </w:r>
      <w:r w:rsidRPr="00697B0C">
        <w:rPr>
          <w:rFonts w:ascii="Times New Roman" w:hAnsi="Times New Roman" w:cs="Times New Roman"/>
          <w:b/>
          <w:bCs/>
          <w:lang w:val="en"/>
        </w:rPr>
        <w:t xml:space="preserve">Type </w:t>
      </w:r>
      <w:r>
        <w:rPr>
          <w:rFonts w:ascii="Times New Roman" w:hAnsi="Times New Roman" w:cs="Times New Roman"/>
          <w:b/>
          <w:bCs/>
          <w:lang w:val="en"/>
        </w:rPr>
        <w:t xml:space="preserve">6 </w:t>
      </w:r>
      <w:r w:rsidRPr="00423135">
        <w:rPr>
          <w:rFonts w:ascii="Times New Roman" w:hAnsi="Times New Roman" w:cs="Times New Roman"/>
          <w:lang w:val="en"/>
        </w:rPr>
        <w:t>model</w:t>
      </w:r>
      <w:r>
        <w:rPr>
          <w:rFonts w:ascii="Times New Roman" w:hAnsi="Times New Roman" w:cs="Times New Roman"/>
          <w:b/>
          <w:bCs/>
          <w:lang w:val="en"/>
        </w:rPr>
        <w:t xml:space="preserve"> </w:t>
      </w:r>
      <w:r>
        <w:rPr>
          <w:rFonts w:ascii="Times New Roman" w:hAnsi="Times New Roman" w:cs="Times New Roman"/>
          <w:lang w:val="en"/>
        </w:rPr>
        <w:t xml:space="preserve">(Run 23). The variation of the upper mantle density is found to have a crudely linear correlation with that of P-wave seismic velocity </w:t>
      </w:r>
      <w:r w:rsidRPr="00322CAC">
        <w:rPr>
          <w:rFonts w:ascii="Times New Roman" w:hAnsi="Times New Roman" w:cs="Times New Roman"/>
          <w:noProof/>
          <w:vertAlign w:val="superscript"/>
          <w:lang w:val="en"/>
        </w:rPr>
        <w:t>92</w:t>
      </w:r>
      <w:r>
        <w:rPr>
          <w:rFonts w:ascii="Times New Roman" w:hAnsi="Times New Roman" w:cs="Times New Roman"/>
          <w:lang w:val="en"/>
        </w:rPr>
        <w:t>.</w:t>
      </w:r>
    </w:p>
    <w:p w14:paraId="4AB969F7" w14:textId="77777777" w:rsidR="004E78F6" w:rsidRDefault="004E78F6">
      <w:pPr>
        <w:jc w:val="both"/>
        <w:rPr>
          <w:lang w:val="en"/>
        </w:rPr>
      </w:pPr>
      <w:r>
        <w:rPr>
          <w:lang w:val="en"/>
        </w:rPr>
        <w:br w:type="page"/>
      </w:r>
    </w:p>
    <w:p w14:paraId="4622FF93" w14:textId="77777777" w:rsidR="004E78F6" w:rsidRDefault="004E78F6">
      <w:pPr>
        <w:spacing w:after="0"/>
        <w:jc w:val="center"/>
        <w:rPr>
          <w:rFonts w:ascii="Times New Roman" w:hAnsi="Times New Roman" w:cs="Times New Roman"/>
          <w:b/>
          <w:bCs/>
          <w:lang w:val="en"/>
        </w:rPr>
      </w:pPr>
      <w:r>
        <w:rPr>
          <w:noProof/>
        </w:rPr>
        <w:lastRenderedPageBreak/>
        <w:drawing>
          <wp:inline distT="0" distB="0" distL="0" distR="0" wp14:anchorId="4B417EED" wp14:editId="2AAF2C68">
            <wp:extent cx="5009480" cy="7772400"/>
            <wp:effectExtent l="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cstate="hqprint">
                      <a:extLst>
                        <a:ext uri="{28A0092B-C50C-407E-A947-70E740481C1C}">
                          <a14:useLocalDpi xmlns:a14="http://schemas.microsoft.com/office/drawing/2010/main" val="0"/>
                        </a:ext>
                      </a:extLst>
                    </a:blip>
                    <a:srcRect/>
                    <a:stretch>
                      <a:fillRect/>
                    </a:stretch>
                  </pic:blipFill>
                  <pic:spPr bwMode="auto">
                    <a:xfrm>
                      <a:off x="0" y="0"/>
                      <a:ext cx="5009480" cy="7772400"/>
                    </a:xfrm>
                    <a:prstGeom prst="rect">
                      <a:avLst/>
                    </a:prstGeom>
                    <a:noFill/>
                    <a:ln>
                      <a:noFill/>
                    </a:ln>
                  </pic:spPr>
                </pic:pic>
              </a:graphicData>
            </a:graphic>
          </wp:inline>
        </w:drawing>
      </w:r>
      <w:r w:rsidDel="00D20F39">
        <w:rPr>
          <w:noProof/>
        </w:rPr>
        <w:t xml:space="preserve"> </w:t>
      </w:r>
    </w:p>
    <w:p w14:paraId="47B371E2" w14:textId="77777777" w:rsidR="004E78F6" w:rsidRDefault="004E78F6">
      <w:pPr>
        <w:spacing w:after="0"/>
        <w:jc w:val="both"/>
        <w:rPr>
          <w:rFonts w:ascii="Times New Roman" w:hAnsi="Times New Roman" w:cs="Times New Roman"/>
          <w:lang w:val="en"/>
        </w:rPr>
      </w:pPr>
      <w:r w:rsidRPr="005E35E9">
        <w:rPr>
          <w:rFonts w:ascii="Times New Roman" w:hAnsi="Times New Roman" w:cs="Times New Roman"/>
          <w:b/>
          <w:bCs/>
          <w:lang w:val="en"/>
        </w:rPr>
        <w:t>Figure S5</w:t>
      </w:r>
      <w:r w:rsidRPr="005E35E9">
        <w:rPr>
          <w:rFonts w:ascii="Times New Roman" w:hAnsi="Times New Roman" w:cs="Times New Roman"/>
          <w:lang w:val="en"/>
        </w:rPr>
        <w:t>.</w:t>
      </w:r>
      <w:r>
        <w:rPr>
          <w:rFonts w:ascii="Times New Roman" w:hAnsi="Times New Roman" w:cs="Times New Roman"/>
          <w:lang w:val="en"/>
        </w:rPr>
        <w:t xml:space="preserve"> </w:t>
      </w:r>
      <w:r>
        <w:rPr>
          <w:rFonts w:ascii="Times New Roman" w:hAnsi="Times New Roman" w:cs="Times New Roman"/>
          <w:b/>
          <w:bCs/>
          <w:lang w:val="en"/>
        </w:rPr>
        <w:t>Evolution of material field and surface topography in the Type 1 models (purely continental subduction)</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 (</w:t>
      </w:r>
      <w:r>
        <w:rPr>
          <w:rFonts w:ascii="Times New Roman" w:hAnsi="Times New Roman" w:cs="Times New Roman"/>
          <w:b/>
          <w:bCs/>
          <w:lang w:val="en"/>
        </w:rPr>
        <w:t>b</w:t>
      </w:r>
      <w:r>
        <w:rPr>
          <w:rFonts w:ascii="Times New Roman" w:hAnsi="Times New Roman" w:cs="Times New Roman"/>
          <w:lang w:val="en"/>
        </w:rPr>
        <w:t>) Results of Run 2. (</w:t>
      </w:r>
      <w:r>
        <w:rPr>
          <w:rFonts w:ascii="Times New Roman" w:hAnsi="Times New Roman" w:cs="Times New Roman"/>
          <w:b/>
          <w:bCs/>
          <w:lang w:val="en"/>
        </w:rPr>
        <w:t>c</w:t>
      </w:r>
      <w:r>
        <w:rPr>
          <w:rFonts w:ascii="Times New Roman" w:hAnsi="Times New Roman" w:cs="Times New Roman"/>
          <w:lang w:val="en"/>
        </w:rPr>
        <w:t>) Results of Run 3. (</w:t>
      </w:r>
      <w:r>
        <w:rPr>
          <w:rFonts w:ascii="Times New Roman" w:hAnsi="Times New Roman" w:cs="Times New Roman"/>
          <w:b/>
          <w:bCs/>
          <w:lang w:val="en"/>
        </w:rPr>
        <w:t>d</w:t>
      </w:r>
      <w:r>
        <w:rPr>
          <w:rFonts w:ascii="Times New Roman" w:hAnsi="Times New Roman" w:cs="Times New Roman"/>
          <w:lang w:val="en"/>
        </w:rPr>
        <w:t xml:space="preserve">) Results of </w:t>
      </w:r>
      <w:r>
        <w:rPr>
          <w:rFonts w:ascii="Times New Roman" w:hAnsi="Times New Roman" w:cs="Times New Roman"/>
          <w:lang w:val="en"/>
        </w:rPr>
        <w:lastRenderedPageBreak/>
        <w:t>Run 4. The green shading with a number in each bottom panel illustrates the width of the accreted crust (</w:t>
      </w:r>
      <w:r>
        <w:rPr>
          <w:rFonts w:ascii="Times New Roman" w:hAnsi="Times New Roman" w:cs="Times New Roman"/>
          <w:i/>
          <w:iCs/>
          <w:lang w:val="en"/>
        </w:rPr>
        <w:t>e.g.</w:t>
      </w:r>
      <w:r>
        <w:rPr>
          <w:rFonts w:ascii="Times New Roman" w:hAnsi="Times New Roman" w:cs="Times New Roman"/>
          <w:lang w:val="en"/>
        </w:rPr>
        <w:t xml:space="preserve">, the Tethyan-Greater Himalayas). The key parameters of these models are in Table S1-S2. Other plotting habits are the same as those in Figure 4. </w:t>
      </w:r>
      <w:r>
        <w:rPr>
          <w:rFonts w:ascii="Times New Roman" w:hAnsi="Times New Roman" w:cs="Times New Roman"/>
        </w:rPr>
        <w:t>ICP-Incoming Continental Plate (e.g., Greater India). Lith.- Lithosphere.</w:t>
      </w:r>
    </w:p>
    <w:p w14:paraId="4A24CFE1" w14:textId="77777777" w:rsidR="004E78F6" w:rsidRDefault="004E78F6">
      <w:pPr>
        <w:jc w:val="center"/>
        <w:rPr>
          <w:lang w:val="en"/>
        </w:rPr>
      </w:pPr>
      <w:r>
        <w:rPr>
          <w:noProof/>
        </w:rPr>
        <w:lastRenderedPageBreak/>
        <w:drawing>
          <wp:inline distT="0" distB="0" distL="0" distR="0" wp14:anchorId="1D47513F" wp14:editId="5404B1F5">
            <wp:extent cx="4996286" cy="7772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4996286" cy="7772400"/>
                    </a:xfrm>
                    <a:prstGeom prst="rect">
                      <a:avLst/>
                    </a:prstGeom>
                    <a:noFill/>
                    <a:ln>
                      <a:noFill/>
                    </a:ln>
                  </pic:spPr>
                </pic:pic>
              </a:graphicData>
            </a:graphic>
          </wp:inline>
        </w:drawing>
      </w:r>
      <w:r w:rsidDel="00044347">
        <w:rPr>
          <w:noProof/>
        </w:rPr>
        <w:t xml:space="preserve"> </w:t>
      </w:r>
    </w:p>
    <w:p w14:paraId="0147D058" w14:textId="77777777" w:rsidR="004E78F6" w:rsidRDefault="004E78F6">
      <w:pPr>
        <w:rPr>
          <w:rFonts w:ascii="Times New Roman" w:hAnsi="Times New Roman" w:cs="Times New Roman"/>
          <w:lang w:val="en"/>
        </w:rPr>
      </w:pPr>
      <w:r>
        <w:rPr>
          <w:rFonts w:ascii="Times New Roman" w:hAnsi="Times New Roman" w:cs="Times New Roman"/>
          <w:b/>
          <w:bCs/>
          <w:lang w:val="en"/>
        </w:rPr>
        <w:t>Figure S5</w:t>
      </w:r>
      <w:r>
        <w:rPr>
          <w:rFonts w:ascii="Times New Roman" w:hAnsi="Times New Roman" w:cs="Times New Roman"/>
          <w:lang w:val="en"/>
        </w:rPr>
        <w:t xml:space="preserve"> (continued).</w:t>
      </w:r>
      <w:r>
        <w:rPr>
          <w:rFonts w:ascii="Times New Roman" w:hAnsi="Times New Roman" w:cs="Times New Roman"/>
          <w:lang w:val="en"/>
        </w:rPr>
        <w:br w:type="page"/>
      </w:r>
    </w:p>
    <w:p w14:paraId="3B107F22" w14:textId="77777777" w:rsidR="004E78F6" w:rsidRDefault="004E78F6">
      <w:pPr>
        <w:spacing w:after="40"/>
        <w:jc w:val="center"/>
        <w:rPr>
          <w:lang w:val="en"/>
        </w:rPr>
      </w:pPr>
      <w:r>
        <w:rPr>
          <w:noProof/>
        </w:rPr>
        <w:lastRenderedPageBreak/>
        <w:drawing>
          <wp:inline distT="0" distB="0" distL="0" distR="0" wp14:anchorId="532BD633" wp14:editId="53C54655">
            <wp:extent cx="5154295" cy="5175885"/>
            <wp:effectExtent l="0" t="0" r="8255"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cstate="hqprint">
                      <a:extLst>
                        <a:ext uri="{28A0092B-C50C-407E-A947-70E740481C1C}">
                          <a14:useLocalDpi xmlns:a14="http://schemas.microsoft.com/office/drawing/2010/main" val="0"/>
                        </a:ext>
                      </a:extLst>
                    </a:blip>
                    <a:srcRect/>
                    <a:stretch>
                      <a:fillRect/>
                    </a:stretch>
                  </pic:blipFill>
                  <pic:spPr bwMode="auto">
                    <a:xfrm>
                      <a:off x="0" y="0"/>
                      <a:ext cx="5154295" cy="5175885"/>
                    </a:xfrm>
                    <a:prstGeom prst="rect">
                      <a:avLst/>
                    </a:prstGeom>
                    <a:noFill/>
                    <a:ln>
                      <a:noFill/>
                    </a:ln>
                  </pic:spPr>
                </pic:pic>
              </a:graphicData>
            </a:graphic>
          </wp:inline>
        </w:drawing>
      </w:r>
    </w:p>
    <w:p w14:paraId="02EA19EB" w14:textId="77777777" w:rsidR="004E78F6" w:rsidRDefault="004E78F6">
      <w:pPr>
        <w:spacing w:line="276" w:lineRule="auto"/>
        <w:jc w:val="both"/>
        <w:rPr>
          <w:rFonts w:ascii="Times New Roman" w:hAnsi="Times New Roman" w:cs="Times New Roman"/>
          <w:lang w:val="en"/>
        </w:rPr>
      </w:pPr>
      <w:r>
        <w:rPr>
          <w:rFonts w:ascii="Times New Roman" w:hAnsi="Times New Roman" w:cs="Times New Roman"/>
          <w:b/>
          <w:bCs/>
          <w:lang w:val="en"/>
        </w:rPr>
        <w:t>Figure S6</w:t>
      </w:r>
      <w:r>
        <w:rPr>
          <w:rFonts w:ascii="Times New Roman" w:hAnsi="Times New Roman" w:cs="Times New Roman"/>
          <w:lang w:val="en"/>
        </w:rPr>
        <w:t xml:space="preserve">. </w:t>
      </w:r>
      <w:r>
        <w:rPr>
          <w:rFonts w:ascii="Times New Roman" w:hAnsi="Times New Roman" w:cs="Times New Roman"/>
          <w:b/>
          <w:bCs/>
          <w:lang w:val="en"/>
        </w:rPr>
        <w:t>“Present-day” material field, surface topography, and the melting distribution in the Type 1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 (</w:t>
      </w:r>
      <w:r>
        <w:rPr>
          <w:rFonts w:ascii="Times New Roman" w:hAnsi="Times New Roman" w:cs="Times New Roman"/>
          <w:b/>
          <w:bCs/>
          <w:lang w:val="en"/>
        </w:rPr>
        <w:t>b</w:t>
      </w:r>
      <w:r>
        <w:rPr>
          <w:rFonts w:ascii="Times New Roman" w:hAnsi="Times New Roman" w:cs="Times New Roman"/>
          <w:lang w:val="en"/>
        </w:rPr>
        <w:t>) Results of Run 2. (</w:t>
      </w:r>
      <w:r>
        <w:rPr>
          <w:rFonts w:ascii="Times New Roman" w:hAnsi="Times New Roman" w:cs="Times New Roman"/>
          <w:b/>
          <w:bCs/>
          <w:lang w:val="en"/>
        </w:rPr>
        <w:t>c</w:t>
      </w:r>
      <w:r>
        <w:rPr>
          <w:rFonts w:ascii="Times New Roman" w:hAnsi="Times New Roman" w:cs="Times New Roman"/>
          <w:lang w:val="en"/>
        </w:rPr>
        <w:t>) Results of Run 3. (</w:t>
      </w:r>
      <w:r>
        <w:rPr>
          <w:rFonts w:ascii="Times New Roman" w:hAnsi="Times New Roman" w:cs="Times New Roman"/>
          <w:b/>
          <w:bCs/>
          <w:lang w:val="en"/>
        </w:rPr>
        <w:t>d</w:t>
      </w:r>
      <w:r>
        <w:rPr>
          <w:rFonts w:ascii="Times New Roman" w:hAnsi="Times New Roman" w:cs="Times New Roman"/>
          <w:lang w:val="en"/>
        </w:rPr>
        <w:t>) Results of Run 4. The green shading with a number in each elevation panel illustrates the width of the accreted crust (</w:t>
      </w:r>
      <w:r>
        <w:rPr>
          <w:rFonts w:ascii="Times New Roman" w:hAnsi="Times New Roman" w:cs="Times New Roman"/>
          <w:i/>
          <w:iCs/>
          <w:lang w:val="en"/>
        </w:rPr>
        <w:t>e.g.</w:t>
      </w:r>
      <w:r>
        <w:rPr>
          <w:rFonts w:ascii="Times New Roman" w:hAnsi="Times New Roman" w:cs="Times New Roman"/>
          <w:lang w:val="en"/>
        </w:rPr>
        <w:t xml:space="preserve">, Tethyan-Greater Himalayas). The red shading in each material panel highlights the spatial range of melting records. The key parameters of these models are in Table S1-S2. The plotting habits for melting distribution are the same as those in Figure 3. </w:t>
      </w:r>
      <w:r>
        <w:rPr>
          <w:rFonts w:ascii="Times New Roman" w:hAnsi="Times New Roman" w:cs="Times New Roman"/>
        </w:rPr>
        <w:t>ICP-Incoming Continental Plate (e.g., Greater India). Lith.- Lithosphere.</w:t>
      </w:r>
    </w:p>
    <w:p w14:paraId="69F0EDC9" w14:textId="77777777" w:rsidR="004E78F6" w:rsidRDefault="004E78F6">
      <w:pPr>
        <w:rPr>
          <w:rFonts w:ascii="Times New Roman" w:hAnsi="Times New Roman" w:cs="Times New Roman"/>
          <w:lang w:val="en"/>
        </w:rPr>
      </w:pPr>
      <w:r>
        <w:rPr>
          <w:rFonts w:ascii="Times New Roman" w:hAnsi="Times New Roman" w:cs="Times New Roman"/>
          <w:lang w:val="en"/>
        </w:rPr>
        <w:br w:type="page"/>
      </w:r>
    </w:p>
    <w:p w14:paraId="5ADF38AC" w14:textId="77777777" w:rsidR="004E78F6" w:rsidRDefault="004E78F6" w:rsidP="00561B69">
      <w:pPr>
        <w:jc w:val="center"/>
        <w:rPr>
          <w:rFonts w:ascii="Times New Roman" w:hAnsi="Times New Roman" w:cs="Times New Roman"/>
          <w:lang w:val="en"/>
        </w:rPr>
      </w:pPr>
      <w:r>
        <w:rPr>
          <w:noProof/>
        </w:rPr>
        <w:lastRenderedPageBreak/>
        <w:drawing>
          <wp:inline distT="0" distB="0" distL="0" distR="0" wp14:anchorId="5228029F" wp14:editId="63F95C23">
            <wp:extent cx="5013078" cy="7772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hqprint">
                      <a:extLst>
                        <a:ext uri="{28A0092B-C50C-407E-A947-70E740481C1C}">
                          <a14:useLocalDpi xmlns:a14="http://schemas.microsoft.com/office/drawing/2010/main" val="0"/>
                        </a:ext>
                      </a:extLst>
                    </a:blip>
                    <a:srcRect/>
                    <a:stretch>
                      <a:fillRect/>
                    </a:stretch>
                  </pic:blipFill>
                  <pic:spPr bwMode="auto">
                    <a:xfrm>
                      <a:off x="0" y="0"/>
                      <a:ext cx="5013078" cy="7772400"/>
                    </a:xfrm>
                    <a:prstGeom prst="rect">
                      <a:avLst/>
                    </a:prstGeom>
                    <a:noFill/>
                    <a:ln>
                      <a:noFill/>
                    </a:ln>
                  </pic:spPr>
                </pic:pic>
              </a:graphicData>
            </a:graphic>
          </wp:inline>
        </w:drawing>
      </w:r>
    </w:p>
    <w:p w14:paraId="408E0A9B" w14:textId="77777777" w:rsidR="004E78F6" w:rsidRDefault="004E78F6" w:rsidP="00423135">
      <w:pPr>
        <w:jc w:val="both"/>
        <w:rPr>
          <w:rFonts w:ascii="Times New Roman" w:hAnsi="Times New Roman" w:cs="Times New Roman"/>
          <w:lang w:val="en"/>
        </w:rPr>
      </w:pPr>
      <w:r w:rsidRPr="00423135">
        <w:rPr>
          <w:rFonts w:ascii="Times New Roman" w:hAnsi="Times New Roman" w:cs="Times New Roman"/>
          <w:b/>
          <w:bCs/>
          <w:lang w:val="en"/>
        </w:rPr>
        <w:t xml:space="preserve">Figure S7. </w:t>
      </w:r>
      <w:r>
        <w:rPr>
          <w:rFonts w:ascii="Times New Roman" w:hAnsi="Times New Roman" w:cs="Times New Roman"/>
          <w:b/>
          <w:bCs/>
          <w:lang w:val="en"/>
        </w:rPr>
        <w:t>Evolution of material field and surface topography in the Type 2 models (purely oceanic subduction)</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5. (</w:t>
      </w:r>
      <w:r>
        <w:rPr>
          <w:rFonts w:ascii="Times New Roman" w:hAnsi="Times New Roman" w:cs="Times New Roman"/>
          <w:b/>
          <w:bCs/>
          <w:lang w:val="en"/>
        </w:rPr>
        <w:t>b</w:t>
      </w:r>
      <w:r>
        <w:rPr>
          <w:rFonts w:ascii="Times New Roman" w:hAnsi="Times New Roman" w:cs="Times New Roman"/>
          <w:lang w:val="en"/>
        </w:rPr>
        <w:t xml:space="preserve">) Results of Run 6. The key parameters of these models are in Table </w:t>
      </w:r>
      <w:r>
        <w:rPr>
          <w:rFonts w:ascii="Times New Roman" w:hAnsi="Times New Roman" w:cs="Times New Roman"/>
          <w:lang w:val="en"/>
        </w:rPr>
        <w:lastRenderedPageBreak/>
        <w:t xml:space="preserve">S1-S2. Other plotting habits are the same as those in Figure 4. </w:t>
      </w:r>
      <w:r>
        <w:rPr>
          <w:rFonts w:ascii="Times New Roman" w:hAnsi="Times New Roman" w:cs="Times New Roman"/>
        </w:rPr>
        <w:t>IOP-Incoming Oceanic Plate (e.g., Greater Indian Basin). Lith.- Lithosphere.</w:t>
      </w:r>
    </w:p>
    <w:p w14:paraId="2439BA45" w14:textId="77777777" w:rsidR="004E78F6" w:rsidRDefault="004E78F6" w:rsidP="00423135">
      <w:pPr>
        <w:jc w:val="center"/>
        <w:rPr>
          <w:rFonts w:ascii="Times New Roman" w:hAnsi="Times New Roman" w:cs="Times New Roman"/>
          <w:lang w:val="en"/>
        </w:rPr>
      </w:pPr>
      <w:r>
        <w:rPr>
          <w:noProof/>
        </w:rPr>
        <w:drawing>
          <wp:inline distT="0" distB="0" distL="0" distR="0" wp14:anchorId="70508467" wp14:editId="5BF44D84">
            <wp:extent cx="5132705" cy="2607310"/>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5132705" cy="2607310"/>
                    </a:xfrm>
                    <a:prstGeom prst="rect">
                      <a:avLst/>
                    </a:prstGeom>
                    <a:noFill/>
                    <a:ln>
                      <a:noFill/>
                    </a:ln>
                  </pic:spPr>
                </pic:pic>
              </a:graphicData>
            </a:graphic>
          </wp:inline>
        </w:drawing>
      </w:r>
    </w:p>
    <w:p w14:paraId="55ABBA5D" w14:textId="77777777" w:rsidR="004E78F6" w:rsidRDefault="004E78F6" w:rsidP="00423135">
      <w:pPr>
        <w:spacing w:line="276" w:lineRule="auto"/>
        <w:jc w:val="both"/>
        <w:rPr>
          <w:rFonts w:ascii="Times New Roman" w:hAnsi="Times New Roman" w:cs="Times New Roman"/>
          <w:lang w:val="en"/>
        </w:rPr>
      </w:pPr>
      <w:r w:rsidRPr="00423135">
        <w:rPr>
          <w:rFonts w:ascii="Times New Roman" w:hAnsi="Times New Roman" w:cs="Times New Roman"/>
          <w:b/>
          <w:bCs/>
          <w:lang w:val="en"/>
        </w:rPr>
        <w:t xml:space="preserve">Figure S8. </w:t>
      </w:r>
      <w:r>
        <w:rPr>
          <w:rFonts w:ascii="Times New Roman" w:hAnsi="Times New Roman" w:cs="Times New Roman"/>
          <w:b/>
          <w:bCs/>
          <w:lang w:val="en"/>
        </w:rPr>
        <w:t>“Present-day” material field, surface topography, and the melting distribution in the Type 2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5. (</w:t>
      </w:r>
      <w:r>
        <w:rPr>
          <w:rFonts w:ascii="Times New Roman" w:hAnsi="Times New Roman" w:cs="Times New Roman"/>
          <w:b/>
          <w:bCs/>
          <w:lang w:val="en"/>
        </w:rPr>
        <w:t>b</w:t>
      </w:r>
      <w:r>
        <w:rPr>
          <w:rFonts w:ascii="Times New Roman" w:hAnsi="Times New Roman" w:cs="Times New Roman"/>
          <w:lang w:val="en"/>
        </w:rPr>
        <w:t xml:space="preserve">) Results of Run 6. The red shading in each material panel highlights the spatial range of melting records. The key parameters of these models are in Table S1-S2. The plotting habits for melting distribution are the same as those in Figure 3. </w:t>
      </w:r>
      <w:r>
        <w:rPr>
          <w:rFonts w:ascii="Times New Roman" w:hAnsi="Times New Roman" w:cs="Times New Roman"/>
        </w:rPr>
        <w:t>Lith.- Lithosphere.</w:t>
      </w:r>
    </w:p>
    <w:p w14:paraId="38195EB2" w14:textId="77777777" w:rsidR="004E78F6" w:rsidRDefault="004E78F6">
      <w:pPr>
        <w:rPr>
          <w:rFonts w:ascii="Times New Roman" w:hAnsi="Times New Roman" w:cs="Times New Roman"/>
          <w:lang w:val="en"/>
        </w:rPr>
      </w:pPr>
      <w:r>
        <w:rPr>
          <w:rFonts w:ascii="Times New Roman" w:hAnsi="Times New Roman" w:cs="Times New Roman"/>
          <w:lang w:val="en"/>
        </w:rPr>
        <w:br w:type="page"/>
      </w:r>
    </w:p>
    <w:p w14:paraId="4052B57F" w14:textId="77777777" w:rsidR="004E78F6" w:rsidRDefault="004E78F6" w:rsidP="005615CA">
      <w:pPr>
        <w:spacing w:after="40"/>
        <w:jc w:val="center"/>
        <w:rPr>
          <w:lang w:val="en"/>
        </w:rPr>
      </w:pPr>
      <w:r>
        <w:rPr>
          <w:noProof/>
        </w:rPr>
        <w:lastRenderedPageBreak/>
        <w:drawing>
          <wp:inline distT="0" distB="0" distL="0" distR="0" wp14:anchorId="464EA296" wp14:editId="51C021F8">
            <wp:extent cx="5034668" cy="7772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cstate="hqprint">
                      <a:extLst>
                        <a:ext uri="{28A0092B-C50C-407E-A947-70E740481C1C}">
                          <a14:useLocalDpi xmlns:a14="http://schemas.microsoft.com/office/drawing/2010/main" val="0"/>
                        </a:ext>
                      </a:extLst>
                    </a:blip>
                    <a:srcRect/>
                    <a:stretch>
                      <a:fillRect/>
                    </a:stretch>
                  </pic:blipFill>
                  <pic:spPr bwMode="auto">
                    <a:xfrm>
                      <a:off x="0" y="0"/>
                      <a:ext cx="5034668" cy="7772400"/>
                    </a:xfrm>
                    <a:prstGeom prst="rect">
                      <a:avLst/>
                    </a:prstGeom>
                    <a:noFill/>
                    <a:ln>
                      <a:noFill/>
                    </a:ln>
                  </pic:spPr>
                </pic:pic>
              </a:graphicData>
            </a:graphic>
          </wp:inline>
        </w:drawing>
      </w:r>
    </w:p>
    <w:p w14:paraId="40099304" w14:textId="77777777" w:rsidR="004E78F6" w:rsidRDefault="004E78F6" w:rsidP="005615CA">
      <w:pPr>
        <w:spacing w:line="276" w:lineRule="auto"/>
        <w:jc w:val="both"/>
        <w:rPr>
          <w:rFonts w:ascii="Times New Roman" w:hAnsi="Times New Roman" w:cs="Times New Roman"/>
          <w:lang w:val="en"/>
        </w:rPr>
      </w:pPr>
      <w:r>
        <w:rPr>
          <w:rFonts w:ascii="Times New Roman" w:hAnsi="Times New Roman" w:cs="Times New Roman"/>
          <w:b/>
          <w:bCs/>
          <w:lang w:val="en"/>
        </w:rPr>
        <w:t>Figure S9. Evolution of material field and surface topography in the Type 3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7. (</w:t>
      </w:r>
      <w:r>
        <w:rPr>
          <w:rFonts w:ascii="Times New Roman" w:hAnsi="Times New Roman" w:cs="Times New Roman"/>
          <w:b/>
          <w:bCs/>
          <w:lang w:val="en"/>
        </w:rPr>
        <w:t>b</w:t>
      </w:r>
      <w:r>
        <w:rPr>
          <w:rFonts w:ascii="Times New Roman" w:hAnsi="Times New Roman" w:cs="Times New Roman"/>
          <w:lang w:val="en"/>
        </w:rPr>
        <w:t>) Results of Run 8. (</w:t>
      </w:r>
      <w:r>
        <w:rPr>
          <w:rFonts w:ascii="Times New Roman" w:hAnsi="Times New Roman" w:cs="Times New Roman"/>
          <w:b/>
          <w:bCs/>
          <w:lang w:val="en"/>
        </w:rPr>
        <w:t>c</w:t>
      </w:r>
      <w:r>
        <w:rPr>
          <w:rFonts w:ascii="Times New Roman" w:hAnsi="Times New Roman" w:cs="Times New Roman"/>
          <w:lang w:val="en"/>
        </w:rPr>
        <w:t>) Results of Run 9. (</w:t>
      </w:r>
      <w:r>
        <w:rPr>
          <w:rFonts w:ascii="Times New Roman" w:hAnsi="Times New Roman" w:cs="Times New Roman"/>
          <w:b/>
          <w:bCs/>
          <w:lang w:val="en"/>
        </w:rPr>
        <w:t>d</w:t>
      </w:r>
      <w:r>
        <w:rPr>
          <w:rFonts w:ascii="Times New Roman" w:hAnsi="Times New Roman" w:cs="Times New Roman"/>
          <w:lang w:val="en"/>
        </w:rPr>
        <w:t xml:space="preserve">) Results of Run 10. The green shading with a number </w:t>
      </w:r>
      <w:r>
        <w:rPr>
          <w:rFonts w:ascii="Times New Roman" w:hAnsi="Times New Roman" w:cs="Times New Roman"/>
          <w:lang w:val="en"/>
        </w:rPr>
        <w:lastRenderedPageBreak/>
        <w:t>in each bottom panel illustrates the width of the accreted crust (</w:t>
      </w:r>
      <w:r>
        <w:rPr>
          <w:rFonts w:ascii="Times New Roman" w:hAnsi="Times New Roman" w:cs="Times New Roman"/>
          <w:i/>
          <w:iCs/>
          <w:lang w:val="en"/>
        </w:rPr>
        <w:t>e.g.</w:t>
      </w:r>
      <w:r>
        <w:rPr>
          <w:rFonts w:ascii="Times New Roman" w:hAnsi="Times New Roman" w:cs="Times New Roman"/>
          <w:lang w:val="en"/>
        </w:rPr>
        <w:t xml:space="preserve">, Tethyan-Greater Himalayas). The key parameters of these models are in Table S1-S2. Other plotting habits are the same as those in Figure 4. </w:t>
      </w:r>
      <w:r>
        <w:rPr>
          <w:rFonts w:ascii="Times New Roman" w:hAnsi="Times New Roman" w:cs="Times New Roman"/>
        </w:rPr>
        <w:t xml:space="preserve">ICP-Incoming Continental Plate </w:t>
      </w:r>
      <w:r w:rsidRPr="00021DE0">
        <w:rPr>
          <w:rFonts w:ascii="Times New Roman" w:hAnsi="Times New Roman" w:cs="Times New Roman"/>
        </w:rPr>
        <w:t>(e.g., Greater India).</w:t>
      </w:r>
      <w:r>
        <w:rPr>
          <w:rFonts w:ascii="Times New Roman" w:hAnsi="Times New Roman" w:cs="Times New Roman"/>
        </w:rPr>
        <w:t xml:space="preserve"> Lith.- Lithosphere.</w:t>
      </w:r>
    </w:p>
    <w:p w14:paraId="4A59DE0A" w14:textId="77777777" w:rsidR="004E78F6" w:rsidRDefault="004E78F6" w:rsidP="005615CA">
      <w:pPr>
        <w:jc w:val="center"/>
        <w:rPr>
          <w:lang w:val="en"/>
        </w:rPr>
      </w:pPr>
      <w:r>
        <w:rPr>
          <w:noProof/>
        </w:rPr>
        <w:lastRenderedPageBreak/>
        <w:drawing>
          <wp:inline distT="0" distB="0" distL="0" distR="0" wp14:anchorId="52E3F9E4" wp14:editId="0EF66EA8">
            <wp:extent cx="5021474" cy="777240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cstate="hqprint">
                      <a:extLst>
                        <a:ext uri="{28A0092B-C50C-407E-A947-70E740481C1C}">
                          <a14:useLocalDpi xmlns:a14="http://schemas.microsoft.com/office/drawing/2010/main" val="0"/>
                        </a:ext>
                      </a:extLst>
                    </a:blip>
                    <a:srcRect/>
                    <a:stretch>
                      <a:fillRect/>
                    </a:stretch>
                  </pic:blipFill>
                  <pic:spPr bwMode="auto">
                    <a:xfrm>
                      <a:off x="0" y="0"/>
                      <a:ext cx="5021474" cy="7772400"/>
                    </a:xfrm>
                    <a:prstGeom prst="rect">
                      <a:avLst/>
                    </a:prstGeom>
                    <a:noFill/>
                    <a:ln>
                      <a:noFill/>
                    </a:ln>
                  </pic:spPr>
                </pic:pic>
              </a:graphicData>
            </a:graphic>
          </wp:inline>
        </w:drawing>
      </w:r>
    </w:p>
    <w:p w14:paraId="74A7FA73" w14:textId="77777777" w:rsidR="004E78F6" w:rsidRDefault="004E78F6" w:rsidP="005615CA">
      <w:pPr>
        <w:rPr>
          <w:rFonts w:ascii="Times New Roman" w:hAnsi="Times New Roman" w:cs="Times New Roman"/>
          <w:lang w:val="en"/>
        </w:rPr>
      </w:pPr>
      <w:r>
        <w:rPr>
          <w:rFonts w:ascii="Times New Roman" w:hAnsi="Times New Roman" w:cs="Times New Roman"/>
          <w:b/>
          <w:bCs/>
          <w:lang w:val="en"/>
        </w:rPr>
        <w:t xml:space="preserve">Figure S9 </w:t>
      </w:r>
      <w:r>
        <w:rPr>
          <w:rFonts w:ascii="Times New Roman" w:hAnsi="Times New Roman" w:cs="Times New Roman"/>
          <w:lang w:val="en"/>
        </w:rPr>
        <w:t>(continued).</w:t>
      </w:r>
    </w:p>
    <w:p w14:paraId="6B3FFF4B" w14:textId="77777777" w:rsidR="004E78F6" w:rsidRDefault="004E78F6" w:rsidP="005615CA">
      <w:pPr>
        <w:spacing w:after="40"/>
        <w:jc w:val="center"/>
        <w:rPr>
          <w:lang w:val="en"/>
        </w:rPr>
      </w:pPr>
      <w:r w:rsidRPr="00BE1E47">
        <w:lastRenderedPageBreak/>
        <w:t xml:space="preserve"> </w:t>
      </w:r>
      <w:r>
        <w:rPr>
          <w:noProof/>
        </w:rPr>
        <w:drawing>
          <wp:inline distT="0" distB="0" distL="0" distR="0" wp14:anchorId="1EFFD9CE" wp14:editId="58538535">
            <wp:extent cx="5132705" cy="505650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cstate="hqprint">
                      <a:extLst>
                        <a:ext uri="{28A0092B-C50C-407E-A947-70E740481C1C}">
                          <a14:useLocalDpi xmlns:a14="http://schemas.microsoft.com/office/drawing/2010/main" val="0"/>
                        </a:ext>
                      </a:extLst>
                    </a:blip>
                    <a:srcRect/>
                    <a:stretch>
                      <a:fillRect/>
                    </a:stretch>
                  </pic:blipFill>
                  <pic:spPr bwMode="auto">
                    <a:xfrm>
                      <a:off x="0" y="0"/>
                      <a:ext cx="5132705" cy="5056505"/>
                    </a:xfrm>
                    <a:prstGeom prst="rect">
                      <a:avLst/>
                    </a:prstGeom>
                    <a:noFill/>
                    <a:ln>
                      <a:noFill/>
                    </a:ln>
                  </pic:spPr>
                </pic:pic>
              </a:graphicData>
            </a:graphic>
          </wp:inline>
        </w:drawing>
      </w:r>
    </w:p>
    <w:p w14:paraId="1131C148" w14:textId="77777777" w:rsidR="004E78F6" w:rsidRDefault="004E78F6" w:rsidP="001B5B5E">
      <w:pPr>
        <w:jc w:val="both"/>
        <w:rPr>
          <w:rFonts w:ascii="Times New Roman" w:hAnsi="Times New Roman" w:cs="Times New Roman"/>
          <w:lang w:val="en"/>
        </w:rPr>
      </w:pPr>
      <w:r>
        <w:rPr>
          <w:rFonts w:ascii="Times New Roman" w:hAnsi="Times New Roman" w:cs="Times New Roman"/>
          <w:b/>
          <w:bCs/>
          <w:lang w:val="en"/>
        </w:rPr>
        <w:t>Figure S10</w:t>
      </w:r>
      <w:r>
        <w:rPr>
          <w:rFonts w:ascii="Times New Roman" w:hAnsi="Times New Roman" w:cs="Times New Roman"/>
          <w:lang w:val="en"/>
        </w:rPr>
        <w:t>.</w:t>
      </w:r>
      <w:r>
        <w:rPr>
          <w:rFonts w:ascii="Times New Roman" w:hAnsi="Times New Roman" w:cs="Times New Roman"/>
          <w:b/>
          <w:bCs/>
          <w:lang w:val="en"/>
        </w:rPr>
        <w:t xml:space="preserve"> “Present-day” material field, surface topography, and the melting distribution in the Type 3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7. (</w:t>
      </w:r>
      <w:r>
        <w:rPr>
          <w:rFonts w:ascii="Times New Roman" w:hAnsi="Times New Roman" w:cs="Times New Roman"/>
          <w:b/>
          <w:bCs/>
          <w:lang w:val="en"/>
        </w:rPr>
        <w:t>b</w:t>
      </w:r>
      <w:r>
        <w:rPr>
          <w:rFonts w:ascii="Times New Roman" w:hAnsi="Times New Roman" w:cs="Times New Roman"/>
          <w:lang w:val="en"/>
        </w:rPr>
        <w:t>) Results of Run 8. (</w:t>
      </w:r>
      <w:r>
        <w:rPr>
          <w:rFonts w:ascii="Times New Roman" w:hAnsi="Times New Roman" w:cs="Times New Roman"/>
          <w:b/>
          <w:bCs/>
          <w:lang w:val="en"/>
        </w:rPr>
        <w:t>c</w:t>
      </w:r>
      <w:r>
        <w:rPr>
          <w:rFonts w:ascii="Times New Roman" w:hAnsi="Times New Roman" w:cs="Times New Roman"/>
          <w:lang w:val="en"/>
        </w:rPr>
        <w:t>) Results of Run 9. (</w:t>
      </w:r>
      <w:r>
        <w:rPr>
          <w:rFonts w:ascii="Times New Roman" w:hAnsi="Times New Roman" w:cs="Times New Roman"/>
          <w:b/>
          <w:bCs/>
          <w:lang w:val="en"/>
        </w:rPr>
        <w:t>d</w:t>
      </w:r>
      <w:r>
        <w:rPr>
          <w:rFonts w:ascii="Times New Roman" w:hAnsi="Times New Roman" w:cs="Times New Roman"/>
          <w:lang w:val="en"/>
        </w:rPr>
        <w:t>) Results of Run 10. The green shading with a number in each elevation panel illustrates the width of the accreted crust (</w:t>
      </w:r>
      <w:r>
        <w:rPr>
          <w:rFonts w:ascii="Times New Roman" w:hAnsi="Times New Roman" w:cs="Times New Roman"/>
          <w:i/>
          <w:iCs/>
          <w:lang w:val="en"/>
        </w:rPr>
        <w:t>e.g.</w:t>
      </w:r>
      <w:r>
        <w:rPr>
          <w:rFonts w:ascii="Times New Roman" w:hAnsi="Times New Roman" w:cs="Times New Roman"/>
          <w:lang w:val="en"/>
        </w:rPr>
        <w:t xml:space="preserve">, Tethyan-Greater Himalayas). The red shading in each material panel highlights the spatial range of melting records. The key parameters of these models are in Table S1-S2. The plotting habits for melting distribution are the same as those in Figure 3. </w:t>
      </w:r>
      <w:r>
        <w:rPr>
          <w:rFonts w:ascii="Times New Roman" w:hAnsi="Times New Roman" w:cs="Times New Roman"/>
        </w:rPr>
        <w:t>ICP-Incoming Continental Plate (e.g., Greater India). Lith.- Lithosphere.</w:t>
      </w:r>
    </w:p>
    <w:p w14:paraId="3CD0A353" w14:textId="77777777" w:rsidR="004E78F6" w:rsidRDefault="004E78F6">
      <w:pPr>
        <w:rPr>
          <w:rFonts w:ascii="Times New Roman" w:hAnsi="Times New Roman" w:cs="Times New Roman"/>
          <w:lang w:val="en"/>
        </w:rPr>
      </w:pPr>
      <w:r>
        <w:rPr>
          <w:rFonts w:ascii="Times New Roman" w:hAnsi="Times New Roman" w:cs="Times New Roman"/>
          <w:lang w:val="en"/>
        </w:rPr>
        <w:br w:type="page"/>
      </w:r>
    </w:p>
    <w:p w14:paraId="2B167B86" w14:textId="77777777" w:rsidR="004E78F6" w:rsidRDefault="004E78F6" w:rsidP="005732D9">
      <w:pPr>
        <w:spacing w:after="40"/>
        <w:jc w:val="center"/>
        <w:rPr>
          <w:lang w:val="en"/>
        </w:rPr>
      </w:pPr>
      <w:r>
        <w:rPr>
          <w:noProof/>
        </w:rPr>
        <w:lastRenderedPageBreak/>
        <w:drawing>
          <wp:inline distT="0" distB="0" distL="0" distR="0" wp14:anchorId="172A2623" wp14:editId="4705C510">
            <wp:extent cx="5024472" cy="7772400"/>
            <wp:effectExtent l="0" t="0" r="508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8" cstate="hqprint">
                      <a:extLst>
                        <a:ext uri="{28A0092B-C50C-407E-A947-70E740481C1C}">
                          <a14:useLocalDpi xmlns:a14="http://schemas.microsoft.com/office/drawing/2010/main" val="0"/>
                        </a:ext>
                      </a:extLst>
                    </a:blip>
                    <a:srcRect/>
                    <a:stretch>
                      <a:fillRect/>
                    </a:stretch>
                  </pic:blipFill>
                  <pic:spPr bwMode="auto">
                    <a:xfrm>
                      <a:off x="0" y="0"/>
                      <a:ext cx="5024472" cy="7772400"/>
                    </a:xfrm>
                    <a:prstGeom prst="rect">
                      <a:avLst/>
                    </a:prstGeom>
                    <a:noFill/>
                    <a:ln>
                      <a:noFill/>
                    </a:ln>
                  </pic:spPr>
                </pic:pic>
              </a:graphicData>
            </a:graphic>
          </wp:inline>
        </w:drawing>
      </w:r>
      <w:r w:rsidDel="00E326FF">
        <w:rPr>
          <w:noProof/>
        </w:rPr>
        <w:t xml:space="preserve"> </w:t>
      </w:r>
    </w:p>
    <w:p w14:paraId="188D8B64" w14:textId="77777777" w:rsidR="004E78F6" w:rsidRDefault="004E78F6" w:rsidP="005732D9">
      <w:pPr>
        <w:jc w:val="both"/>
        <w:rPr>
          <w:rFonts w:ascii="Times New Roman" w:hAnsi="Times New Roman" w:cs="Times New Roman"/>
          <w:lang w:val="en"/>
        </w:rPr>
      </w:pPr>
      <w:r>
        <w:rPr>
          <w:rFonts w:ascii="Times New Roman" w:hAnsi="Times New Roman" w:cs="Times New Roman"/>
          <w:b/>
          <w:bCs/>
          <w:lang w:val="en"/>
        </w:rPr>
        <w:t>Figure S11</w:t>
      </w:r>
      <w:r>
        <w:rPr>
          <w:rFonts w:ascii="Times New Roman" w:hAnsi="Times New Roman" w:cs="Times New Roman"/>
          <w:lang w:val="en"/>
        </w:rPr>
        <w:t xml:space="preserve">. </w:t>
      </w:r>
      <w:r>
        <w:rPr>
          <w:rFonts w:ascii="Times New Roman" w:hAnsi="Times New Roman" w:cs="Times New Roman"/>
          <w:b/>
          <w:bCs/>
          <w:lang w:val="en"/>
        </w:rPr>
        <w:t>Evolution of material field and surface topography in the Type 4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11. (</w:t>
      </w:r>
      <w:r>
        <w:rPr>
          <w:rFonts w:ascii="Times New Roman" w:hAnsi="Times New Roman" w:cs="Times New Roman"/>
          <w:b/>
          <w:bCs/>
          <w:lang w:val="en"/>
        </w:rPr>
        <w:t>b</w:t>
      </w:r>
      <w:r>
        <w:rPr>
          <w:rFonts w:ascii="Times New Roman" w:hAnsi="Times New Roman" w:cs="Times New Roman"/>
          <w:lang w:val="en"/>
        </w:rPr>
        <w:t>) Results of Run 12. (</w:t>
      </w:r>
      <w:r>
        <w:rPr>
          <w:rFonts w:ascii="Times New Roman" w:hAnsi="Times New Roman" w:cs="Times New Roman"/>
          <w:b/>
          <w:bCs/>
          <w:lang w:val="en"/>
        </w:rPr>
        <w:t>c</w:t>
      </w:r>
      <w:r>
        <w:rPr>
          <w:rFonts w:ascii="Times New Roman" w:hAnsi="Times New Roman" w:cs="Times New Roman"/>
          <w:lang w:val="en"/>
        </w:rPr>
        <w:t>) Results of Run 13. (</w:t>
      </w:r>
      <w:r>
        <w:rPr>
          <w:rFonts w:ascii="Times New Roman" w:hAnsi="Times New Roman" w:cs="Times New Roman"/>
          <w:b/>
          <w:bCs/>
          <w:lang w:val="en"/>
        </w:rPr>
        <w:t>d</w:t>
      </w:r>
      <w:r>
        <w:rPr>
          <w:rFonts w:ascii="Times New Roman" w:hAnsi="Times New Roman" w:cs="Times New Roman"/>
          <w:lang w:val="en"/>
        </w:rPr>
        <w:t xml:space="preserve">) Results of Run 14. The green shading with a </w:t>
      </w:r>
      <w:r>
        <w:rPr>
          <w:rFonts w:ascii="Times New Roman" w:hAnsi="Times New Roman" w:cs="Times New Roman"/>
          <w:lang w:val="en"/>
        </w:rPr>
        <w:lastRenderedPageBreak/>
        <w:t>number in each bottom panel illustrates the accreted crust's width (</w:t>
      </w:r>
      <w:r>
        <w:rPr>
          <w:rFonts w:ascii="Times New Roman" w:hAnsi="Times New Roman" w:cs="Times New Roman"/>
          <w:i/>
          <w:iCs/>
          <w:lang w:val="en"/>
        </w:rPr>
        <w:t>e.g.</w:t>
      </w:r>
      <w:r>
        <w:rPr>
          <w:rFonts w:ascii="Times New Roman" w:hAnsi="Times New Roman" w:cs="Times New Roman"/>
          <w:lang w:val="en"/>
        </w:rPr>
        <w:t xml:space="preserve">, Tethyan-Greater Himalayas). The key parameters of these models are in Table S1-S2. Other plotting habits are the same as those in Figure 4. </w:t>
      </w:r>
      <w:r>
        <w:rPr>
          <w:rFonts w:ascii="Times New Roman" w:hAnsi="Times New Roman" w:cs="Times New Roman"/>
        </w:rPr>
        <w:t>ICP-Incoming Continental Plate (e.g., Greater India). Lith.- Lithosphere.</w:t>
      </w:r>
    </w:p>
    <w:p w14:paraId="0929284A" w14:textId="77777777" w:rsidR="004E78F6" w:rsidRDefault="004E78F6" w:rsidP="005732D9">
      <w:pPr>
        <w:spacing w:after="40"/>
        <w:jc w:val="center"/>
        <w:rPr>
          <w:lang w:val="en"/>
        </w:rPr>
      </w:pPr>
      <w:r>
        <w:rPr>
          <w:noProof/>
        </w:rPr>
        <w:lastRenderedPageBreak/>
        <w:drawing>
          <wp:inline distT="0" distB="0" distL="0" distR="0" wp14:anchorId="4365C111" wp14:editId="31AC833E">
            <wp:extent cx="5034668" cy="7772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 cstate="hqprint">
                      <a:extLst>
                        <a:ext uri="{28A0092B-C50C-407E-A947-70E740481C1C}">
                          <a14:useLocalDpi xmlns:a14="http://schemas.microsoft.com/office/drawing/2010/main" val="0"/>
                        </a:ext>
                      </a:extLst>
                    </a:blip>
                    <a:srcRect/>
                    <a:stretch>
                      <a:fillRect/>
                    </a:stretch>
                  </pic:blipFill>
                  <pic:spPr bwMode="auto">
                    <a:xfrm>
                      <a:off x="0" y="0"/>
                      <a:ext cx="5034668" cy="7772400"/>
                    </a:xfrm>
                    <a:prstGeom prst="rect">
                      <a:avLst/>
                    </a:prstGeom>
                    <a:noFill/>
                    <a:ln>
                      <a:noFill/>
                    </a:ln>
                  </pic:spPr>
                </pic:pic>
              </a:graphicData>
            </a:graphic>
          </wp:inline>
        </w:drawing>
      </w:r>
      <w:r w:rsidDel="00FB372F">
        <w:rPr>
          <w:noProof/>
        </w:rPr>
        <w:t xml:space="preserve"> </w:t>
      </w:r>
    </w:p>
    <w:p w14:paraId="0AFB51C3" w14:textId="77777777" w:rsidR="004E78F6" w:rsidRDefault="004E78F6" w:rsidP="005732D9">
      <w:pPr>
        <w:rPr>
          <w:rFonts w:ascii="Times New Roman" w:hAnsi="Times New Roman" w:cs="Times New Roman"/>
          <w:lang w:val="en"/>
        </w:rPr>
      </w:pPr>
      <w:r>
        <w:rPr>
          <w:rFonts w:ascii="Times New Roman" w:hAnsi="Times New Roman" w:cs="Times New Roman"/>
          <w:b/>
          <w:bCs/>
          <w:lang w:val="en"/>
        </w:rPr>
        <w:t>Figure S11</w:t>
      </w:r>
      <w:r>
        <w:rPr>
          <w:rFonts w:ascii="Times New Roman" w:hAnsi="Times New Roman" w:cs="Times New Roman"/>
          <w:lang w:val="en"/>
        </w:rPr>
        <w:t xml:space="preserve"> (continued).</w:t>
      </w:r>
    </w:p>
    <w:p w14:paraId="667C6620" w14:textId="77777777" w:rsidR="004E78F6" w:rsidRDefault="004E78F6" w:rsidP="005732D9">
      <w:pPr>
        <w:spacing w:after="40"/>
        <w:jc w:val="center"/>
        <w:rPr>
          <w:lang w:val="en"/>
        </w:rPr>
      </w:pPr>
      <w:r>
        <w:rPr>
          <w:noProof/>
        </w:rPr>
        <w:lastRenderedPageBreak/>
        <w:drawing>
          <wp:inline distT="0" distB="0" distL="0" distR="0" wp14:anchorId="4233A1BD" wp14:editId="51D09CB0">
            <wp:extent cx="5116195" cy="5061585"/>
            <wp:effectExtent l="0" t="0" r="8255"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0" cstate="hqprint">
                      <a:extLst>
                        <a:ext uri="{28A0092B-C50C-407E-A947-70E740481C1C}">
                          <a14:useLocalDpi xmlns:a14="http://schemas.microsoft.com/office/drawing/2010/main" val="0"/>
                        </a:ext>
                      </a:extLst>
                    </a:blip>
                    <a:srcRect/>
                    <a:stretch>
                      <a:fillRect/>
                    </a:stretch>
                  </pic:blipFill>
                  <pic:spPr bwMode="auto">
                    <a:xfrm>
                      <a:off x="0" y="0"/>
                      <a:ext cx="5116195" cy="5061585"/>
                    </a:xfrm>
                    <a:prstGeom prst="rect">
                      <a:avLst/>
                    </a:prstGeom>
                    <a:noFill/>
                    <a:ln>
                      <a:noFill/>
                    </a:ln>
                  </pic:spPr>
                </pic:pic>
              </a:graphicData>
            </a:graphic>
          </wp:inline>
        </w:drawing>
      </w:r>
      <w:r w:rsidDel="00F04744">
        <w:rPr>
          <w:noProof/>
        </w:rPr>
        <w:t xml:space="preserve"> </w:t>
      </w:r>
    </w:p>
    <w:p w14:paraId="4D66D3FB" w14:textId="77777777" w:rsidR="004E78F6" w:rsidRDefault="004E78F6" w:rsidP="00423135">
      <w:pPr>
        <w:jc w:val="both"/>
        <w:rPr>
          <w:rFonts w:ascii="Times New Roman" w:hAnsi="Times New Roman" w:cs="Times New Roman"/>
          <w:lang w:val="en"/>
        </w:rPr>
      </w:pPr>
      <w:r>
        <w:rPr>
          <w:rFonts w:ascii="Times New Roman" w:hAnsi="Times New Roman" w:cs="Times New Roman"/>
          <w:b/>
          <w:bCs/>
          <w:lang w:val="en"/>
        </w:rPr>
        <w:t>Figure S12</w:t>
      </w:r>
      <w:r>
        <w:rPr>
          <w:rFonts w:ascii="Times New Roman" w:hAnsi="Times New Roman" w:cs="Times New Roman"/>
          <w:lang w:val="en"/>
        </w:rPr>
        <w:t>.</w:t>
      </w:r>
      <w:r>
        <w:rPr>
          <w:rFonts w:ascii="Times New Roman" w:hAnsi="Times New Roman" w:cs="Times New Roman"/>
          <w:b/>
          <w:bCs/>
          <w:lang w:val="en"/>
        </w:rPr>
        <w:t xml:space="preserve"> “Present-day” material field, surface topography, and the melting distribution in the Type 4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11. (</w:t>
      </w:r>
      <w:r>
        <w:rPr>
          <w:rFonts w:ascii="Times New Roman" w:hAnsi="Times New Roman" w:cs="Times New Roman"/>
          <w:b/>
          <w:bCs/>
          <w:lang w:val="en"/>
        </w:rPr>
        <w:t>b</w:t>
      </w:r>
      <w:r>
        <w:rPr>
          <w:rFonts w:ascii="Times New Roman" w:hAnsi="Times New Roman" w:cs="Times New Roman"/>
          <w:lang w:val="en"/>
        </w:rPr>
        <w:t>) Results of Run 12. (</w:t>
      </w:r>
      <w:r>
        <w:rPr>
          <w:rFonts w:ascii="Times New Roman" w:hAnsi="Times New Roman" w:cs="Times New Roman"/>
          <w:b/>
          <w:bCs/>
          <w:lang w:val="en"/>
        </w:rPr>
        <w:t>c</w:t>
      </w:r>
      <w:r>
        <w:rPr>
          <w:rFonts w:ascii="Times New Roman" w:hAnsi="Times New Roman" w:cs="Times New Roman"/>
          <w:lang w:val="en"/>
        </w:rPr>
        <w:t>) Results of Run 13. (</w:t>
      </w:r>
      <w:r>
        <w:rPr>
          <w:rFonts w:ascii="Times New Roman" w:hAnsi="Times New Roman" w:cs="Times New Roman"/>
          <w:b/>
          <w:bCs/>
          <w:lang w:val="en"/>
        </w:rPr>
        <w:t>d</w:t>
      </w:r>
      <w:r>
        <w:rPr>
          <w:rFonts w:ascii="Times New Roman" w:hAnsi="Times New Roman" w:cs="Times New Roman"/>
          <w:lang w:val="en"/>
        </w:rPr>
        <w:t>) Results of Run 14. The green shading with a number in each elevation panel illustrates the width of the accreted crust (</w:t>
      </w:r>
      <w:r>
        <w:rPr>
          <w:rFonts w:ascii="Times New Roman" w:hAnsi="Times New Roman" w:cs="Times New Roman"/>
          <w:i/>
          <w:iCs/>
          <w:lang w:val="en"/>
        </w:rPr>
        <w:t>e.g.</w:t>
      </w:r>
      <w:r>
        <w:rPr>
          <w:rFonts w:ascii="Times New Roman" w:hAnsi="Times New Roman" w:cs="Times New Roman"/>
          <w:lang w:val="en"/>
        </w:rPr>
        <w:t>, Tethyan-Greater Himalayas). The red shading in each material panel highlights the spatial range of melting records. The key parameters of these models are in Table S1-S2. The plotting habits for melting distribution are the same as those in Figure 3</w:t>
      </w:r>
      <w:r>
        <w:rPr>
          <w:rFonts w:ascii="Times New Roman" w:hAnsi="Times New Roman" w:cs="Times New Roman"/>
        </w:rPr>
        <w:t>. Lith.- Lithosphere.</w:t>
      </w:r>
    </w:p>
    <w:p w14:paraId="7CDF35C6" w14:textId="77777777" w:rsidR="004E78F6" w:rsidRDefault="004E78F6" w:rsidP="00561B69">
      <w:pPr>
        <w:rPr>
          <w:rFonts w:ascii="Times New Roman" w:hAnsi="Times New Roman" w:cs="Times New Roman"/>
          <w:lang w:val="en"/>
        </w:rPr>
      </w:pPr>
      <w:r>
        <w:rPr>
          <w:rFonts w:ascii="Times New Roman" w:hAnsi="Times New Roman" w:cs="Times New Roman"/>
          <w:lang w:val="en"/>
        </w:rPr>
        <w:br w:type="page"/>
      </w:r>
    </w:p>
    <w:p w14:paraId="1A1ED4DC" w14:textId="77777777" w:rsidR="004E78F6" w:rsidRDefault="004E78F6" w:rsidP="00126C5C">
      <w:pPr>
        <w:jc w:val="center"/>
        <w:rPr>
          <w:rFonts w:ascii="Times New Roman" w:hAnsi="Times New Roman" w:cs="Times New Roman"/>
          <w:b/>
          <w:bCs/>
          <w:lang w:val="en"/>
        </w:rPr>
      </w:pPr>
      <w:r>
        <w:rPr>
          <w:noProof/>
        </w:rPr>
        <w:lastRenderedPageBreak/>
        <w:drawing>
          <wp:inline distT="0" distB="0" distL="0" distR="0" wp14:anchorId="4B17DB49" wp14:editId="6D446711">
            <wp:extent cx="5024473" cy="7772400"/>
            <wp:effectExtent l="0" t="0" r="508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bwMode="auto">
                    <a:xfrm>
                      <a:off x="0" y="0"/>
                      <a:ext cx="5024473" cy="7772400"/>
                    </a:xfrm>
                    <a:prstGeom prst="rect">
                      <a:avLst/>
                    </a:prstGeom>
                    <a:noFill/>
                    <a:ln>
                      <a:noFill/>
                    </a:ln>
                  </pic:spPr>
                </pic:pic>
              </a:graphicData>
            </a:graphic>
          </wp:inline>
        </w:drawing>
      </w:r>
    </w:p>
    <w:p w14:paraId="2BD8AD00" w14:textId="77777777" w:rsidR="004E78F6" w:rsidRDefault="004E78F6">
      <w:pPr>
        <w:jc w:val="both"/>
        <w:rPr>
          <w:rFonts w:ascii="Times New Roman" w:hAnsi="Times New Roman" w:cs="Times New Roman"/>
        </w:rPr>
      </w:pPr>
      <w:r>
        <w:rPr>
          <w:rFonts w:ascii="Times New Roman" w:hAnsi="Times New Roman" w:cs="Times New Roman"/>
          <w:b/>
          <w:bCs/>
          <w:lang w:val="en"/>
        </w:rPr>
        <w:t>Figure S13</w:t>
      </w:r>
      <w:r>
        <w:rPr>
          <w:rFonts w:ascii="Times New Roman" w:hAnsi="Times New Roman" w:cs="Times New Roman"/>
          <w:lang w:val="en"/>
        </w:rPr>
        <w:t>.</w:t>
      </w:r>
      <w:r>
        <w:rPr>
          <w:rFonts w:ascii="Times New Roman" w:hAnsi="Times New Roman" w:cs="Times New Roman"/>
          <w:b/>
          <w:bCs/>
          <w:lang w:val="en"/>
        </w:rPr>
        <w:t xml:space="preserve"> Evolution of material field and surface topography in the Type 5 models (500 km long terrane)</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w:t>
      </w:r>
      <w:r>
        <w:rPr>
          <w:rFonts w:ascii="Times New Roman" w:hAnsi="Times New Roman" w:cs="Times New Roman" w:hint="eastAsia"/>
          <w:lang w:val="en"/>
        </w:rPr>
        <w:t>5</w:t>
      </w:r>
      <w:r>
        <w:rPr>
          <w:rFonts w:ascii="Times New Roman" w:hAnsi="Times New Roman" w:cs="Times New Roman"/>
          <w:lang w:val="en"/>
        </w:rPr>
        <w:t>. (</w:t>
      </w:r>
      <w:r>
        <w:rPr>
          <w:rFonts w:ascii="Times New Roman" w:hAnsi="Times New Roman" w:cs="Times New Roman"/>
          <w:b/>
          <w:bCs/>
          <w:lang w:val="en"/>
        </w:rPr>
        <w:t>b</w:t>
      </w:r>
      <w:r>
        <w:rPr>
          <w:rFonts w:ascii="Times New Roman" w:hAnsi="Times New Roman" w:cs="Times New Roman"/>
          <w:lang w:val="en"/>
        </w:rPr>
        <w:t>) Results of Run 1</w:t>
      </w:r>
      <w:r>
        <w:rPr>
          <w:rFonts w:ascii="Times New Roman" w:hAnsi="Times New Roman" w:cs="Times New Roman" w:hint="eastAsia"/>
          <w:lang w:val="en"/>
        </w:rPr>
        <w:t>6</w:t>
      </w:r>
      <w:r>
        <w:rPr>
          <w:rFonts w:ascii="Times New Roman" w:hAnsi="Times New Roman" w:cs="Times New Roman"/>
          <w:lang w:val="en"/>
        </w:rPr>
        <w:t>. (</w:t>
      </w:r>
      <w:r>
        <w:rPr>
          <w:rFonts w:ascii="Times New Roman" w:hAnsi="Times New Roman" w:cs="Times New Roman" w:hint="eastAsia"/>
          <w:b/>
          <w:bCs/>
          <w:lang w:val="en"/>
        </w:rPr>
        <w:t>c</w:t>
      </w:r>
      <w:r>
        <w:rPr>
          <w:rFonts w:ascii="Times New Roman" w:hAnsi="Times New Roman" w:cs="Times New Roman"/>
          <w:lang w:val="en"/>
        </w:rPr>
        <w:t>) Results of Run 17. (</w:t>
      </w:r>
      <w:r>
        <w:rPr>
          <w:rFonts w:ascii="Times New Roman" w:hAnsi="Times New Roman" w:cs="Times New Roman"/>
          <w:b/>
          <w:bCs/>
          <w:lang w:val="en"/>
        </w:rPr>
        <w:t>d</w:t>
      </w:r>
      <w:r>
        <w:rPr>
          <w:rFonts w:ascii="Times New Roman" w:hAnsi="Times New Roman" w:cs="Times New Roman"/>
          <w:lang w:val="en"/>
        </w:rPr>
        <w:t xml:space="preserve">) Results of Run 18. In </w:t>
      </w:r>
      <w:r>
        <w:rPr>
          <w:rFonts w:ascii="Times New Roman" w:hAnsi="Times New Roman" w:cs="Times New Roman"/>
          <w:lang w:val="en"/>
        </w:rPr>
        <w:lastRenderedPageBreak/>
        <w:t>these four runs, the terrane is 500 km long. The green shading with a number in each bottom panel illustrates the accreted crust's width (</w:t>
      </w:r>
      <w:r>
        <w:rPr>
          <w:rFonts w:ascii="Times New Roman" w:hAnsi="Times New Roman" w:cs="Times New Roman"/>
          <w:i/>
          <w:iCs/>
          <w:lang w:val="en"/>
        </w:rPr>
        <w:t>e.g.</w:t>
      </w:r>
      <w:r>
        <w:rPr>
          <w:rFonts w:ascii="Times New Roman" w:hAnsi="Times New Roman" w:cs="Times New Roman"/>
          <w:lang w:val="en"/>
        </w:rPr>
        <w:t xml:space="preserve">, Tethyan-Greater Himalayas). The key parameters of these models are in Table S1-S2. Other plotting habits are the same as those in Figure 4. </w:t>
      </w:r>
      <w:r>
        <w:rPr>
          <w:rFonts w:ascii="Times New Roman" w:hAnsi="Times New Roman" w:cs="Times New Roman"/>
        </w:rPr>
        <w:t>Lith.- Lithosphere.</w:t>
      </w:r>
    </w:p>
    <w:p w14:paraId="3271B1DE" w14:textId="77777777" w:rsidR="004E78F6" w:rsidRDefault="004E78F6" w:rsidP="00126C5C">
      <w:pPr>
        <w:rPr>
          <w:rFonts w:ascii="Times New Roman" w:hAnsi="Times New Roman" w:cs="Times New Roman"/>
        </w:rPr>
      </w:pPr>
      <w:r>
        <w:rPr>
          <w:rFonts w:ascii="Times New Roman" w:hAnsi="Times New Roman" w:cs="Times New Roman"/>
        </w:rPr>
        <w:br w:type="page"/>
      </w:r>
    </w:p>
    <w:p w14:paraId="4EC15575" w14:textId="77777777" w:rsidR="004E78F6" w:rsidRDefault="004E78F6" w:rsidP="00A94618">
      <w:pPr>
        <w:jc w:val="center"/>
        <w:rPr>
          <w:rFonts w:ascii="Times New Roman" w:hAnsi="Times New Roman" w:cs="Times New Roman"/>
        </w:rPr>
      </w:pPr>
      <w:r>
        <w:rPr>
          <w:noProof/>
        </w:rPr>
        <w:lastRenderedPageBreak/>
        <w:drawing>
          <wp:inline distT="0" distB="0" distL="0" distR="0" wp14:anchorId="7432F86D" wp14:editId="6271542C">
            <wp:extent cx="5024473" cy="7772400"/>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2" cstate="hqprint">
                      <a:extLst>
                        <a:ext uri="{28A0092B-C50C-407E-A947-70E740481C1C}">
                          <a14:useLocalDpi xmlns:a14="http://schemas.microsoft.com/office/drawing/2010/main" val="0"/>
                        </a:ext>
                      </a:extLst>
                    </a:blip>
                    <a:srcRect/>
                    <a:stretch>
                      <a:fillRect/>
                    </a:stretch>
                  </pic:blipFill>
                  <pic:spPr bwMode="auto">
                    <a:xfrm>
                      <a:off x="0" y="0"/>
                      <a:ext cx="5024473" cy="7772400"/>
                    </a:xfrm>
                    <a:prstGeom prst="rect">
                      <a:avLst/>
                    </a:prstGeom>
                    <a:noFill/>
                    <a:ln>
                      <a:noFill/>
                    </a:ln>
                  </pic:spPr>
                </pic:pic>
              </a:graphicData>
            </a:graphic>
          </wp:inline>
        </w:drawing>
      </w:r>
    </w:p>
    <w:p w14:paraId="69F8521A" w14:textId="77777777" w:rsidR="004E78F6" w:rsidRPr="00094510" w:rsidRDefault="004E78F6" w:rsidP="00094510">
      <w:pPr>
        <w:jc w:val="both"/>
        <w:rPr>
          <w:rFonts w:ascii="Times New Roman" w:hAnsi="Times New Roman" w:cs="Times New Roman"/>
        </w:rPr>
      </w:pPr>
      <w:r>
        <w:rPr>
          <w:rFonts w:ascii="Times New Roman" w:hAnsi="Times New Roman" w:cs="Times New Roman"/>
          <w:b/>
          <w:bCs/>
          <w:lang w:val="en"/>
        </w:rPr>
        <w:t>Figure S13</w:t>
      </w:r>
      <w:r>
        <w:rPr>
          <w:rFonts w:ascii="Times New Roman" w:hAnsi="Times New Roman" w:cs="Times New Roman"/>
          <w:lang w:val="en"/>
        </w:rPr>
        <w:t xml:space="preserve"> (continued).</w:t>
      </w:r>
      <w:r>
        <w:rPr>
          <w:rFonts w:ascii="Times New Roman" w:hAnsi="Times New Roman" w:cs="Times New Roman"/>
          <w:lang w:val="en"/>
        </w:rPr>
        <w:br w:type="page"/>
      </w:r>
    </w:p>
    <w:p w14:paraId="76729F29" w14:textId="77777777" w:rsidR="004E78F6" w:rsidRDefault="004E78F6">
      <w:pPr>
        <w:spacing w:after="40"/>
        <w:jc w:val="center"/>
        <w:rPr>
          <w:lang w:val="en"/>
        </w:rPr>
      </w:pPr>
      <w:r>
        <w:rPr>
          <w:noProof/>
        </w:rPr>
        <w:lastRenderedPageBreak/>
        <w:drawing>
          <wp:inline distT="0" distB="0" distL="0" distR="0" wp14:anchorId="30B70F73" wp14:editId="79D88517">
            <wp:extent cx="5132705" cy="505650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3" cstate="hqprint">
                      <a:extLst>
                        <a:ext uri="{28A0092B-C50C-407E-A947-70E740481C1C}">
                          <a14:useLocalDpi xmlns:a14="http://schemas.microsoft.com/office/drawing/2010/main" val="0"/>
                        </a:ext>
                      </a:extLst>
                    </a:blip>
                    <a:srcRect/>
                    <a:stretch>
                      <a:fillRect/>
                    </a:stretch>
                  </pic:blipFill>
                  <pic:spPr bwMode="auto">
                    <a:xfrm>
                      <a:off x="0" y="0"/>
                      <a:ext cx="5132705" cy="5056505"/>
                    </a:xfrm>
                    <a:prstGeom prst="rect">
                      <a:avLst/>
                    </a:prstGeom>
                    <a:noFill/>
                    <a:ln>
                      <a:noFill/>
                    </a:ln>
                  </pic:spPr>
                </pic:pic>
              </a:graphicData>
            </a:graphic>
          </wp:inline>
        </w:drawing>
      </w:r>
      <w:r w:rsidDel="006A4BB3">
        <w:rPr>
          <w:noProof/>
        </w:rPr>
        <w:t xml:space="preserve"> </w:t>
      </w:r>
    </w:p>
    <w:p w14:paraId="2650E16E" w14:textId="77777777" w:rsidR="004E78F6" w:rsidRDefault="004E78F6">
      <w:pPr>
        <w:spacing w:line="276" w:lineRule="auto"/>
        <w:jc w:val="both"/>
        <w:rPr>
          <w:rFonts w:ascii="Times New Roman" w:hAnsi="Times New Roman" w:cs="Times New Roman"/>
        </w:rPr>
      </w:pPr>
      <w:r>
        <w:rPr>
          <w:rFonts w:ascii="Times New Roman" w:hAnsi="Times New Roman" w:cs="Times New Roman"/>
          <w:b/>
          <w:bCs/>
          <w:lang w:val="en"/>
        </w:rPr>
        <w:t>Figure S14. “Present-day” material field, surface topography, and the melting distribution in the Type 5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15. (</w:t>
      </w:r>
      <w:r>
        <w:rPr>
          <w:rFonts w:ascii="Times New Roman" w:hAnsi="Times New Roman" w:cs="Times New Roman"/>
          <w:b/>
          <w:bCs/>
          <w:lang w:val="en"/>
        </w:rPr>
        <w:t>b</w:t>
      </w:r>
      <w:r>
        <w:rPr>
          <w:rFonts w:ascii="Times New Roman" w:hAnsi="Times New Roman" w:cs="Times New Roman"/>
          <w:lang w:val="en"/>
        </w:rPr>
        <w:t>) Results of Run 16.</w:t>
      </w:r>
      <w:r w:rsidRPr="00512728">
        <w:rPr>
          <w:rFonts w:ascii="Times New Roman" w:hAnsi="Times New Roman" w:cs="Times New Roman"/>
          <w:lang w:val="en"/>
        </w:rPr>
        <w:t xml:space="preserve"> </w:t>
      </w:r>
      <w:r>
        <w:rPr>
          <w:rFonts w:ascii="Times New Roman" w:hAnsi="Times New Roman" w:cs="Times New Roman"/>
          <w:lang w:val="en"/>
        </w:rPr>
        <w:t>(</w:t>
      </w:r>
      <w:r>
        <w:rPr>
          <w:rFonts w:ascii="Times New Roman" w:hAnsi="Times New Roman" w:cs="Times New Roman"/>
          <w:b/>
          <w:bCs/>
          <w:lang w:val="en"/>
        </w:rPr>
        <w:t>c</w:t>
      </w:r>
      <w:r>
        <w:rPr>
          <w:rFonts w:ascii="Times New Roman" w:hAnsi="Times New Roman" w:cs="Times New Roman"/>
          <w:lang w:val="en"/>
        </w:rPr>
        <w:t>) Results of Run 17. (</w:t>
      </w:r>
      <w:r>
        <w:rPr>
          <w:rFonts w:ascii="Times New Roman" w:hAnsi="Times New Roman" w:cs="Times New Roman"/>
          <w:b/>
          <w:bCs/>
          <w:lang w:val="en"/>
        </w:rPr>
        <w:t>d</w:t>
      </w:r>
      <w:r>
        <w:rPr>
          <w:rFonts w:ascii="Times New Roman" w:hAnsi="Times New Roman" w:cs="Times New Roman"/>
          <w:lang w:val="en"/>
        </w:rPr>
        <w:t>) Results of Run 18. The green shading with a number in each bottom panel illustrates the accreted crust's width (</w:t>
      </w:r>
      <w:r>
        <w:rPr>
          <w:rFonts w:ascii="Times New Roman" w:hAnsi="Times New Roman" w:cs="Times New Roman"/>
          <w:i/>
          <w:iCs/>
          <w:lang w:val="en"/>
        </w:rPr>
        <w:t>e.g.</w:t>
      </w:r>
      <w:r>
        <w:rPr>
          <w:rFonts w:ascii="Times New Roman" w:hAnsi="Times New Roman" w:cs="Times New Roman"/>
          <w:lang w:val="en"/>
        </w:rPr>
        <w:t xml:space="preserve">, Tethyan-Greater Himalayas). The red shading in each material panel highlights the spatial range of melting records. The key parameters of these models are in Table S1-S2. The plotting habits for melting distribution are the same as those in Figure 3. </w:t>
      </w:r>
      <w:r>
        <w:rPr>
          <w:rFonts w:ascii="Times New Roman" w:hAnsi="Times New Roman" w:cs="Times New Roman"/>
        </w:rPr>
        <w:t>Lith.- Lithosphere.</w:t>
      </w:r>
    </w:p>
    <w:p w14:paraId="07E5046B" w14:textId="77777777" w:rsidR="004E78F6" w:rsidRDefault="004E78F6">
      <w:pPr>
        <w:rPr>
          <w:rFonts w:ascii="Times New Roman" w:hAnsi="Times New Roman" w:cs="Times New Roman"/>
        </w:rPr>
      </w:pPr>
      <w:r>
        <w:rPr>
          <w:rFonts w:ascii="Times New Roman" w:hAnsi="Times New Roman" w:cs="Times New Roman"/>
        </w:rPr>
        <w:br w:type="page"/>
      </w:r>
    </w:p>
    <w:p w14:paraId="77E72CF9" w14:textId="77777777" w:rsidR="004E78F6" w:rsidRDefault="004E78F6" w:rsidP="00391DD9">
      <w:pPr>
        <w:spacing w:after="0" w:line="276" w:lineRule="auto"/>
        <w:jc w:val="center"/>
        <w:rPr>
          <w:rFonts w:ascii="Times New Roman" w:hAnsi="Times New Roman" w:cs="Times New Roman"/>
          <w:lang w:val="en"/>
        </w:rPr>
      </w:pPr>
      <w:r>
        <w:rPr>
          <w:noProof/>
        </w:rPr>
        <w:lastRenderedPageBreak/>
        <w:drawing>
          <wp:inline distT="0" distB="0" distL="0" distR="0" wp14:anchorId="0276CD27" wp14:editId="22A90625">
            <wp:extent cx="5024473" cy="777240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hqprint">
                      <a:extLst>
                        <a:ext uri="{28A0092B-C50C-407E-A947-70E740481C1C}">
                          <a14:useLocalDpi xmlns:a14="http://schemas.microsoft.com/office/drawing/2010/main" val="0"/>
                        </a:ext>
                      </a:extLst>
                    </a:blip>
                    <a:srcRect/>
                    <a:stretch>
                      <a:fillRect/>
                    </a:stretch>
                  </pic:blipFill>
                  <pic:spPr bwMode="auto">
                    <a:xfrm>
                      <a:off x="0" y="0"/>
                      <a:ext cx="5024473" cy="7772400"/>
                    </a:xfrm>
                    <a:prstGeom prst="rect">
                      <a:avLst/>
                    </a:prstGeom>
                    <a:noFill/>
                    <a:ln>
                      <a:noFill/>
                    </a:ln>
                  </pic:spPr>
                </pic:pic>
              </a:graphicData>
            </a:graphic>
          </wp:inline>
        </w:drawing>
      </w:r>
    </w:p>
    <w:p w14:paraId="7AB53DD2" w14:textId="77777777" w:rsidR="004E78F6" w:rsidRDefault="004E78F6" w:rsidP="00391DD9">
      <w:pPr>
        <w:spacing w:after="0" w:line="276" w:lineRule="auto"/>
        <w:jc w:val="both"/>
        <w:rPr>
          <w:rFonts w:ascii="Times New Roman" w:hAnsi="Times New Roman" w:cs="Times New Roman"/>
        </w:rPr>
      </w:pPr>
      <w:r>
        <w:rPr>
          <w:rFonts w:ascii="Times New Roman" w:hAnsi="Times New Roman" w:cs="Times New Roman"/>
          <w:b/>
          <w:bCs/>
          <w:lang w:val="en"/>
        </w:rPr>
        <w:t>Figure S15</w:t>
      </w:r>
      <w:r>
        <w:rPr>
          <w:rFonts w:ascii="Times New Roman" w:hAnsi="Times New Roman" w:cs="Times New Roman"/>
          <w:lang w:val="en"/>
        </w:rPr>
        <w:t>.</w:t>
      </w:r>
      <w:r>
        <w:rPr>
          <w:rFonts w:ascii="Times New Roman" w:hAnsi="Times New Roman" w:cs="Times New Roman"/>
          <w:b/>
          <w:bCs/>
          <w:lang w:val="en"/>
        </w:rPr>
        <w:t xml:space="preserve"> Evolution of material field and surface topography in the Type 5 models (600 km long terrane)</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19. (</w:t>
      </w:r>
      <w:r>
        <w:rPr>
          <w:rFonts w:ascii="Times New Roman" w:hAnsi="Times New Roman" w:cs="Times New Roman"/>
          <w:b/>
          <w:bCs/>
          <w:lang w:val="en"/>
        </w:rPr>
        <w:t>b</w:t>
      </w:r>
      <w:r>
        <w:rPr>
          <w:rFonts w:ascii="Times New Roman" w:hAnsi="Times New Roman" w:cs="Times New Roman"/>
          <w:lang w:val="en"/>
        </w:rPr>
        <w:t>) Results of Run 20. (</w:t>
      </w:r>
      <w:r>
        <w:rPr>
          <w:rFonts w:ascii="Times New Roman" w:hAnsi="Times New Roman" w:cs="Times New Roman" w:hint="eastAsia"/>
          <w:b/>
          <w:bCs/>
          <w:lang w:val="en"/>
        </w:rPr>
        <w:t>c</w:t>
      </w:r>
      <w:r>
        <w:rPr>
          <w:rFonts w:ascii="Times New Roman" w:hAnsi="Times New Roman" w:cs="Times New Roman"/>
          <w:lang w:val="en"/>
        </w:rPr>
        <w:t>) Results of Run 21. (</w:t>
      </w:r>
      <w:r>
        <w:rPr>
          <w:rFonts w:ascii="Times New Roman" w:hAnsi="Times New Roman" w:cs="Times New Roman"/>
          <w:b/>
          <w:bCs/>
          <w:lang w:val="en"/>
        </w:rPr>
        <w:t>d</w:t>
      </w:r>
      <w:r>
        <w:rPr>
          <w:rFonts w:ascii="Times New Roman" w:hAnsi="Times New Roman" w:cs="Times New Roman"/>
          <w:lang w:val="en"/>
        </w:rPr>
        <w:t xml:space="preserve">) Results of Run 22. In </w:t>
      </w:r>
      <w:r>
        <w:rPr>
          <w:rFonts w:ascii="Times New Roman" w:hAnsi="Times New Roman" w:cs="Times New Roman"/>
          <w:lang w:val="en"/>
        </w:rPr>
        <w:lastRenderedPageBreak/>
        <w:t>these four runs, the terrane is 600 km long. The green shading with a number in each bottom panel illustrates the accreted crust's width (</w:t>
      </w:r>
      <w:r>
        <w:rPr>
          <w:rFonts w:ascii="Times New Roman" w:hAnsi="Times New Roman" w:cs="Times New Roman"/>
          <w:i/>
          <w:iCs/>
          <w:lang w:val="en"/>
        </w:rPr>
        <w:t>e.g.</w:t>
      </w:r>
      <w:r>
        <w:rPr>
          <w:rFonts w:ascii="Times New Roman" w:hAnsi="Times New Roman" w:cs="Times New Roman"/>
          <w:lang w:val="en"/>
        </w:rPr>
        <w:t xml:space="preserve">, Tethyan-Greater Himalayas). The key parameters of these models are in Table S1-S2. Other plotting habits are the same as those in Figure 4. </w:t>
      </w:r>
      <w:r>
        <w:rPr>
          <w:rFonts w:ascii="Times New Roman" w:hAnsi="Times New Roman" w:cs="Times New Roman"/>
        </w:rPr>
        <w:t>Lith.- Lithosphere.</w:t>
      </w:r>
    </w:p>
    <w:p w14:paraId="16119AC0" w14:textId="77777777" w:rsidR="004E78F6" w:rsidRDefault="004E78F6" w:rsidP="00126C5C">
      <w:pPr>
        <w:rPr>
          <w:rFonts w:ascii="Times New Roman" w:hAnsi="Times New Roman" w:cs="Times New Roman"/>
        </w:rPr>
      </w:pPr>
      <w:r>
        <w:rPr>
          <w:rFonts w:ascii="Times New Roman" w:hAnsi="Times New Roman" w:cs="Times New Roman"/>
        </w:rPr>
        <w:br w:type="page"/>
      </w:r>
    </w:p>
    <w:p w14:paraId="3C6A7C29" w14:textId="77777777" w:rsidR="004E78F6" w:rsidRDefault="004E78F6" w:rsidP="00A86A5D">
      <w:pPr>
        <w:spacing w:after="0" w:line="276" w:lineRule="auto"/>
        <w:jc w:val="center"/>
        <w:rPr>
          <w:rFonts w:ascii="Times New Roman" w:hAnsi="Times New Roman" w:cs="Times New Roman"/>
          <w:lang w:val="en"/>
        </w:rPr>
      </w:pPr>
      <w:r>
        <w:rPr>
          <w:noProof/>
        </w:rPr>
        <w:lastRenderedPageBreak/>
        <w:drawing>
          <wp:inline distT="0" distB="0" distL="0" distR="0" wp14:anchorId="495D7D07" wp14:editId="2292603E">
            <wp:extent cx="5024473" cy="7772400"/>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hqprint">
                      <a:extLst>
                        <a:ext uri="{28A0092B-C50C-407E-A947-70E740481C1C}">
                          <a14:useLocalDpi xmlns:a14="http://schemas.microsoft.com/office/drawing/2010/main" val="0"/>
                        </a:ext>
                      </a:extLst>
                    </a:blip>
                    <a:srcRect/>
                    <a:stretch>
                      <a:fillRect/>
                    </a:stretch>
                  </pic:blipFill>
                  <pic:spPr bwMode="auto">
                    <a:xfrm>
                      <a:off x="0" y="0"/>
                      <a:ext cx="5024473" cy="7772400"/>
                    </a:xfrm>
                    <a:prstGeom prst="rect">
                      <a:avLst/>
                    </a:prstGeom>
                    <a:noFill/>
                    <a:ln>
                      <a:noFill/>
                    </a:ln>
                  </pic:spPr>
                </pic:pic>
              </a:graphicData>
            </a:graphic>
          </wp:inline>
        </w:drawing>
      </w:r>
    </w:p>
    <w:p w14:paraId="5C2A0483" w14:textId="77777777" w:rsidR="004E78F6" w:rsidRDefault="004E78F6" w:rsidP="007265D8">
      <w:pPr>
        <w:jc w:val="both"/>
        <w:rPr>
          <w:rFonts w:ascii="Times New Roman" w:hAnsi="Times New Roman" w:cs="Times New Roman"/>
          <w:lang w:val="en"/>
        </w:rPr>
      </w:pPr>
      <w:r>
        <w:rPr>
          <w:rFonts w:ascii="Times New Roman" w:hAnsi="Times New Roman" w:cs="Times New Roman"/>
          <w:b/>
          <w:bCs/>
          <w:lang w:val="en"/>
        </w:rPr>
        <w:t xml:space="preserve">Figure S15 </w:t>
      </w:r>
      <w:r>
        <w:rPr>
          <w:rFonts w:ascii="Times New Roman" w:hAnsi="Times New Roman" w:cs="Times New Roman"/>
          <w:lang w:val="en"/>
        </w:rPr>
        <w:t>(continued).</w:t>
      </w:r>
      <w:r>
        <w:rPr>
          <w:rFonts w:ascii="Times New Roman" w:hAnsi="Times New Roman" w:cs="Times New Roman"/>
          <w:lang w:val="en"/>
        </w:rPr>
        <w:br w:type="page"/>
      </w:r>
    </w:p>
    <w:p w14:paraId="52FC0AB4" w14:textId="77777777" w:rsidR="004E78F6" w:rsidRDefault="004E78F6" w:rsidP="00A420B3">
      <w:pPr>
        <w:jc w:val="center"/>
        <w:rPr>
          <w:rFonts w:ascii="Times New Roman" w:hAnsi="Times New Roman" w:cs="Times New Roman"/>
          <w:lang w:val="en"/>
        </w:rPr>
      </w:pPr>
      <w:r>
        <w:rPr>
          <w:noProof/>
        </w:rPr>
        <w:lastRenderedPageBreak/>
        <w:drawing>
          <wp:inline distT="0" distB="0" distL="0" distR="0" wp14:anchorId="6482F72C" wp14:editId="0F514C39">
            <wp:extent cx="5112571" cy="5058000"/>
            <wp:effectExtent l="0" t="0" r="0" b="9525"/>
            <wp:docPr id="38" name="Picture 38"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图片包含 图示&#10;&#10;描述已自动生成"/>
                    <pic:cNvPicPr>
                      <a:picLocks noChangeAspect="1" noChangeArrowheads="1"/>
                    </pic:cNvPicPr>
                  </pic:nvPicPr>
                  <pic:blipFill>
                    <a:blip r:embed="rId26" cstate="hqprint">
                      <a:extLst>
                        <a:ext uri="{28A0092B-C50C-407E-A947-70E740481C1C}">
                          <a14:useLocalDpi xmlns:a14="http://schemas.microsoft.com/office/drawing/2010/main" val="0"/>
                        </a:ext>
                      </a:extLst>
                    </a:blip>
                    <a:srcRect/>
                    <a:stretch>
                      <a:fillRect/>
                    </a:stretch>
                  </pic:blipFill>
                  <pic:spPr bwMode="auto">
                    <a:xfrm>
                      <a:off x="0" y="0"/>
                      <a:ext cx="5112571" cy="5058000"/>
                    </a:xfrm>
                    <a:prstGeom prst="rect">
                      <a:avLst/>
                    </a:prstGeom>
                    <a:noFill/>
                    <a:ln>
                      <a:noFill/>
                    </a:ln>
                  </pic:spPr>
                </pic:pic>
              </a:graphicData>
            </a:graphic>
          </wp:inline>
        </w:drawing>
      </w:r>
    </w:p>
    <w:p w14:paraId="2A33718F" w14:textId="77777777" w:rsidR="004E78F6" w:rsidRDefault="004E78F6" w:rsidP="009B60B0">
      <w:pPr>
        <w:spacing w:line="276" w:lineRule="auto"/>
        <w:jc w:val="both"/>
        <w:rPr>
          <w:rFonts w:ascii="Times New Roman" w:hAnsi="Times New Roman" w:cs="Times New Roman"/>
        </w:rPr>
      </w:pPr>
      <w:r>
        <w:rPr>
          <w:rFonts w:ascii="Times New Roman" w:hAnsi="Times New Roman" w:cs="Times New Roman"/>
          <w:b/>
          <w:bCs/>
          <w:lang w:val="en"/>
        </w:rPr>
        <w:t>Figure S16. “Present-day” material field, surface topography, and the melting distribution in the Type 5 models</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19. (</w:t>
      </w:r>
      <w:r>
        <w:rPr>
          <w:rFonts w:ascii="Times New Roman" w:hAnsi="Times New Roman" w:cs="Times New Roman"/>
          <w:b/>
          <w:bCs/>
          <w:lang w:val="en"/>
        </w:rPr>
        <w:t>b</w:t>
      </w:r>
      <w:r>
        <w:rPr>
          <w:rFonts w:ascii="Times New Roman" w:hAnsi="Times New Roman" w:cs="Times New Roman"/>
          <w:lang w:val="en"/>
        </w:rPr>
        <w:t>) Results of Run 20.</w:t>
      </w:r>
      <w:r w:rsidRPr="00512728">
        <w:rPr>
          <w:rFonts w:ascii="Times New Roman" w:hAnsi="Times New Roman" w:cs="Times New Roman"/>
          <w:lang w:val="en"/>
        </w:rPr>
        <w:t xml:space="preserve"> </w:t>
      </w:r>
      <w:r>
        <w:rPr>
          <w:rFonts w:ascii="Times New Roman" w:hAnsi="Times New Roman" w:cs="Times New Roman"/>
          <w:lang w:val="en"/>
        </w:rPr>
        <w:t>(</w:t>
      </w:r>
      <w:r>
        <w:rPr>
          <w:rFonts w:ascii="Times New Roman" w:hAnsi="Times New Roman" w:cs="Times New Roman"/>
          <w:b/>
          <w:bCs/>
          <w:lang w:val="en"/>
        </w:rPr>
        <w:t>c</w:t>
      </w:r>
      <w:r>
        <w:rPr>
          <w:rFonts w:ascii="Times New Roman" w:hAnsi="Times New Roman" w:cs="Times New Roman"/>
          <w:lang w:val="en"/>
        </w:rPr>
        <w:t>) Results of Run 21. (</w:t>
      </w:r>
      <w:r>
        <w:rPr>
          <w:rFonts w:ascii="Times New Roman" w:hAnsi="Times New Roman" w:cs="Times New Roman"/>
          <w:b/>
          <w:bCs/>
          <w:lang w:val="en"/>
        </w:rPr>
        <w:t>d</w:t>
      </w:r>
      <w:r>
        <w:rPr>
          <w:rFonts w:ascii="Times New Roman" w:hAnsi="Times New Roman" w:cs="Times New Roman"/>
          <w:lang w:val="en"/>
        </w:rPr>
        <w:t>) Results of Run 22. The green shading with a number in each bottom panel illustrates the accreted crust's width (</w:t>
      </w:r>
      <w:r>
        <w:rPr>
          <w:rFonts w:ascii="Times New Roman" w:hAnsi="Times New Roman" w:cs="Times New Roman"/>
          <w:i/>
          <w:iCs/>
          <w:lang w:val="en"/>
        </w:rPr>
        <w:t>e.g.</w:t>
      </w:r>
      <w:r>
        <w:rPr>
          <w:rFonts w:ascii="Times New Roman" w:hAnsi="Times New Roman" w:cs="Times New Roman"/>
          <w:lang w:val="en"/>
        </w:rPr>
        <w:t xml:space="preserve">, Tethyan-Greater Himalayas). The red shading in each material panel highlights the spatial range of melting records. The key parameters of these models are in Table S1-S2. The plotting habits for melting distribution are the same as those in Figure 3. </w:t>
      </w:r>
      <w:r>
        <w:rPr>
          <w:rFonts w:ascii="Times New Roman" w:hAnsi="Times New Roman" w:cs="Times New Roman"/>
        </w:rPr>
        <w:t>Lith.- Lithosphere.</w:t>
      </w:r>
    </w:p>
    <w:p w14:paraId="12985072" w14:textId="77777777" w:rsidR="004E78F6" w:rsidRDefault="004E78F6">
      <w:pPr>
        <w:rPr>
          <w:lang w:val="en"/>
        </w:rPr>
      </w:pPr>
      <w:r>
        <w:rPr>
          <w:lang w:val="en"/>
        </w:rPr>
        <w:br w:type="page"/>
      </w:r>
    </w:p>
    <w:p w14:paraId="7852E28D" w14:textId="77777777" w:rsidR="004E78F6" w:rsidRDefault="004E78F6">
      <w:pPr>
        <w:rPr>
          <w:lang w:val="en"/>
        </w:rPr>
      </w:pPr>
      <w:r>
        <w:rPr>
          <w:noProof/>
        </w:rPr>
        <w:lastRenderedPageBreak/>
        <w:drawing>
          <wp:inline distT="0" distB="0" distL="0" distR="0" wp14:anchorId="3CE5D623" wp14:editId="5854D5BA">
            <wp:extent cx="5943600" cy="38728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hqprint">
                      <a:extLst>
                        <a:ext uri="{28A0092B-C50C-407E-A947-70E740481C1C}">
                          <a14:useLocalDpi xmlns:a14="http://schemas.microsoft.com/office/drawing/2010/main" val="0"/>
                        </a:ext>
                      </a:extLst>
                    </a:blip>
                    <a:srcRect/>
                    <a:stretch>
                      <a:fillRect/>
                    </a:stretch>
                  </pic:blipFill>
                  <pic:spPr bwMode="auto">
                    <a:xfrm>
                      <a:off x="0" y="0"/>
                      <a:ext cx="5943600" cy="3872865"/>
                    </a:xfrm>
                    <a:prstGeom prst="rect">
                      <a:avLst/>
                    </a:prstGeom>
                    <a:noFill/>
                    <a:ln>
                      <a:noFill/>
                    </a:ln>
                  </pic:spPr>
                </pic:pic>
              </a:graphicData>
            </a:graphic>
          </wp:inline>
        </w:drawing>
      </w:r>
    </w:p>
    <w:p w14:paraId="1ECA43D2" w14:textId="77777777" w:rsidR="004E78F6" w:rsidRDefault="004E78F6" w:rsidP="00102C1B">
      <w:pPr>
        <w:spacing w:line="276" w:lineRule="auto"/>
        <w:jc w:val="both"/>
        <w:rPr>
          <w:rFonts w:ascii="Times New Roman" w:hAnsi="Times New Roman" w:cs="Times New Roman"/>
        </w:rPr>
      </w:pPr>
      <w:r w:rsidRPr="00102C1B">
        <w:rPr>
          <w:rFonts w:ascii="Times New Roman" w:hAnsi="Times New Roman" w:cs="Times New Roman"/>
          <w:b/>
          <w:bCs/>
          <w:lang w:val="en"/>
        </w:rPr>
        <w:t>Figure S17.</w:t>
      </w:r>
      <w:r>
        <w:rPr>
          <w:rFonts w:ascii="Times New Roman" w:hAnsi="Times New Roman" w:cs="Times New Roman"/>
          <w:b/>
          <w:bCs/>
          <w:lang w:val="en"/>
        </w:rPr>
        <w:t xml:space="preserve"> </w:t>
      </w:r>
      <w:r>
        <w:rPr>
          <w:rFonts w:ascii="Times New Roman" w:hAnsi="Times New Roman" w:cs="Times New Roman"/>
          <w:b/>
          <w:bCs/>
        </w:rPr>
        <w:t>Model evolution and surface responses for different scenarios.</w:t>
      </w:r>
      <w:r w:rsidRPr="00CC1785">
        <w:rPr>
          <w:rFonts w:ascii="Times New Roman" w:hAnsi="Times New Roman" w:cs="Times New Roman"/>
        </w:rPr>
        <w:t xml:space="preserve"> </w:t>
      </w:r>
      <w:r>
        <w:rPr>
          <w:rFonts w:ascii="Times New Roman" w:hAnsi="Times New Roman" w:cs="Times New Roman"/>
        </w:rPr>
        <w:t>The three columns correspond to Type 3 (Run 9</w:t>
      </w:r>
      <w:r>
        <w:rPr>
          <w:rFonts w:ascii="Times New Roman" w:hAnsi="Times New Roman" w:cs="Times New Roman" w:hint="eastAsia"/>
        </w:rPr>
        <w:t>,</w:t>
      </w:r>
      <w:r>
        <w:rPr>
          <w:rFonts w:ascii="Times New Roman" w:hAnsi="Times New Roman" w:cs="Times New Roman"/>
        </w:rPr>
        <w:t xml:space="preserve"> </w:t>
      </w:r>
      <w:r w:rsidRPr="00825549">
        <w:rPr>
          <w:rFonts w:ascii="Times New Roman" w:hAnsi="Times New Roman" w:cs="Times New Roman"/>
          <w:color w:val="0000FF"/>
        </w:rPr>
        <w:t>Figure</w:t>
      </w:r>
      <w:r>
        <w:rPr>
          <w:rFonts w:ascii="Times New Roman" w:hAnsi="Times New Roman" w:cs="Times New Roman"/>
          <w:color w:val="0000FF"/>
        </w:rPr>
        <w:t>s</w:t>
      </w:r>
      <w:r w:rsidRPr="00825549">
        <w:rPr>
          <w:rFonts w:ascii="Times New Roman" w:hAnsi="Times New Roman" w:cs="Times New Roman"/>
          <w:color w:val="0000FF"/>
        </w:rPr>
        <w:t xml:space="preserve"> </w:t>
      </w:r>
      <w:r>
        <w:rPr>
          <w:rFonts w:ascii="Times New Roman" w:hAnsi="Times New Roman" w:cs="Times New Roman"/>
          <w:color w:val="0000FF"/>
        </w:rPr>
        <w:t>S9c, S10c</w:t>
      </w:r>
      <w:r>
        <w:rPr>
          <w:rFonts w:ascii="Times New Roman" w:hAnsi="Times New Roman" w:cs="Times New Roman"/>
        </w:rPr>
        <w:t xml:space="preserve">), Type 2 (Run 6, </w:t>
      </w:r>
      <w:r w:rsidRPr="00825549">
        <w:rPr>
          <w:rFonts w:ascii="Times New Roman" w:hAnsi="Times New Roman" w:cs="Times New Roman"/>
          <w:color w:val="0000FF"/>
        </w:rPr>
        <w:t>Figure</w:t>
      </w:r>
      <w:r>
        <w:rPr>
          <w:rFonts w:ascii="Times New Roman" w:hAnsi="Times New Roman" w:cs="Times New Roman"/>
          <w:color w:val="0000FF"/>
        </w:rPr>
        <w:t>s</w:t>
      </w:r>
      <w:r w:rsidRPr="00825549">
        <w:rPr>
          <w:rFonts w:ascii="Times New Roman" w:hAnsi="Times New Roman" w:cs="Times New Roman"/>
          <w:color w:val="0000FF"/>
        </w:rPr>
        <w:t xml:space="preserve"> </w:t>
      </w:r>
      <w:r>
        <w:rPr>
          <w:rFonts w:ascii="Times New Roman" w:hAnsi="Times New Roman" w:cs="Times New Roman"/>
          <w:color w:val="0000FF"/>
        </w:rPr>
        <w:t>S7b, S8b</w:t>
      </w:r>
      <w:r>
        <w:rPr>
          <w:rFonts w:ascii="Times New Roman" w:hAnsi="Times New Roman" w:cs="Times New Roman"/>
        </w:rPr>
        <w:t xml:space="preserve">), and Type 5 models (Runs 15 in </w:t>
      </w:r>
      <w:r w:rsidRPr="00825549">
        <w:rPr>
          <w:rFonts w:ascii="Times New Roman" w:hAnsi="Times New Roman" w:cs="Times New Roman"/>
          <w:color w:val="0000FF"/>
        </w:rPr>
        <w:t>Figure</w:t>
      </w:r>
      <w:r>
        <w:rPr>
          <w:rFonts w:ascii="Times New Roman" w:hAnsi="Times New Roman" w:cs="Times New Roman"/>
          <w:color w:val="0000FF"/>
        </w:rPr>
        <w:t>s</w:t>
      </w:r>
      <w:r w:rsidRPr="00825549">
        <w:rPr>
          <w:rFonts w:ascii="Times New Roman" w:hAnsi="Times New Roman" w:cs="Times New Roman"/>
          <w:color w:val="0000FF"/>
        </w:rPr>
        <w:t xml:space="preserve"> </w:t>
      </w:r>
      <w:r>
        <w:rPr>
          <w:rFonts w:ascii="Times New Roman" w:hAnsi="Times New Roman" w:cs="Times New Roman"/>
          <w:color w:val="0000FF"/>
        </w:rPr>
        <w:t>S13a, S14a</w:t>
      </w:r>
      <w:r>
        <w:rPr>
          <w:rFonts w:ascii="Times New Roman" w:hAnsi="Times New Roman" w:cs="Times New Roman"/>
        </w:rPr>
        <w:t>), respectively (</w:t>
      </w:r>
      <w:r w:rsidRPr="005F43A3">
        <w:rPr>
          <w:rFonts w:ascii="Times New Roman" w:hAnsi="Times New Roman" w:cs="Times New Roman"/>
          <w:color w:val="0000FF"/>
        </w:rPr>
        <w:t>Figure 1b</w:t>
      </w:r>
      <w:r>
        <w:rPr>
          <w:rFonts w:ascii="Times New Roman" w:hAnsi="Times New Roman" w:cs="Times New Roman"/>
        </w:rPr>
        <w:t>) The plotting habits follows those in Figure 3.</w:t>
      </w:r>
    </w:p>
    <w:p w14:paraId="509887DC" w14:textId="77777777" w:rsidR="004E78F6" w:rsidRDefault="004E78F6">
      <w:pPr>
        <w:rPr>
          <w:rFonts w:ascii="Times New Roman" w:hAnsi="Times New Roman" w:cs="Times New Roman"/>
        </w:rPr>
      </w:pPr>
      <w:r>
        <w:rPr>
          <w:rFonts w:ascii="Times New Roman" w:hAnsi="Times New Roman" w:cs="Times New Roman"/>
        </w:rPr>
        <w:br w:type="page"/>
      </w:r>
    </w:p>
    <w:p w14:paraId="06A0E216" w14:textId="77777777" w:rsidR="004E78F6" w:rsidRDefault="004E78F6" w:rsidP="001F4CC8">
      <w:pPr>
        <w:rPr>
          <w:lang w:val="en"/>
        </w:rPr>
      </w:pPr>
      <w:r>
        <w:rPr>
          <w:noProof/>
        </w:rPr>
        <w:lastRenderedPageBreak/>
        <w:drawing>
          <wp:inline distT="0" distB="0" distL="0" distR="0" wp14:anchorId="499838AE" wp14:editId="6FC34B91">
            <wp:extent cx="5943600" cy="4556125"/>
            <wp:effectExtent l="0" t="0" r="0" b="0"/>
            <wp:docPr id="7" name="图片 7" descr="地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地图&#10;&#10;中度可信度描述已自动生成"/>
                    <pic:cNvPicPr>
                      <a:picLocks noChangeAspect="1" noChangeArrowheads="1"/>
                    </pic:cNvPicPr>
                  </pic:nvPicPr>
                  <pic:blipFill>
                    <a:blip r:embed="rId28" cstate="hqprint">
                      <a:extLst>
                        <a:ext uri="{28A0092B-C50C-407E-A947-70E740481C1C}">
                          <a14:useLocalDpi xmlns:a14="http://schemas.microsoft.com/office/drawing/2010/main" val="0"/>
                        </a:ext>
                      </a:extLst>
                    </a:blip>
                    <a:srcRect/>
                    <a:stretch>
                      <a:fillRect/>
                    </a:stretch>
                  </pic:blipFill>
                  <pic:spPr bwMode="auto">
                    <a:xfrm>
                      <a:off x="0" y="0"/>
                      <a:ext cx="5943600" cy="4556125"/>
                    </a:xfrm>
                    <a:prstGeom prst="rect">
                      <a:avLst/>
                    </a:prstGeom>
                    <a:noFill/>
                    <a:ln>
                      <a:noFill/>
                    </a:ln>
                  </pic:spPr>
                </pic:pic>
              </a:graphicData>
            </a:graphic>
          </wp:inline>
        </w:drawing>
      </w:r>
    </w:p>
    <w:p w14:paraId="650E0D54"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S18</w:t>
      </w:r>
      <w:r>
        <w:rPr>
          <w:rFonts w:ascii="Times New Roman" w:hAnsi="Times New Roman" w:cs="Times New Roman"/>
          <w:lang w:val="en"/>
        </w:rPr>
        <w:t xml:space="preserve">. </w:t>
      </w:r>
      <w:r>
        <w:rPr>
          <w:rFonts w:ascii="Times New Roman" w:hAnsi="Times New Roman" w:cs="Times New Roman"/>
          <w:b/>
          <w:bCs/>
          <w:lang w:val="en"/>
        </w:rPr>
        <w:t>Evolution of the horizontal deviatoric stress in the Type 6 model</w:t>
      </w:r>
      <w:r>
        <w:rPr>
          <w:rFonts w:ascii="Times New Roman" w:hAnsi="Times New Roman" w:cs="Times New Roman"/>
          <w:lang w:val="en"/>
        </w:rPr>
        <w:t xml:space="preserve"> (Run 23). </w:t>
      </w:r>
      <w:r>
        <w:rPr>
          <w:rFonts w:ascii="Times New Roman" w:hAnsi="Times New Roman" w:cs="Times New Roman"/>
        </w:rPr>
        <w:t>Lith.- Lithosphere. Slabs I and II demonstrate the same slabs as those in Figure 4. C. Margin- Continental Margin.</w:t>
      </w:r>
    </w:p>
    <w:p w14:paraId="67223737" w14:textId="77777777" w:rsidR="004E78F6" w:rsidRDefault="004E78F6">
      <w:pPr>
        <w:rPr>
          <w:rFonts w:ascii="Times New Roman" w:hAnsi="Times New Roman" w:cs="Times New Roman"/>
          <w:lang w:val="en"/>
        </w:rPr>
      </w:pPr>
      <w:r>
        <w:rPr>
          <w:rFonts w:ascii="Times New Roman" w:hAnsi="Times New Roman" w:cs="Times New Roman"/>
          <w:lang w:val="en"/>
        </w:rPr>
        <w:br w:type="page"/>
      </w:r>
    </w:p>
    <w:p w14:paraId="26AD21CF" w14:textId="77777777" w:rsidR="004E78F6" w:rsidRDefault="004E78F6">
      <w:pPr>
        <w:spacing w:after="40"/>
        <w:jc w:val="center"/>
        <w:rPr>
          <w:lang w:val="en"/>
        </w:rPr>
      </w:pPr>
      <w:r>
        <w:rPr>
          <w:noProof/>
        </w:rPr>
        <w:lastRenderedPageBreak/>
        <w:drawing>
          <wp:inline distT="0" distB="0" distL="0" distR="0" wp14:anchorId="3236EA25" wp14:editId="7FC159A4">
            <wp:extent cx="5943600" cy="4505960"/>
            <wp:effectExtent l="0" t="0" r="0" b="8890"/>
            <wp:docPr id="15" name="图片 15"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示&#10;&#10;中度可信度描述已自动生成"/>
                    <pic:cNvPicPr>
                      <a:picLocks noChangeAspect="1" noChangeArrowheads="1"/>
                    </pic:cNvPicPr>
                  </pic:nvPicPr>
                  <pic:blipFill>
                    <a:blip r:embed="rId29" cstate="hqprint">
                      <a:extLst>
                        <a:ext uri="{28A0092B-C50C-407E-A947-70E740481C1C}">
                          <a14:useLocalDpi xmlns:a14="http://schemas.microsoft.com/office/drawing/2010/main" val="0"/>
                        </a:ext>
                      </a:extLst>
                    </a:blip>
                    <a:srcRect/>
                    <a:stretch>
                      <a:fillRect/>
                    </a:stretch>
                  </pic:blipFill>
                  <pic:spPr bwMode="auto">
                    <a:xfrm>
                      <a:off x="0" y="0"/>
                      <a:ext cx="5943600" cy="4505960"/>
                    </a:xfrm>
                    <a:prstGeom prst="rect">
                      <a:avLst/>
                    </a:prstGeom>
                    <a:noFill/>
                    <a:ln>
                      <a:noFill/>
                    </a:ln>
                  </pic:spPr>
                </pic:pic>
              </a:graphicData>
            </a:graphic>
          </wp:inline>
        </w:drawing>
      </w:r>
    </w:p>
    <w:p w14:paraId="5AF6BA18"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S19</w:t>
      </w:r>
      <w:r>
        <w:rPr>
          <w:rFonts w:ascii="Times New Roman" w:hAnsi="Times New Roman" w:cs="Times New Roman"/>
          <w:lang w:val="en"/>
        </w:rPr>
        <w:t>.</w:t>
      </w:r>
      <w:r>
        <w:rPr>
          <w:rFonts w:ascii="Times New Roman" w:hAnsi="Times New Roman" w:cs="Times New Roman"/>
          <w:b/>
          <w:bCs/>
          <w:lang w:val="en"/>
        </w:rPr>
        <w:t xml:space="preserve"> Evolution of the viscosity filed in the Type 6 model</w:t>
      </w:r>
      <w:r>
        <w:rPr>
          <w:rFonts w:ascii="Times New Roman" w:hAnsi="Times New Roman" w:cs="Times New Roman"/>
          <w:lang w:val="en"/>
        </w:rPr>
        <w:t xml:space="preserve"> (Run 23). </w:t>
      </w:r>
      <w:r>
        <w:rPr>
          <w:rFonts w:ascii="Times New Roman" w:hAnsi="Times New Roman" w:cs="Times New Roman"/>
        </w:rPr>
        <w:t>Lith.- Lithosphere. Slabs I and II demonstrate the same slabs as those in Figure 4.</w:t>
      </w:r>
      <w:r w:rsidRPr="001960B7">
        <w:rPr>
          <w:rFonts w:ascii="Times New Roman" w:hAnsi="Times New Roman" w:cs="Times New Roman"/>
        </w:rPr>
        <w:t xml:space="preserve"> </w:t>
      </w:r>
      <w:r>
        <w:rPr>
          <w:rFonts w:ascii="Times New Roman" w:hAnsi="Times New Roman" w:cs="Times New Roman"/>
        </w:rPr>
        <w:t>C. Margin- Continental Margin.</w:t>
      </w:r>
    </w:p>
    <w:p w14:paraId="464E17E4" w14:textId="77777777" w:rsidR="004E78F6" w:rsidRDefault="004E78F6">
      <w:pPr>
        <w:rPr>
          <w:lang w:val="en"/>
        </w:rPr>
      </w:pPr>
      <w:r>
        <w:rPr>
          <w:lang w:val="en"/>
        </w:rPr>
        <w:br w:type="page"/>
      </w:r>
    </w:p>
    <w:p w14:paraId="3CF75241" w14:textId="77777777" w:rsidR="004E78F6" w:rsidRDefault="004E78F6">
      <w:pPr>
        <w:spacing w:after="40"/>
        <w:jc w:val="center"/>
        <w:rPr>
          <w:lang w:val="en"/>
        </w:rPr>
      </w:pPr>
      <w:r>
        <w:rPr>
          <w:noProof/>
        </w:rPr>
        <w:lastRenderedPageBreak/>
        <w:drawing>
          <wp:inline distT="0" distB="0" distL="0" distR="0" wp14:anchorId="3798DE5E" wp14:editId="7E97844D">
            <wp:extent cx="5943600" cy="4505960"/>
            <wp:effectExtent l="0" t="0" r="0" b="8890"/>
            <wp:docPr id="16" name="图片 16"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包含 图示&#10;&#10;描述已自动生成"/>
                    <pic:cNvPicPr>
                      <a:picLocks noChangeAspect="1" noChangeArrowheads="1"/>
                    </pic:cNvPicPr>
                  </pic:nvPicPr>
                  <pic:blipFill>
                    <a:blip r:embed="rId30" cstate="hqprint">
                      <a:extLst>
                        <a:ext uri="{28A0092B-C50C-407E-A947-70E740481C1C}">
                          <a14:useLocalDpi xmlns:a14="http://schemas.microsoft.com/office/drawing/2010/main" val="0"/>
                        </a:ext>
                      </a:extLst>
                    </a:blip>
                    <a:srcRect/>
                    <a:stretch>
                      <a:fillRect/>
                    </a:stretch>
                  </pic:blipFill>
                  <pic:spPr bwMode="auto">
                    <a:xfrm>
                      <a:off x="0" y="0"/>
                      <a:ext cx="5943600" cy="4505960"/>
                    </a:xfrm>
                    <a:prstGeom prst="rect">
                      <a:avLst/>
                    </a:prstGeom>
                    <a:noFill/>
                    <a:ln>
                      <a:noFill/>
                    </a:ln>
                  </pic:spPr>
                </pic:pic>
              </a:graphicData>
            </a:graphic>
          </wp:inline>
        </w:drawing>
      </w:r>
    </w:p>
    <w:p w14:paraId="771B6BF0"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S20</w:t>
      </w:r>
      <w:r>
        <w:rPr>
          <w:rFonts w:ascii="Times New Roman" w:hAnsi="Times New Roman" w:cs="Times New Roman"/>
          <w:lang w:val="en"/>
        </w:rPr>
        <w:t>.</w:t>
      </w:r>
      <w:r>
        <w:rPr>
          <w:rFonts w:ascii="Times New Roman" w:hAnsi="Times New Roman" w:cs="Times New Roman"/>
          <w:b/>
          <w:bCs/>
          <w:lang w:val="en"/>
        </w:rPr>
        <w:t xml:space="preserve"> Evolution of the density field in the Type 6 model</w:t>
      </w:r>
      <w:r>
        <w:rPr>
          <w:rFonts w:ascii="Times New Roman" w:hAnsi="Times New Roman" w:cs="Times New Roman"/>
          <w:lang w:val="en"/>
        </w:rPr>
        <w:t xml:space="preserve"> (Run 23). </w:t>
      </w:r>
      <w:r>
        <w:rPr>
          <w:rFonts w:ascii="Times New Roman" w:hAnsi="Times New Roman" w:cs="Times New Roman"/>
        </w:rPr>
        <w:t>Lith.- Lithosphere. Slabs I and II demonstrate the same slabs as those in Figure 4.</w:t>
      </w:r>
      <w:r w:rsidRPr="00C86B66">
        <w:rPr>
          <w:rFonts w:ascii="Times New Roman" w:hAnsi="Times New Roman" w:cs="Times New Roman"/>
        </w:rPr>
        <w:t xml:space="preserve"> </w:t>
      </w:r>
      <w:r>
        <w:rPr>
          <w:rFonts w:ascii="Times New Roman" w:hAnsi="Times New Roman" w:cs="Times New Roman"/>
        </w:rPr>
        <w:t>C. Margin- Continental Margin.</w:t>
      </w:r>
    </w:p>
    <w:p w14:paraId="7208DEB4" w14:textId="77777777" w:rsidR="004E78F6" w:rsidRDefault="004E78F6">
      <w:pPr>
        <w:rPr>
          <w:lang w:val="en"/>
        </w:rPr>
      </w:pPr>
      <w:r>
        <w:rPr>
          <w:lang w:val="en"/>
        </w:rPr>
        <w:br w:type="page"/>
      </w:r>
    </w:p>
    <w:p w14:paraId="59549DCB" w14:textId="77777777" w:rsidR="004E78F6" w:rsidRDefault="004E78F6">
      <w:pPr>
        <w:spacing w:after="40"/>
        <w:jc w:val="center"/>
        <w:rPr>
          <w:lang w:val="en"/>
        </w:rPr>
      </w:pPr>
      <w:r>
        <w:rPr>
          <w:noProof/>
        </w:rPr>
        <w:lastRenderedPageBreak/>
        <w:drawing>
          <wp:inline distT="0" distB="0" distL="0" distR="0" wp14:anchorId="15BB7B1B" wp14:editId="546E7B79">
            <wp:extent cx="5943600" cy="4628515"/>
            <wp:effectExtent l="0" t="0" r="0" b="635"/>
            <wp:docPr id="17" name="图片 17"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表&#10;&#10;描述已自动生成"/>
                    <pic:cNvPicPr>
                      <a:picLocks noChangeAspect="1" noChangeArrowheads="1"/>
                    </pic:cNvPicPr>
                  </pic:nvPicPr>
                  <pic:blipFill>
                    <a:blip r:embed="rId31" cstate="hqprint">
                      <a:extLst>
                        <a:ext uri="{28A0092B-C50C-407E-A947-70E740481C1C}">
                          <a14:useLocalDpi xmlns:a14="http://schemas.microsoft.com/office/drawing/2010/main" val="0"/>
                        </a:ext>
                      </a:extLst>
                    </a:blip>
                    <a:srcRect/>
                    <a:stretch>
                      <a:fillRect/>
                    </a:stretch>
                  </pic:blipFill>
                  <pic:spPr bwMode="auto">
                    <a:xfrm>
                      <a:off x="0" y="0"/>
                      <a:ext cx="5943600" cy="4628515"/>
                    </a:xfrm>
                    <a:prstGeom prst="rect">
                      <a:avLst/>
                    </a:prstGeom>
                    <a:noFill/>
                    <a:ln>
                      <a:noFill/>
                    </a:ln>
                  </pic:spPr>
                </pic:pic>
              </a:graphicData>
            </a:graphic>
          </wp:inline>
        </w:drawing>
      </w:r>
    </w:p>
    <w:p w14:paraId="1E365F12"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S21</w:t>
      </w:r>
      <w:r>
        <w:rPr>
          <w:rFonts w:ascii="Times New Roman" w:hAnsi="Times New Roman" w:cs="Times New Roman"/>
          <w:lang w:val="en"/>
        </w:rPr>
        <w:t>.</w:t>
      </w:r>
      <w:r>
        <w:rPr>
          <w:rFonts w:ascii="Times New Roman" w:hAnsi="Times New Roman" w:cs="Times New Roman"/>
          <w:b/>
          <w:bCs/>
          <w:lang w:val="en"/>
        </w:rPr>
        <w:t xml:space="preserve"> Evolution of the second invariant of deviatoric strain rate tensor (</w:t>
      </w:r>
      <w:r w:rsidR="006E2BCA">
        <w:rPr>
          <w:rFonts w:ascii="Times New Roman" w:hAnsi="Times New Roman" w:cs="Times New Roman"/>
          <w:b/>
          <w:bCs/>
          <w:noProof/>
          <w:position w:val="-12"/>
          <w:lang w:val="en"/>
        </w:rPr>
        <w:object w:dxaOrig="300" w:dyaOrig="377" w14:anchorId="2D83A1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15pt;height:20.55pt;mso-width-percent:0;mso-height-percent:0;mso-width-percent:0;mso-height-percent:0" o:ole="">
            <v:imagedata r:id="rId32" o:title=""/>
          </v:shape>
          <o:OLEObject Type="Embed" ProgID="Equation.DSMT4" ShapeID="_x0000_i1025" DrawAspect="Content" ObjectID="_1713880252" r:id="rId33"/>
        </w:object>
      </w:r>
      <w:r>
        <w:rPr>
          <w:rFonts w:ascii="Times New Roman" w:hAnsi="Times New Roman" w:cs="Times New Roman"/>
          <w:b/>
          <w:bCs/>
          <w:lang w:val="en"/>
        </w:rPr>
        <w:t>) in the Type 6 model</w:t>
      </w:r>
      <w:r>
        <w:rPr>
          <w:rFonts w:ascii="Times New Roman" w:hAnsi="Times New Roman" w:cs="Times New Roman"/>
          <w:lang w:val="en"/>
        </w:rPr>
        <w:t xml:space="preserve"> (Run 23). </w:t>
      </w:r>
      <w:r>
        <w:rPr>
          <w:rFonts w:ascii="Times New Roman" w:hAnsi="Times New Roman" w:cs="Times New Roman"/>
        </w:rPr>
        <w:t>Lith.- Lithosphere. Slabs I and II demonstrate the same slabs as those in Figure 4.</w:t>
      </w:r>
      <w:r w:rsidRPr="00B336AC">
        <w:rPr>
          <w:rFonts w:ascii="Times New Roman" w:hAnsi="Times New Roman" w:cs="Times New Roman"/>
        </w:rPr>
        <w:t xml:space="preserve"> </w:t>
      </w:r>
      <w:r>
        <w:rPr>
          <w:rFonts w:ascii="Times New Roman" w:hAnsi="Times New Roman" w:cs="Times New Roman"/>
        </w:rPr>
        <w:t>C. Margin- Continental Margin.</w:t>
      </w:r>
    </w:p>
    <w:p w14:paraId="26EA05B7" w14:textId="77777777" w:rsidR="004E78F6" w:rsidRDefault="004E78F6">
      <w:pPr>
        <w:rPr>
          <w:rFonts w:ascii="Times New Roman" w:hAnsi="Times New Roman" w:cs="Times New Roman"/>
          <w:lang w:val="en"/>
        </w:rPr>
      </w:pPr>
      <w:r>
        <w:rPr>
          <w:rFonts w:ascii="Times New Roman" w:hAnsi="Times New Roman" w:cs="Times New Roman"/>
          <w:lang w:val="en"/>
        </w:rPr>
        <w:br w:type="page"/>
      </w:r>
    </w:p>
    <w:p w14:paraId="7AE9FE97" w14:textId="77777777" w:rsidR="004E78F6" w:rsidRDefault="004E78F6">
      <w:pPr>
        <w:spacing w:after="40"/>
        <w:jc w:val="center"/>
        <w:rPr>
          <w:lang w:val="en"/>
        </w:rPr>
      </w:pPr>
      <w:r>
        <w:rPr>
          <w:noProof/>
        </w:rPr>
        <w:lastRenderedPageBreak/>
        <w:drawing>
          <wp:inline distT="0" distB="0" distL="0" distR="0" wp14:anchorId="2DD4D5F3" wp14:editId="59208EB6">
            <wp:extent cx="5943600" cy="5179695"/>
            <wp:effectExtent l="0" t="0" r="0" b="1905"/>
            <wp:docPr id="18" name="图片 18"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表, 图示&#10;&#10;描述已自动生成"/>
                    <pic:cNvPicPr>
                      <a:picLocks noChangeAspect="1" noChangeArrowheads="1"/>
                    </pic:cNvPicPr>
                  </pic:nvPicPr>
                  <pic:blipFill>
                    <a:blip r:embed="rId34" cstate="hqprint">
                      <a:extLst>
                        <a:ext uri="{28A0092B-C50C-407E-A947-70E740481C1C}">
                          <a14:useLocalDpi xmlns:a14="http://schemas.microsoft.com/office/drawing/2010/main" val="0"/>
                        </a:ext>
                      </a:extLst>
                    </a:blip>
                    <a:srcRect/>
                    <a:stretch>
                      <a:fillRect/>
                    </a:stretch>
                  </pic:blipFill>
                  <pic:spPr bwMode="auto">
                    <a:xfrm>
                      <a:off x="0" y="0"/>
                      <a:ext cx="5943600" cy="5179695"/>
                    </a:xfrm>
                    <a:prstGeom prst="rect">
                      <a:avLst/>
                    </a:prstGeom>
                    <a:noFill/>
                    <a:ln>
                      <a:noFill/>
                    </a:ln>
                  </pic:spPr>
                </pic:pic>
              </a:graphicData>
            </a:graphic>
          </wp:inline>
        </w:drawing>
      </w:r>
    </w:p>
    <w:p w14:paraId="7DD8E123"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S22</w:t>
      </w:r>
      <w:r>
        <w:rPr>
          <w:rFonts w:ascii="Times New Roman" w:hAnsi="Times New Roman" w:cs="Times New Roman"/>
          <w:lang w:val="en"/>
        </w:rPr>
        <w:t xml:space="preserve">. </w:t>
      </w:r>
      <w:r>
        <w:rPr>
          <w:rFonts w:ascii="Times New Roman" w:hAnsi="Times New Roman" w:cs="Times New Roman"/>
          <w:b/>
          <w:bCs/>
          <w:lang w:val="en"/>
        </w:rPr>
        <w:t>Effects of overriding-plate rheology on the evolution of the Type 6 model</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24. This model is the same as Run 23, except that the maximum yielding stress for the crust of the weak overriding plate (Tibetan terranes) is capped at 100 MPa. (</w:t>
      </w:r>
      <w:r>
        <w:rPr>
          <w:rFonts w:ascii="Times New Roman" w:hAnsi="Times New Roman" w:cs="Times New Roman"/>
          <w:b/>
          <w:bCs/>
          <w:lang w:val="en"/>
        </w:rPr>
        <w:t>b</w:t>
      </w:r>
      <w:r>
        <w:rPr>
          <w:rFonts w:ascii="Times New Roman" w:hAnsi="Times New Roman" w:cs="Times New Roman"/>
          <w:lang w:val="en"/>
        </w:rPr>
        <w:t>) Results of Run 25. This model is the same as Run 23, except that the maximum yielding stress for the crust of the weak overriding plate (Tibetan terranes) is capped at 150 MPa. (</w:t>
      </w:r>
      <w:r>
        <w:rPr>
          <w:rFonts w:ascii="Times New Roman" w:hAnsi="Times New Roman" w:cs="Times New Roman"/>
          <w:b/>
          <w:bCs/>
          <w:lang w:val="en"/>
        </w:rPr>
        <w:t>c</w:t>
      </w:r>
      <w:r>
        <w:rPr>
          <w:rFonts w:ascii="Times New Roman" w:hAnsi="Times New Roman" w:cs="Times New Roman"/>
          <w:lang w:val="en"/>
        </w:rPr>
        <w:t>) Results of Run 26. This model is the same as Run 23, except that the maximum yielding stress for the crust of the weak overriding plate (Tibetan terranes) is capped at 200 MPa. (</w:t>
      </w:r>
      <w:r>
        <w:rPr>
          <w:rFonts w:ascii="Times New Roman" w:hAnsi="Times New Roman" w:cs="Times New Roman"/>
          <w:b/>
          <w:bCs/>
          <w:lang w:val="en"/>
        </w:rPr>
        <w:t>d</w:t>
      </w:r>
      <w:r>
        <w:rPr>
          <w:rFonts w:ascii="Times New Roman" w:hAnsi="Times New Roman" w:cs="Times New Roman"/>
          <w:lang w:val="en"/>
        </w:rPr>
        <w:t xml:space="preserve">) Results of Run 27. This model is the same as Run 23, except that the maximum yielding stress for the lithospheric mantle of the weak overriding plate (Tibetan terranes) is capped at 100 MPa. More parameters are in Tables S1-S2. </w:t>
      </w:r>
      <w:r>
        <w:rPr>
          <w:rFonts w:ascii="Times New Roman" w:hAnsi="Times New Roman" w:cs="Times New Roman"/>
        </w:rPr>
        <w:t>Lith.- Lithosphere.</w:t>
      </w:r>
      <w:r w:rsidRPr="00B40845">
        <w:rPr>
          <w:rFonts w:ascii="Times New Roman" w:hAnsi="Times New Roman" w:cs="Times New Roman"/>
        </w:rPr>
        <w:t xml:space="preserve"> </w:t>
      </w:r>
      <w:r>
        <w:rPr>
          <w:rFonts w:ascii="Times New Roman" w:hAnsi="Times New Roman" w:cs="Times New Roman"/>
        </w:rPr>
        <w:t>C. Margin- Continental Margin.</w:t>
      </w:r>
    </w:p>
    <w:p w14:paraId="0441E657" w14:textId="77777777" w:rsidR="004E78F6" w:rsidRDefault="004E78F6">
      <w:pPr>
        <w:rPr>
          <w:lang w:val="en"/>
        </w:rPr>
      </w:pPr>
      <w:r>
        <w:rPr>
          <w:lang w:val="en"/>
        </w:rPr>
        <w:br w:type="page"/>
      </w:r>
    </w:p>
    <w:p w14:paraId="6F2E5D5C" w14:textId="77777777" w:rsidR="004E78F6" w:rsidRDefault="004E78F6">
      <w:pPr>
        <w:spacing w:after="40"/>
        <w:jc w:val="center"/>
        <w:rPr>
          <w:lang w:val="en"/>
        </w:rPr>
      </w:pPr>
      <w:r>
        <w:rPr>
          <w:noProof/>
        </w:rPr>
        <w:lastRenderedPageBreak/>
        <w:drawing>
          <wp:inline distT="0" distB="0" distL="0" distR="0" wp14:anchorId="510FC83D" wp14:editId="6581AA1E">
            <wp:extent cx="5943600" cy="509968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cstate="hqprint">
                      <a:extLst>
                        <a:ext uri="{28A0092B-C50C-407E-A947-70E740481C1C}">
                          <a14:useLocalDpi xmlns:a14="http://schemas.microsoft.com/office/drawing/2010/main" val="0"/>
                        </a:ext>
                      </a:extLst>
                    </a:blip>
                    <a:srcRect/>
                    <a:stretch>
                      <a:fillRect/>
                    </a:stretch>
                  </pic:blipFill>
                  <pic:spPr bwMode="auto">
                    <a:xfrm>
                      <a:off x="0" y="0"/>
                      <a:ext cx="5943600" cy="5099685"/>
                    </a:xfrm>
                    <a:prstGeom prst="rect">
                      <a:avLst/>
                    </a:prstGeom>
                    <a:noFill/>
                    <a:ln>
                      <a:noFill/>
                    </a:ln>
                  </pic:spPr>
                </pic:pic>
              </a:graphicData>
            </a:graphic>
          </wp:inline>
        </w:drawing>
      </w:r>
    </w:p>
    <w:p w14:paraId="60C096BE"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S23</w:t>
      </w:r>
      <w:r>
        <w:rPr>
          <w:rFonts w:ascii="Times New Roman" w:hAnsi="Times New Roman" w:cs="Times New Roman"/>
          <w:lang w:val="en"/>
        </w:rPr>
        <w:t>.</w:t>
      </w:r>
      <w:r>
        <w:rPr>
          <w:rFonts w:ascii="Times New Roman" w:hAnsi="Times New Roman" w:cs="Times New Roman"/>
          <w:b/>
          <w:bCs/>
          <w:lang w:val="en"/>
        </w:rPr>
        <w:t xml:space="preserve"> Effects of terrane slab rheology on the evolution of the Type 6 model</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28. This model is the same as Run 23, except that the maximum yielding stress for the terrane slab hinge is capped at 40 MPa. Terrane slab hinge (within the red box) refers to the terrane portion above the oceanic slab. (</w:t>
      </w:r>
      <w:r>
        <w:rPr>
          <w:rFonts w:ascii="Times New Roman" w:hAnsi="Times New Roman" w:cs="Times New Roman"/>
          <w:b/>
          <w:bCs/>
          <w:lang w:val="en"/>
        </w:rPr>
        <w:t>b</w:t>
      </w:r>
      <w:r>
        <w:rPr>
          <w:rFonts w:ascii="Times New Roman" w:hAnsi="Times New Roman" w:cs="Times New Roman"/>
          <w:lang w:val="en"/>
        </w:rPr>
        <w:t>) Results of Run 29. This model is the same as Run 23, except that the maximum yielding stress for the terrane slab hinge is capped at 60 MPa. (</w:t>
      </w:r>
      <w:r>
        <w:rPr>
          <w:rFonts w:ascii="Times New Roman" w:hAnsi="Times New Roman" w:cs="Times New Roman"/>
          <w:b/>
          <w:bCs/>
          <w:lang w:val="en"/>
        </w:rPr>
        <w:t>c</w:t>
      </w:r>
      <w:r>
        <w:rPr>
          <w:rFonts w:ascii="Times New Roman" w:hAnsi="Times New Roman" w:cs="Times New Roman"/>
          <w:lang w:val="en"/>
        </w:rPr>
        <w:t>) Results of Run 30. This model is the same as Run 23, except that the maximum yielding stress for the terrane slab hinge is capped at 80 MPa. (</w:t>
      </w:r>
      <w:r>
        <w:rPr>
          <w:rFonts w:ascii="Times New Roman" w:hAnsi="Times New Roman" w:cs="Times New Roman"/>
          <w:b/>
          <w:bCs/>
          <w:lang w:val="en"/>
        </w:rPr>
        <w:t>d</w:t>
      </w:r>
      <w:r>
        <w:rPr>
          <w:rFonts w:ascii="Times New Roman" w:hAnsi="Times New Roman" w:cs="Times New Roman"/>
          <w:lang w:val="en"/>
        </w:rPr>
        <w:t xml:space="preserve">) Results of Run 31. This model is the same as Run 23, except that the maximum yielding stress for the terrane slab hinge is capped at 100 MPa. More parameters are in Tables S1-S2. </w:t>
      </w:r>
      <w:r>
        <w:rPr>
          <w:rFonts w:ascii="Times New Roman" w:hAnsi="Times New Roman" w:cs="Times New Roman"/>
        </w:rPr>
        <w:t>Lith.- Lithosphere.</w:t>
      </w:r>
    </w:p>
    <w:p w14:paraId="5763EED5" w14:textId="77777777" w:rsidR="004E78F6" w:rsidRDefault="004E78F6">
      <w:pPr>
        <w:rPr>
          <w:lang w:val="en"/>
        </w:rPr>
      </w:pPr>
      <w:r>
        <w:rPr>
          <w:lang w:val="en"/>
        </w:rPr>
        <w:br w:type="page"/>
      </w:r>
    </w:p>
    <w:p w14:paraId="2FCE4C3A" w14:textId="77777777" w:rsidR="004E78F6" w:rsidRDefault="004E78F6">
      <w:pPr>
        <w:spacing w:after="40"/>
        <w:jc w:val="center"/>
        <w:rPr>
          <w:lang w:val="en"/>
        </w:rPr>
      </w:pPr>
      <w:r>
        <w:rPr>
          <w:noProof/>
        </w:rPr>
        <w:lastRenderedPageBreak/>
        <w:drawing>
          <wp:inline distT="0" distB="0" distL="0" distR="0" wp14:anchorId="3A68388F" wp14:editId="4B4EA2DC">
            <wp:extent cx="5943600" cy="47072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hqprint">
                      <a:extLst>
                        <a:ext uri="{28A0092B-C50C-407E-A947-70E740481C1C}">
                          <a14:useLocalDpi xmlns:a14="http://schemas.microsoft.com/office/drawing/2010/main" val="0"/>
                        </a:ext>
                      </a:extLst>
                    </a:blip>
                    <a:srcRect/>
                    <a:stretch>
                      <a:fillRect/>
                    </a:stretch>
                  </pic:blipFill>
                  <pic:spPr bwMode="auto">
                    <a:xfrm>
                      <a:off x="0" y="0"/>
                      <a:ext cx="5943600" cy="4707255"/>
                    </a:xfrm>
                    <a:prstGeom prst="rect">
                      <a:avLst/>
                    </a:prstGeom>
                    <a:noFill/>
                    <a:ln>
                      <a:noFill/>
                    </a:ln>
                  </pic:spPr>
                </pic:pic>
              </a:graphicData>
            </a:graphic>
          </wp:inline>
        </w:drawing>
      </w:r>
    </w:p>
    <w:p w14:paraId="184F27A9" w14:textId="77777777" w:rsidR="004E78F6" w:rsidRDefault="004E78F6">
      <w:pPr>
        <w:jc w:val="both"/>
        <w:rPr>
          <w:rFonts w:ascii="Times New Roman" w:hAnsi="Times New Roman" w:cs="Times New Roman"/>
          <w:lang w:val="en"/>
        </w:rPr>
      </w:pPr>
      <w:r>
        <w:rPr>
          <w:rFonts w:ascii="Times New Roman" w:hAnsi="Times New Roman" w:cs="Times New Roman"/>
          <w:b/>
          <w:bCs/>
          <w:lang w:val="en"/>
        </w:rPr>
        <w:t>Figure S24</w:t>
      </w:r>
      <w:r>
        <w:rPr>
          <w:rFonts w:ascii="Times New Roman" w:hAnsi="Times New Roman" w:cs="Times New Roman"/>
          <w:lang w:val="en"/>
        </w:rPr>
        <w:t>.</w:t>
      </w:r>
      <w:r>
        <w:rPr>
          <w:rFonts w:ascii="Times New Roman" w:hAnsi="Times New Roman" w:cs="Times New Roman"/>
          <w:b/>
          <w:bCs/>
          <w:lang w:val="en"/>
        </w:rPr>
        <w:t xml:space="preserve"> Effects of the Indian plate density on the evolution of the Type 6 model</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32. This model is the same as Run 23, except that the compositional density of the Indian lithospheric mantle is 3.35 g/cm</w:t>
      </w:r>
      <w:r>
        <w:rPr>
          <w:rFonts w:ascii="Times New Roman" w:hAnsi="Times New Roman" w:cs="Times New Roman"/>
          <w:vertAlign w:val="superscript"/>
          <w:lang w:val="en"/>
        </w:rPr>
        <w:t>3</w:t>
      </w:r>
      <w:r>
        <w:rPr>
          <w:rFonts w:ascii="Times New Roman" w:hAnsi="Times New Roman" w:cs="Times New Roman"/>
          <w:lang w:val="en"/>
        </w:rPr>
        <w:t>. (</w:t>
      </w:r>
      <w:r>
        <w:rPr>
          <w:rFonts w:ascii="Times New Roman" w:hAnsi="Times New Roman" w:cs="Times New Roman"/>
          <w:b/>
          <w:bCs/>
          <w:lang w:val="en"/>
        </w:rPr>
        <w:t>b</w:t>
      </w:r>
      <w:r>
        <w:rPr>
          <w:rFonts w:ascii="Times New Roman" w:hAnsi="Times New Roman" w:cs="Times New Roman"/>
          <w:lang w:val="en"/>
        </w:rPr>
        <w:t>) Results of Run 33. This model is the same as Run 23, except that the compositional density of the Indian lithospheric mantle is 3.36 g/cm</w:t>
      </w:r>
      <w:r>
        <w:rPr>
          <w:rFonts w:ascii="Times New Roman" w:hAnsi="Times New Roman" w:cs="Times New Roman"/>
          <w:vertAlign w:val="superscript"/>
          <w:lang w:val="en"/>
        </w:rPr>
        <w:t>3</w:t>
      </w:r>
      <w:r>
        <w:rPr>
          <w:rFonts w:ascii="Times New Roman" w:hAnsi="Times New Roman" w:cs="Times New Roman"/>
          <w:lang w:val="en"/>
        </w:rPr>
        <w:t>. (</w:t>
      </w:r>
      <w:r>
        <w:rPr>
          <w:rFonts w:ascii="Times New Roman" w:hAnsi="Times New Roman" w:cs="Times New Roman"/>
          <w:b/>
          <w:bCs/>
          <w:lang w:val="en"/>
        </w:rPr>
        <w:t>c</w:t>
      </w:r>
      <w:r>
        <w:rPr>
          <w:rFonts w:ascii="Times New Roman" w:hAnsi="Times New Roman" w:cs="Times New Roman"/>
          <w:lang w:val="en"/>
        </w:rPr>
        <w:t>) Results of Run 34. This model is the same as Run 23, except that the compositional density of the Indian lithospheric mantle is 3.37 g/cm</w:t>
      </w:r>
      <w:r>
        <w:rPr>
          <w:rFonts w:ascii="Times New Roman" w:hAnsi="Times New Roman" w:cs="Times New Roman"/>
          <w:vertAlign w:val="superscript"/>
          <w:lang w:val="en"/>
        </w:rPr>
        <w:t>3</w:t>
      </w:r>
      <w:r>
        <w:rPr>
          <w:rFonts w:ascii="Times New Roman" w:hAnsi="Times New Roman" w:cs="Times New Roman"/>
          <w:lang w:val="en"/>
        </w:rPr>
        <w:t>. (</w:t>
      </w:r>
      <w:r>
        <w:rPr>
          <w:rFonts w:ascii="Times New Roman" w:hAnsi="Times New Roman" w:cs="Times New Roman"/>
          <w:b/>
          <w:bCs/>
          <w:lang w:val="en"/>
        </w:rPr>
        <w:t>d</w:t>
      </w:r>
      <w:r>
        <w:rPr>
          <w:rFonts w:ascii="Times New Roman" w:hAnsi="Times New Roman" w:cs="Times New Roman"/>
          <w:lang w:val="en"/>
        </w:rPr>
        <w:t>) Results of Run 35. This model is the same as Run 23, except that the compositional density of the Indian lithospheric mantle is 3.38 g/cm</w:t>
      </w:r>
      <w:r>
        <w:rPr>
          <w:rFonts w:ascii="Times New Roman" w:hAnsi="Times New Roman" w:cs="Times New Roman"/>
          <w:vertAlign w:val="superscript"/>
          <w:lang w:val="en"/>
        </w:rPr>
        <w:t>3</w:t>
      </w:r>
      <w:r>
        <w:rPr>
          <w:rFonts w:ascii="Times New Roman" w:hAnsi="Times New Roman" w:cs="Times New Roman"/>
          <w:lang w:val="en"/>
        </w:rPr>
        <w:t xml:space="preserve">. More parameters are in Tables S1-S2. </w:t>
      </w:r>
      <w:r>
        <w:rPr>
          <w:rFonts w:ascii="Times New Roman" w:hAnsi="Times New Roman" w:cs="Times New Roman"/>
        </w:rPr>
        <w:t>Lith.- Lithosphere.</w:t>
      </w:r>
    </w:p>
    <w:p w14:paraId="2FB14906" w14:textId="77777777" w:rsidR="004E78F6" w:rsidRDefault="004E78F6">
      <w:pPr>
        <w:rPr>
          <w:lang w:val="en"/>
        </w:rPr>
      </w:pPr>
      <w:r>
        <w:rPr>
          <w:lang w:val="en"/>
        </w:rPr>
        <w:br w:type="page"/>
      </w:r>
    </w:p>
    <w:p w14:paraId="3F4B41B9" w14:textId="77777777" w:rsidR="004E78F6" w:rsidRDefault="004E78F6">
      <w:pPr>
        <w:jc w:val="center"/>
        <w:rPr>
          <w:lang w:val="en"/>
        </w:rPr>
      </w:pPr>
      <w:r>
        <w:rPr>
          <w:noProof/>
        </w:rPr>
        <w:lastRenderedPageBreak/>
        <w:drawing>
          <wp:inline distT="0" distB="0" distL="0" distR="0" wp14:anchorId="22CAB4C1" wp14:editId="558519FE">
            <wp:extent cx="5943600" cy="302450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cstate="hqprint">
                      <a:extLst>
                        <a:ext uri="{28A0092B-C50C-407E-A947-70E740481C1C}">
                          <a14:useLocalDpi xmlns:a14="http://schemas.microsoft.com/office/drawing/2010/main" val="0"/>
                        </a:ext>
                      </a:extLst>
                    </a:blip>
                    <a:srcRect/>
                    <a:stretch>
                      <a:fillRect/>
                    </a:stretch>
                  </pic:blipFill>
                  <pic:spPr bwMode="auto">
                    <a:xfrm>
                      <a:off x="0" y="0"/>
                      <a:ext cx="5943600" cy="3024505"/>
                    </a:xfrm>
                    <a:prstGeom prst="rect">
                      <a:avLst/>
                    </a:prstGeom>
                    <a:noFill/>
                    <a:ln>
                      <a:noFill/>
                    </a:ln>
                  </pic:spPr>
                </pic:pic>
              </a:graphicData>
            </a:graphic>
          </wp:inline>
        </w:drawing>
      </w:r>
    </w:p>
    <w:p w14:paraId="4525282E" w14:textId="77777777" w:rsidR="004E78F6" w:rsidRDefault="004E78F6">
      <w:pPr>
        <w:jc w:val="both"/>
        <w:rPr>
          <w:rFonts w:ascii="Times New Roman" w:hAnsi="Times New Roman" w:cs="Times New Roman"/>
        </w:rPr>
      </w:pPr>
      <w:r>
        <w:rPr>
          <w:rFonts w:ascii="Times New Roman" w:hAnsi="Times New Roman" w:cs="Times New Roman"/>
          <w:b/>
          <w:bCs/>
          <w:lang w:val="en"/>
        </w:rPr>
        <w:t>Figure S25</w:t>
      </w:r>
      <w:r>
        <w:rPr>
          <w:rFonts w:ascii="Times New Roman" w:hAnsi="Times New Roman" w:cs="Times New Roman"/>
          <w:lang w:val="en"/>
        </w:rPr>
        <w:t>.</w:t>
      </w:r>
      <w:r>
        <w:rPr>
          <w:rFonts w:ascii="Times New Roman" w:hAnsi="Times New Roman" w:cs="Times New Roman"/>
          <w:b/>
          <w:bCs/>
          <w:lang w:val="en"/>
        </w:rPr>
        <w:t xml:space="preserve"> Effects of the lower mantle viscosity on the evolution of the Type 6 model</w:t>
      </w:r>
      <w:r>
        <w:rPr>
          <w:rFonts w:ascii="Times New Roman" w:hAnsi="Times New Roman" w:cs="Times New Roman"/>
          <w:lang w:val="en"/>
        </w:rPr>
        <w:t>. (</w:t>
      </w:r>
      <w:r>
        <w:rPr>
          <w:rFonts w:ascii="Times New Roman" w:hAnsi="Times New Roman" w:cs="Times New Roman"/>
          <w:b/>
          <w:bCs/>
          <w:lang w:val="en"/>
        </w:rPr>
        <w:t>a</w:t>
      </w:r>
      <w:r>
        <w:rPr>
          <w:rFonts w:ascii="Times New Roman" w:hAnsi="Times New Roman" w:cs="Times New Roman"/>
          <w:lang w:val="en"/>
        </w:rPr>
        <w:t>) Results of Run 36. This model is the same as Run 23, except for the lower mantle viscosity of 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w:t>
      </w:r>
      <w:r>
        <w:rPr>
          <w:rFonts w:ascii="Times New Roman" w:hAnsi="Times New Roman" w:cs="Times New Roman"/>
          <w:b/>
          <w:bCs/>
          <w:lang w:val="en"/>
        </w:rPr>
        <w:t>b</w:t>
      </w:r>
      <w:r>
        <w:rPr>
          <w:rFonts w:ascii="Times New Roman" w:hAnsi="Times New Roman" w:cs="Times New Roman"/>
          <w:lang w:val="en"/>
        </w:rPr>
        <w:t>) Results of Run 37. This model is the same as Run 23, except for the lower mantle viscosity is 3</w:t>
      </w:r>
      <m:oMath>
        <m:r>
          <w:rPr>
            <w:rFonts w:ascii="Cambria Math" w:hAnsi="Cambria Math" w:cs="Times New Roman"/>
            <w:lang w:val="en"/>
          </w:rPr>
          <m:t>×</m:t>
        </m:r>
      </m:oMath>
      <w:r>
        <w:rPr>
          <w:rFonts w:ascii="Times New Roman" w:hAnsi="Times New Roman" w:cs="Times New Roman"/>
          <w:lang w:val="en"/>
        </w:rPr>
        <w:t>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w:t>
      </w:r>
      <w:r>
        <w:rPr>
          <w:rFonts w:ascii="Times New Roman" w:hAnsi="Times New Roman" w:cs="Times New Roman"/>
          <w:b/>
          <w:bCs/>
          <w:lang w:val="en"/>
        </w:rPr>
        <w:t>c</w:t>
      </w:r>
      <w:r>
        <w:rPr>
          <w:rFonts w:ascii="Times New Roman" w:hAnsi="Times New Roman" w:cs="Times New Roman"/>
          <w:lang w:val="en"/>
        </w:rPr>
        <w:t>) Results of Run 38. This model is the same as Run 23, except that the lower mantle viscosity is 5</w:t>
      </w:r>
      <m:oMath>
        <m:r>
          <w:rPr>
            <w:rFonts w:ascii="Cambria Math" w:hAnsi="Cambria Math" w:cs="Times New Roman"/>
            <w:lang w:val="en"/>
          </w:rPr>
          <m:t>×</m:t>
        </m:r>
      </m:oMath>
      <w:r>
        <w:rPr>
          <w:rFonts w:ascii="Times New Roman" w:hAnsi="Times New Roman" w:cs="Times New Roman"/>
          <w:lang w:val="en"/>
        </w:rPr>
        <w:t>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w:t>
      </w:r>
      <w:r>
        <w:rPr>
          <w:rFonts w:ascii="Times New Roman" w:hAnsi="Times New Roman" w:cs="Times New Roman"/>
          <w:b/>
          <w:bCs/>
          <w:lang w:val="en"/>
        </w:rPr>
        <w:t>d</w:t>
      </w:r>
      <w:r>
        <w:rPr>
          <w:rFonts w:ascii="Times New Roman" w:hAnsi="Times New Roman" w:cs="Times New Roman"/>
          <w:lang w:val="en"/>
        </w:rPr>
        <w:t>) Results of Run 23. In Run 23, the lower mantle viscosity is 10</w:t>
      </w:r>
      <m:oMath>
        <m:r>
          <w:rPr>
            <w:rFonts w:ascii="Cambria Math" w:hAnsi="Cambria Math" w:cs="Times New Roman"/>
            <w:lang w:val="en"/>
          </w:rPr>
          <m:t>×</m:t>
        </m:r>
      </m:oMath>
      <w:r>
        <w:rPr>
          <w:rFonts w:ascii="Times New Roman" w:hAnsi="Times New Roman" w:cs="Times New Roman"/>
          <w:lang w:val="en"/>
        </w:rPr>
        <w:t>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w:t>
      </w:r>
      <w:r>
        <w:rPr>
          <w:rFonts w:ascii="Times New Roman" w:hAnsi="Times New Roman" w:cs="Times New Roman"/>
          <w:b/>
          <w:bCs/>
          <w:lang w:val="en"/>
        </w:rPr>
        <w:t>e</w:t>
      </w:r>
      <w:r>
        <w:rPr>
          <w:rFonts w:ascii="Times New Roman" w:hAnsi="Times New Roman" w:cs="Times New Roman"/>
          <w:lang w:val="en"/>
        </w:rPr>
        <w:t>) Results of Run 39. This model is the same as Run 23, except that the lower mantle viscosity is 20</w:t>
      </w:r>
      <m:oMath>
        <m:r>
          <w:rPr>
            <w:rFonts w:ascii="Cambria Math" w:hAnsi="Cambria Math" w:cs="Times New Roman"/>
            <w:lang w:val="en"/>
          </w:rPr>
          <m:t>×</m:t>
        </m:r>
      </m:oMath>
      <w:r>
        <w:rPr>
          <w:rFonts w:ascii="Times New Roman" w:hAnsi="Times New Roman" w:cs="Times New Roman"/>
          <w:lang w:val="en"/>
        </w:rPr>
        <w:t>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w:t>
      </w:r>
      <w:r>
        <w:rPr>
          <w:rFonts w:ascii="Times New Roman" w:hAnsi="Times New Roman" w:cs="Times New Roman"/>
          <w:b/>
          <w:bCs/>
          <w:lang w:val="en"/>
        </w:rPr>
        <w:t>f</w:t>
      </w:r>
      <w:r>
        <w:rPr>
          <w:rFonts w:ascii="Times New Roman" w:hAnsi="Times New Roman" w:cs="Times New Roman"/>
          <w:lang w:val="en"/>
        </w:rPr>
        <w:t>) Results of Run 40. This model is the same as Run 23, except that the lower mantle viscosity is 50</w:t>
      </w:r>
      <m:oMath>
        <m:r>
          <w:rPr>
            <w:rFonts w:ascii="Cambria Math" w:hAnsi="Cambria Math" w:cs="Times New Roman"/>
            <w:lang w:val="en"/>
          </w:rPr>
          <m:t>×</m:t>
        </m:r>
      </m:oMath>
      <w:r>
        <w:rPr>
          <w:rFonts w:ascii="Times New Roman" w:hAnsi="Times New Roman" w:cs="Times New Roman"/>
          <w:lang w:val="en"/>
        </w:rPr>
        <w:t>10</w:t>
      </w:r>
      <w:r>
        <w:rPr>
          <w:rFonts w:ascii="Times New Roman" w:hAnsi="Times New Roman" w:cs="Times New Roman"/>
          <w:vertAlign w:val="superscript"/>
          <w:lang w:val="en"/>
        </w:rPr>
        <w:t>22</w:t>
      </w:r>
      <w:r>
        <w:rPr>
          <w:rFonts w:ascii="Times New Roman" w:hAnsi="Times New Roman" w:cs="Times New Roman"/>
          <w:lang w:val="en"/>
        </w:rPr>
        <w:t xml:space="preserve"> </w:t>
      </w:r>
      <w:proofErr w:type="spellStart"/>
      <w:r>
        <w:rPr>
          <w:rFonts w:ascii="Times New Roman" w:hAnsi="Times New Roman" w:cs="Times New Roman"/>
          <w:lang w:val="en"/>
        </w:rPr>
        <w:t>Pa</w:t>
      </w:r>
      <w:r>
        <w:rPr>
          <w:rFonts w:ascii="Calibri" w:hAnsi="Calibri" w:cs="Calibri"/>
          <w:lang w:val="en"/>
        </w:rPr>
        <w:t>·</w:t>
      </w:r>
      <w:r>
        <w:rPr>
          <w:rFonts w:ascii="Times New Roman" w:hAnsi="Times New Roman" w:cs="Times New Roman"/>
          <w:lang w:val="en"/>
        </w:rPr>
        <w:t>s</w:t>
      </w:r>
      <w:proofErr w:type="spellEnd"/>
      <w:r>
        <w:rPr>
          <w:rFonts w:ascii="Times New Roman" w:hAnsi="Times New Roman" w:cs="Times New Roman"/>
          <w:lang w:val="en"/>
        </w:rPr>
        <w:t>. More parameters are in Tables S1-S2.</w:t>
      </w:r>
      <w:r w:rsidRPr="007C193E">
        <w:rPr>
          <w:rFonts w:ascii="Times New Roman" w:hAnsi="Times New Roman" w:cs="Times New Roman"/>
        </w:rPr>
        <w:t xml:space="preserve"> </w:t>
      </w:r>
      <w:r>
        <w:rPr>
          <w:rFonts w:ascii="Times New Roman" w:hAnsi="Times New Roman" w:cs="Times New Roman"/>
        </w:rPr>
        <w:t>Lith.- Lithosphere.</w:t>
      </w:r>
    </w:p>
    <w:p w14:paraId="3D833B9C" w14:textId="77777777" w:rsidR="004E78F6" w:rsidRDefault="004E78F6">
      <w:pPr>
        <w:rPr>
          <w:rFonts w:ascii="Times New Roman" w:hAnsi="Times New Roman" w:cs="Times New Roman"/>
        </w:rPr>
      </w:pPr>
      <w:r>
        <w:rPr>
          <w:rFonts w:ascii="Times New Roman" w:hAnsi="Times New Roman" w:cs="Times New Roman"/>
        </w:rPr>
        <w:br w:type="page"/>
      </w:r>
    </w:p>
    <w:p w14:paraId="6E92B3C6" w14:textId="77777777" w:rsidR="004E78F6" w:rsidRDefault="004E78F6" w:rsidP="00050249">
      <w:pPr>
        <w:rPr>
          <w:rFonts w:ascii="Times New Roman" w:hAnsi="Times New Roman" w:cs="Times New Roman"/>
          <w:b/>
          <w:bCs/>
          <w:lang w:val="en"/>
        </w:rPr>
      </w:pPr>
      <w:r>
        <w:rPr>
          <w:noProof/>
        </w:rPr>
        <w:lastRenderedPageBreak/>
        <w:drawing>
          <wp:inline distT="0" distB="0" distL="0" distR="0" wp14:anchorId="6E4302DB" wp14:editId="1BD186BE">
            <wp:extent cx="5943600" cy="4135120"/>
            <wp:effectExtent l="0" t="0" r="0" b="0"/>
            <wp:docPr id="19" name="Picture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图形用户界面, 应用程序&#10;&#10;描述已自动生成"/>
                    <pic:cNvPicPr>
                      <a:picLocks noChangeAspect="1" noChangeArrowheads="1"/>
                    </pic:cNvPicPr>
                  </pic:nvPicPr>
                  <pic:blipFill>
                    <a:blip r:embed="rId38" cstate="hqprint">
                      <a:extLst>
                        <a:ext uri="{28A0092B-C50C-407E-A947-70E740481C1C}">
                          <a14:useLocalDpi xmlns:a14="http://schemas.microsoft.com/office/drawing/2010/main" val="0"/>
                        </a:ext>
                      </a:extLst>
                    </a:blip>
                    <a:srcRect/>
                    <a:stretch>
                      <a:fillRect/>
                    </a:stretch>
                  </pic:blipFill>
                  <pic:spPr bwMode="auto">
                    <a:xfrm>
                      <a:off x="0" y="0"/>
                      <a:ext cx="5943600" cy="4135120"/>
                    </a:xfrm>
                    <a:prstGeom prst="rect">
                      <a:avLst/>
                    </a:prstGeom>
                    <a:noFill/>
                    <a:ln>
                      <a:noFill/>
                    </a:ln>
                  </pic:spPr>
                </pic:pic>
              </a:graphicData>
            </a:graphic>
          </wp:inline>
        </w:drawing>
      </w:r>
    </w:p>
    <w:p w14:paraId="0D07A68C" w14:textId="77777777" w:rsidR="004E78F6" w:rsidRDefault="004E78F6" w:rsidP="00130EB6">
      <w:pPr>
        <w:jc w:val="both"/>
        <w:rPr>
          <w:rFonts w:ascii="Times New Roman" w:hAnsi="Times New Roman" w:cs="Times New Roman"/>
          <w:lang w:val="en"/>
        </w:rPr>
      </w:pPr>
      <w:r>
        <w:rPr>
          <w:rFonts w:ascii="Times New Roman" w:hAnsi="Times New Roman" w:cs="Times New Roman"/>
          <w:b/>
          <w:bCs/>
          <w:lang w:val="en"/>
        </w:rPr>
        <w:t>Figure S26.</w:t>
      </w:r>
      <w:r w:rsidRPr="00423135">
        <w:rPr>
          <w:rFonts w:ascii="Times New Roman" w:hAnsi="Times New Roman" w:cs="Times New Roman"/>
          <w:lang w:val="en"/>
        </w:rPr>
        <w:t xml:space="preserve"> </w:t>
      </w:r>
      <w:r>
        <w:rPr>
          <w:rFonts w:ascii="Times New Roman" w:hAnsi="Times New Roman" w:cs="Times New Roman"/>
          <w:lang w:val="en"/>
        </w:rPr>
        <w:t>D</w:t>
      </w:r>
      <w:r w:rsidRPr="00423135">
        <w:rPr>
          <w:rFonts w:ascii="Times New Roman" w:hAnsi="Times New Roman" w:cs="Times New Roman"/>
          <w:lang w:val="en"/>
        </w:rPr>
        <w:t>ynamic topograp</w:t>
      </w:r>
      <w:r>
        <w:rPr>
          <w:rFonts w:ascii="Times New Roman" w:hAnsi="Times New Roman" w:cs="Times New Roman"/>
          <w:lang w:val="en"/>
        </w:rPr>
        <w:t>h</w:t>
      </w:r>
      <w:r w:rsidRPr="00423135">
        <w:rPr>
          <w:rFonts w:ascii="Times New Roman" w:hAnsi="Times New Roman" w:cs="Times New Roman"/>
          <w:lang w:val="en"/>
        </w:rPr>
        <w:t xml:space="preserve">y </w:t>
      </w:r>
      <w:r>
        <w:rPr>
          <w:rFonts w:ascii="Times New Roman" w:hAnsi="Times New Roman" w:cs="Times New Roman"/>
          <w:lang w:val="en"/>
        </w:rPr>
        <w:t>evolution of</w:t>
      </w:r>
      <w:r w:rsidRPr="00423135">
        <w:rPr>
          <w:rFonts w:ascii="Times New Roman" w:hAnsi="Times New Roman" w:cs="Times New Roman"/>
          <w:lang w:val="en"/>
        </w:rPr>
        <w:t xml:space="preserve"> </w:t>
      </w:r>
      <w:r>
        <w:rPr>
          <w:rFonts w:ascii="Times New Roman" w:hAnsi="Times New Roman" w:cs="Times New Roman"/>
          <w:lang w:val="en"/>
        </w:rPr>
        <w:t xml:space="preserve">the Indo-Eurasian Orogen according to the global numerical modeling </w:t>
      </w:r>
      <w:r w:rsidRPr="00322CAC">
        <w:rPr>
          <w:rFonts w:ascii="Times New Roman" w:hAnsi="Times New Roman" w:cs="Times New Roman"/>
          <w:noProof/>
          <w:vertAlign w:val="superscript"/>
          <w:lang w:val="en"/>
        </w:rPr>
        <w:t>93</w:t>
      </w:r>
      <w:r>
        <w:rPr>
          <w:rFonts w:ascii="Times New Roman" w:hAnsi="Times New Roman" w:cs="Times New Roman"/>
          <w:lang w:val="en"/>
        </w:rPr>
        <w:t xml:space="preserve">. The distribution of faults, sutures, and trenches is based on </w:t>
      </w:r>
      <w:r>
        <w:rPr>
          <w:rFonts w:ascii="Times New Roman" w:hAnsi="Times New Roman" w:cs="Times New Roman"/>
          <w:color w:val="0000FF"/>
        </w:rPr>
        <w:t>Müller et al., 2016</w:t>
      </w:r>
      <w:r w:rsidRPr="00322CAC">
        <w:rPr>
          <w:rFonts w:ascii="Times New Roman" w:hAnsi="Times New Roman" w:cs="Times New Roman"/>
          <w:noProof/>
          <w:vertAlign w:val="superscript"/>
        </w:rPr>
        <w:t>94</w:t>
      </w:r>
      <w:r>
        <w:rPr>
          <w:rFonts w:ascii="Times New Roman" w:hAnsi="Times New Roman" w:cs="Times New Roman"/>
          <w:color w:val="0000FF"/>
        </w:rPr>
        <w:t>.</w:t>
      </w:r>
      <w:r>
        <w:rPr>
          <w:rFonts w:ascii="Times New Roman" w:hAnsi="Times New Roman" w:cs="Times New Roman"/>
          <w:lang w:val="en"/>
        </w:rPr>
        <w:t xml:space="preserve"> </w:t>
      </w:r>
      <w:r w:rsidRPr="00423135">
        <w:rPr>
          <w:rFonts w:ascii="Times New Roman" w:hAnsi="Times New Roman" w:cs="Times New Roman"/>
          <w:b/>
          <w:bCs/>
          <w:lang w:val="en"/>
        </w:rPr>
        <w:t>(a)-(e)</w:t>
      </w:r>
      <w:r>
        <w:rPr>
          <w:rFonts w:ascii="Times New Roman" w:hAnsi="Times New Roman" w:cs="Times New Roman"/>
          <w:lang w:val="en"/>
        </w:rPr>
        <w:t xml:space="preserve"> Map views of the dynamic topography at 60, 50, 40, 30, and 20 Ma, respectively. </w:t>
      </w:r>
      <w:r w:rsidRPr="00423135">
        <w:rPr>
          <w:rFonts w:ascii="Times New Roman" w:hAnsi="Times New Roman" w:cs="Times New Roman"/>
          <w:b/>
          <w:bCs/>
          <w:lang w:val="en"/>
        </w:rPr>
        <w:t>(f)</w:t>
      </w:r>
      <w:r>
        <w:rPr>
          <w:rFonts w:ascii="Times New Roman" w:hAnsi="Times New Roman" w:cs="Times New Roman"/>
          <w:lang w:val="en"/>
        </w:rPr>
        <w:t xml:space="preserve"> Evolution of the dynamic topography in central Tibet. Because the Indian Subcontinental is our 3D model is purely thermal, the dynamic topography of the Tibet Plateau after India approach can be too large </w:t>
      </w:r>
      <w:r w:rsidRPr="00322CAC">
        <w:rPr>
          <w:rFonts w:ascii="Times New Roman" w:hAnsi="Times New Roman" w:cs="Times New Roman"/>
          <w:noProof/>
          <w:vertAlign w:val="superscript"/>
          <w:lang w:val="en"/>
        </w:rPr>
        <w:t>46,52,93</w:t>
      </w:r>
      <w:r>
        <w:rPr>
          <w:rFonts w:ascii="Times New Roman" w:hAnsi="Times New Roman" w:cs="Times New Roman"/>
          <w:lang w:val="en"/>
        </w:rPr>
        <w:t xml:space="preserve">. </w:t>
      </w:r>
    </w:p>
    <w:p w14:paraId="798D06D2" w14:textId="77777777" w:rsidR="004E78F6" w:rsidRDefault="004E78F6">
      <w:pPr>
        <w:rPr>
          <w:lang w:val="en"/>
        </w:rPr>
      </w:pPr>
      <w:r>
        <w:rPr>
          <w:lang w:val="en"/>
        </w:rPr>
        <w:br w:type="page"/>
      </w:r>
    </w:p>
    <w:p w14:paraId="324BAECF" w14:textId="77777777" w:rsidR="004E78F6" w:rsidRDefault="004E78F6">
      <w:pPr>
        <w:spacing w:line="360" w:lineRule="auto"/>
        <w:jc w:val="both"/>
        <w:rPr>
          <w:rFonts w:ascii="Times New Roman" w:hAnsi="Times New Roman" w:cs="Times New Roman"/>
          <w:b/>
          <w:bCs/>
          <w:sz w:val="28"/>
          <w:szCs w:val="28"/>
          <w:lang w:val="en"/>
        </w:rPr>
      </w:pPr>
      <w:r>
        <w:rPr>
          <w:rFonts w:ascii="Times New Roman" w:hAnsi="Times New Roman" w:cs="Times New Roman"/>
          <w:b/>
          <w:bCs/>
          <w:sz w:val="28"/>
          <w:szCs w:val="28"/>
          <w:lang w:val="en"/>
        </w:rPr>
        <w:lastRenderedPageBreak/>
        <w:t>Supplementary References:</w:t>
      </w:r>
    </w:p>
    <w:p w14:paraId="1C7E133E" w14:textId="77777777" w:rsidR="004E78F6" w:rsidRPr="00F45ED2" w:rsidRDefault="004E78F6" w:rsidP="00FE3799">
      <w:pPr>
        <w:pStyle w:val="EndNoteBibliography"/>
        <w:spacing w:after="0"/>
      </w:pPr>
      <w:r w:rsidRPr="00F45ED2">
        <w:t>77</w:t>
      </w:r>
      <w:r w:rsidRPr="00F45ED2">
        <w:tab/>
        <w:t xml:space="preserve">Hirth, G. &amp; Kohlstedf, D. Rheology of the upper mantle and the mantle wedge: A view from the experimentalists. </w:t>
      </w:r>
      <w:r w:rsidRPr="00F45ED2">
        <w:rPr>
          <w:i/>
        </w:rPr>
        <w:t>Geophysical monograph-american geophysical union</w:t>
      </w:r>
      <w:r w:rsidRPr="00F45ED2">
        <w:t xml:space="preserve"> </w:t>
      </w:r>
      <w:r w:rsidRPr="00F45ED2">
        <w:rPr>
          <w:b/>
        </w:rPr>
        <w:t>138</w:t>
      </w:r>
      <w:r w:rsidRPr="00F45ED2">
        <w:t>, 83-106 (2003).</w:t>
      </w:r>
    </w:p>
    <w:p w14:paraId="2BB4F569" w14:textId="77777777" w:rsidR="004E78F6" w:rsidRPr="00F45ED2" w:rsidRDefault="004E78F6" w:rsidP="00FE3799">
      <w:pPr>
        <w:pStyle w:val="EndNoteBibliography"/>
        <w:spacing w:after="0"/>
      </w:pPr>
      <w:r w:rsidRPr="00F45ED2">
        <w:t>78</w:t>
      </w:r>
      <w:r w:rsidRPr="00F45ED2">
        <w:tab/>
        <w:t xml:space="preserve">Ghosh, A. &amp; Holt, W. E. Plate motions and stresses from global dynamic models. </w:t>
      </w:r>
      <w:r w:rsidRPr="00F45ED2">
        <w:rPr>
          <w:i/>
        </w:rPr>
        <w:t>Science</w:t>
      </w:r>
      <w:r w:rsidRPr="00F45ED2">
        <w:t xml:space="preserve"> </w:t>
      </w:r>
      <w:r w:rsidRPr="00F45ED2">
        <w:rPr>
          <w:b/>
        </w:rPr>
        <w:t>335</w:t>
      </w:r>
      <w:r w:rsidRPr="00F45ED2">
        <w:t>, 838-843 (2012).</w:t>
      </w:r>
    </w:p>
    <w:p w14:paraId="58378659" w14:textId="77777777" w:rsidR="004E78F6" w:rsidRPr="00F45ED2" w:rsidRDefault="004E78F6" w:rsidP="00FE3799">
      <w:pPr>
        <w:pStyle w:val="EndNoteBibliography"/>
        <w:spacing w:after="0"/>
      </w:pPr>
      <w:r w:rsidRPr="00F45ED2">
        <w:t>79</w:t>
      </w:r>
      <w:r w:rsidRPr="00F45ED2">
        <w:tab/>
        <w:t xml:space="preserve">Brune, S., Heine, C., Pérez-Gussinyé, M. &amp; Sobolev, S. V. Rift migration explains continental margin asymmetry and crustal hyper-extension. </w:t>
      </w:r>
      <w:r w:rsidRPr="00F45ED2">
        <w:rPr>
          <w:i/>
        </w:rPr>
        <w:t>Nature communications</w:t>
      </w:r>
      <w:r w:rsidRPr="00F45ED2">
        <w:t xml:space="preserve"> </w:t>
      </w:r>
      <w:r w:rsidRPr="00F45ED2">
        <w:rPr>
          <w:b/>
        </w:rPr>
        <w:t>5</w:t>
      </w:r>
      <w:r w:rsidRPr="00F45ED2">
        <w:t>, 1-9 (2014).</w:t>
      </w:r>
    </w:p>
    <w:p w14:paraId="6529EFED" w14:textId="77777777" w:rsidR="004E78F6" w:rsidRPr="00F45ED2" w:rsidRDefault="004E78F6" w:rsidP="00FE3799">
      <w:pPr>
        <w:pStyle w:val="EndNoteBibliography"/>
        <w:spacing w:after="0"/>
      </w:pPr>
      <w:r w:rsidRPr="00F45ED2">
        <w:t>80</w:t>
      </w:r>
      <w:r w:rsidRPr="00F45ED2">
        <w:tab/>
        <w:t xml:space="preserve">Gleason, G. C. &amp; Tullis, J. A flow law for dislocation creep of quartz aggregates determined with the molten salt cell. </w:t>
      </w:r>
      <w:r w:rsidRPr="00F45ED2">
        <w:rPr>
          <w:i/>
        </w:rPr>
        <w:t>Tectonophysics</w:t>
      </w:r>
      <w:r w:rsidRPr="00F45ED2">
        <w:t xml:space="preserve"> </w:t>
      </w:r>
      <w:r w:rsidRPr="00F45ED2">
        <w:rPr>
          <w:b/>
        </w:rPr>
        <w:t>247</w:t>
      </w:r>
      <w:r w:rsidRPr="00F45ED2">
        <w:t>, 1-23 (1995).</w:t>
      </w:r>
    </w:p>
    <w:p w14:paraId="14E65102" w14:textId="77777777" w:rsidR="004E78F6" w:rsidRPr="00F45ED2" w:rsidRDefault="004E78F6" w:rsidP="00FE3799">
      <w:pPr>
        <w:pStyle w:val="EndNoteBibliography"/>
        <w:spacing w:after="0"/>
      </w:pPr>
      <w:r w:rsidRPr="00F45ED2">
        <w:t>81</w:t>
      </w:r>
      <w:r w:rsidRPr="00F45ED2">
        <w:tab/>
        <w:t xml:space="preserve">Rutter, E. &amp; Brodie, K. Experimental grain size-sensitive flow of hot-pressed Brazilian quartz aggregates. </w:t>
      </w:r>
      <w:r w:rsidRPr="00F45ED2">
        <w:rPr>
          <w:i/>
        </w:rPr>
        <w:t>Journal of Structural Geology</w:t>
      </w:r>
      <w:r w:rsidRPr="00F45ED2">
        <w:t xml:space="preserve"> </w:t>
      </w:r>
      <w:r w:rsidRPr="00F45ED2">
        <w:rPr>
          <w:b/>
        </w:rPr>
        <w:t>26</w:t>
      </w:r>
      <w:r w:rsidRPr="00F45ED2">
        <w:t>, 2011-2023 (2004).</w:t>
      </w:r>
    </w:p>
    <w:p w14:paraId="62BE8182" w14:textId="77777777" w:rsidR="004E78F6" w:rsidRPr="00F45ED2" w:rsidRDefault="004E78F6" w:rsidP="00FE3799">
      <w:pPr>
        <w:pStyle w:val="EndNoteBibliography"/>
        <w:spacing w:after="0"/>
      </w:pPr>
      <w:r w:rsidRPr="00F45ED2">
        <w:t>82</w:t>
      </w:r>
      <w:r w:rsidRPr="00F45ED2">
        <w:tab/>
        <w:t xml:space="preserve">Kirby, S. &amp; Kronenberg, A. Rheology of the lithosphere: Selected topics. </w:t>
      </w:r>
      <w:r w:rsidRPr="00F45ED2">
        <w:rPr>
          <w:i/>
        </w:rPr>
        <w:t>Reviews of Geophysics</w:t>
      </w:r>
      <w:r w:rsidRPr="00F45ED2">
        <w:t xml:space="preserve"> </w:t>
      </w:r>
      <w:r w:rsidRPr="00F45ED2">
        <w:rPr>
          <w:b/>
        </w:rPr>
        <w:t>25</w:t>
      </w:r>
      <w:r w:rsidRPr="00F45ED2">
        <w:t>, 1219-1244 (1987).</w:t>
      </w:r>
    </w:p>
    <w:p w14:paraId="417B3284" w14:textId="77777777" w:rsidR="004E78F6" w:rsidRPr="00F45ED2" w:rsidRDefault="004E78F6" w:rsidP="00FE3799">
      <w:pPr>
        <w:pStyle w:val="EndNoteBibliography"/>
        <w:spacing w:after="0"/>
      </w:pPr>
      <w:r w:rsidRPr="00F45ED2">
        <w:t>83</w:t>
      </w:r>
      <w:r w:rsidRPr="00F45ED2">
        <w:tab/>
        <w:t xml:space="preserve">Ranalli, G. &amp; Murphy, D. C. Rheological stratification of the lithosphere. </w:t>
      </w:r>
      <w:r w:rsidRPr="00F45ED2">
        <w:rPr>
          <w:i/>
        </w:rPr>
        <w:t>Tectonophysics</w:t>
      </w:r>
      <w:r w:rsidRPr="00F45ED2">
        <w:t xml:space="preserve"> </w:t>
      </w:r>
      <w:r w:rsidRPr="00F45ED2">
        <w:rPr>
          <w:b/>
        </w:rPr>
        <w:t>132</w:t>
      </w:r>
      <w:r w:rsidRPr="00F45ED2">
        <w:t>, 281-295 (1987).</w:t>
      </w:r>
    </w:p>
    <w:p w14:paraId="2E4DC713" w14:textId="77777777" w:rsidR="004E78F6" w:rsidRPr="00F45ED2" w:rsidRDefault="004E78F6" w:rsidP="00FE3799">
      <w:pPr>
        <w:pStyle w:val="EndNoteBibliography"/>
        <w:spacing w:after="0"/>
      </w:pPr>
      <w:r w:rsidRPr="00F45ED2">
        <w:t>84</w:t>
      </w:r>
      <w:r w:rsidRPr="00F45ED2">
        <w:tab/>
        <w:t xml:space="preserve">Rybacki, E. &amp; Dresen, G. Deformation mechanism maps for feldspar rocks. </w:t>
      </w:r>
      <w:r w:rsidRPr="00F45ED2">
        <w:rPr>
          <w:i/>
        </w:rPr>
        <w:t>Tectonophysics</w:t>
      </w:r>
      <w:r w:rsidRPr="00F45ED2">
        <w:t xml:space="preserve"> </w:t>
      </w:r>
      <w:r w:rsidRPr="00F45ED2">
        <w:rPr>
          <w:b/>
        </w:rPr>
        <w:t>382</w:t>
      </w:r>
      <w:r w:rsidRPr="00F45ED2">
        <w:t>, 173-187 (2004).</w:t>
      </w:r>
    </w:p>
    <w:p w14:paraId="78DAE490" w14:textId="77777777" w:rsidR="004E78F6" w:rsidRPr="00F45ED2" w:rsidRDefault="004E78F6" w:rsidP="00FE3799">
      <w:pPr>
        <w:pStyle w:val="EndNoteBibliography"/>
        <w:spacing w:after="0"/>
      </w:pPr>
      <w:r w:rsidRPr="00F45ED2">
        <w:t>85</w:t>
      </w:r>
      <w:r w:rsidRPr="00F45ED2">
        <w:tab/>
        <w:t xml:space="preserve">Djomani, Y. H. P., O’Reilly, S. Y., Griffin, W. &amp; Morgan, P. The density structure of subcontinental lithosphere through time. </w:t>
      </w:r>
      <w:r w:rsidRPr="00F45ED2">
        <w:rPr>
          <w:i/>
        </w:rPr>
        <w:t>Earth and Planetary Science Letters</w:t>
      </w:r>
      <w:r w:rsidRPr="00F45ED2">
        <w:t xml:space="preserve"> </w:t>
      </w:r>
      <w:r w:rsidRPr="00F45ED2">
        <w:rPr>
          <w:b/>
        </w:rPr>
        <w:t>184</w:t>
      </w:r>
      <w:r w:rsidRPr="00F45ED2">
        <w:t>, 605-621 (2001).</w:t>
      </w:r>
    </w:p>
    <w:p w14:paraId="007F5F27" w14:textId="77777777" w:rsidR="004E78F6" w:rsidRPr="00F45ED2" w:rsidRDefault="004E78F6" w:rsidP="00FE3799">
      <w:pPr>
        <w:pStyle w:val="EndNoteBibliography"/>
        <w:spacing w:after="0"/>
      </w:pPr>
      <w:r w:rsidRPr="00F45ED2">
        <w:t>86</w:t>
      </w:r>
      <w:r w:rsidRPr="00F45ED2">
        <w:tab/>
        <w:t xml:space="preserve">Schutt, D. &amp; Lesher, C. Effects of melt depletion on the density and seismic velocity of garnet and spinel lherzolite. </w:t>
      </w:r>
      <w:r w:rsidRPr="00F45ED2">
        <w:rPr>
          <w:i/>
        </w:rPr>
        <w:t>Journal of Geophysical Research: Solid Earth</w:t>
      </w:r>
      <w:r w:rsidRPr="00F45ED2">
        <w:t xml:space="preserve"> </w:t>
      </w:r>
      <w:r w:rsidRPr="00F45ED2">
        <w:rPr>
          <w:b/>
        </w:rPr>
        <w:t>111</w:t>
      </w:r>
      <w:r w:rsidRPr="00F45ED2">
        <w:t xml:space="preserve"> (2006).</w:t>
      </w:r>
    </w:p>
    <w:p w14:paraId="317211F1" w14:textId="77777777" w:rsidR="004E78F6" w:rsidRPr="00F45ED2" w:rsidRDefault="004E78F6" w:rsidP="00FE3799">
      <w:pPr>
        <w:pStyle w:val="EndNoteBibliography"/>
        <w:spacing w:after="0"/>
      </w:pPr>
      <w:r w:rsidRPr="00F45ED2">
        <w:t>87</w:t>
      </w:r>
      <w:r w:rsidRPr="00F45ED2">
        <w:tab/>
        <w:t xml:space="preserve">Karato, S.-i. &amp; Wu, P. Rheology of the upper mantle: A synthesis. </w:t>
      </w:r>
      <w:r w:rsidRPr="00F45ED2">
        <w:rPr>
          <w:i/>
        </w:rPr>
        <w:t>Science</w:t>
      </w:r>
      <w:r w:rsidRPr="00F45ED2">
        <w:t xml:space="preserve"> </w:t>
      </w:r>
      <w:r w:rsidRPr="00F45ED2">
        <w:rPr>
          <w:b/>
        </w:rPr>
        <w:t>260</w:t>
      </w:r>
      <w:r w:rsidRPr="00F45ED2">
        <w:t>, 771-778 (1993).</w:t>
      </w:r>
    </w:p>
    <w:p w14:paraId="00271BEE" w14:textId="77777777" w:rsidR="004E78F6" w:rsidRPr="00F45ED2" w:rsidRDefault="004E78F6" w:rsidP="00FE3799">
      <w:pPr>
        <w:pStyle w:val="EndNoteBibliography"/>
        <w:spacing w:after="0"/>
      </w:pPr>
      <w:r w:rsidRPr="00F45ED2">
        <w:t>88</w:t>
      </w:r>
      <w:r w:rsidRPr="00F45ED2">
        <w:tab/>
        <w:t xml:space="preserve">Yamazaki, D. &amp; Karato, S.-i. Some mineral physics constraints on the rheology and geothermal structure of Earth’s lower mantle. </w:t>
      </w:r>
      <w:r w:rsidRPr="00F45ED2">
        <w:rPr>
          <w:i/>
        </w:rPr>
        <w:t>American Mineralogist</w:t>
      </w:r>
      <w:r w:rsidRPr="00F45ED2">
        <w:t xml:space="preserve"> </w:t>
      </w:r>
      <w:r w:rsidRPr="00F45ED2">
        <w:rPr>
          <w:b/>
        </w:rPr>
        <w:t>86</w:t>
      </w:r>
      <w:r w:rsidRPr="00F45ED2">
        <w:t>, 385-391 (2001).</w:t>
      </w:r>
    </w:p>
    <w:p w14:paraId="77671C1D" w14:textId="77777777" w:rsidR="004E78F6" w:rsidRPr="00F45ED2" w:rsidRDefault="004E78F6" w:rsidP="00FE3799">
      <w:pPr>
        <w:pStyle w:val="EndNoteBibliography"/>
        <w:spacing w:after="0"/>
      </w:pPr>
      <w:r w:rsidRPr="00F45ED2">
        <w:t>89</w:t>
      </w:r>
      <w:r w:rsidRPr="00F45ED2">
        <w:tab/>
        <w:t xml:space="preserve">Gerya, T. V. &amp; Meilick, F. Geodynamic regimes of subduction under an active margin: effects of rheological weakening by fluids and melts. </w:t>
      </w:r>
      <w:r w:rsidRPr="00F45ED2">
        <w:rPr>
          <w:i/>
        </w:rPr>
        <w:t>Journal of Metamorphic Geology</w:t>
      </w:r>
      <w:r w:rsidRPr="00F45ED2">
        <w:t xml:space="preserve"> </w:t>
      </w:r>
      <w:r w:rsidRPr="00F45ED2">
        <w:rPr>
          <w:b/>
        </w:rPr>
        <w:t>29</w:t>
      </w:r>
      <w:r w:rsidRPr="00F45ED2">
        <w:t>, 7-31 (2011).</w:t>
      </w:r>
    </w:p>
    <w:p w14:paraId="49AE71E5" w14:textId="77777777" w:rsidR="004E78F6" w:rsidRPr="00F45ED2" w:rsidRDefault="004E78F6" w:rsidP="00FE3799">
      <w:pPr>
        <w:pStyle w:val="EndNoteBibliography"/>
        <w:spacing w:after="0"/>
      </w:pPr>
      <w:r w:rsidRPr="00F45ED2">
        <w:rPr>
          <w:rFonts w:hint="eastAsia"/>
        </w:rPr>
        <w:lastRenderedPageBreak/>
        <w:t>90</w:t>
      </w:r>
      <w:r w:rsidRPr="00F45ED2">
        <w:rPr>
          <w:rFonts w:hint="eastAsia"/>
        </w:rPr>
        <w:tab/>
        <w:t>Simmons, N. A., Myers, S. C., Johannesson, G. &amp; Matzel, E. LLNL</w:t>
      </w:r>
      <w:r w:rsidRPr="00F45ED2">
        <w:rPr>
          <w:rFonts w:hint="eastAsia"/>
        </w:rPr>
        <w:t>‐</w:t>
      </w:r>
      <w:r w:rsidRPr="00F45ED2">
        <w:rPr>
          <w:rFonts w:hint="eastAsia"/>
        </w:rPr>
        <w:t>G3Dv3: Global P wave tomography model for improved regional and tel</w:t>
      </w:r>
      <w:r w:rsidRPr="00F45ED2">
        <w:t xml:space="preserve">eseismic travel time prediction. </w:t>
      </w:r>
      <w:r w:rsidRPr="00F45ED2">
        <w:rPr>
          <w:i/>
        </w:rPr>
        <w:t>Journal of Geophysical Research: Solid Earth</w:t>
      </w:r>
      <w:r w:rsidRPr="00F45ED2">
        <w:t xml:space="preserve"> </w:t>
      </w:r>
      <w:r w:rsidRPr="00F45ED2">
        <w:rPr>
          <w:b/>
        </w:rPr>
        <w:t>117</w:t>
      </w:r>
      <w:r w:rsidRPr="00F45ED2">
        <w:t xml:space="preserve"> (2012).</w:t>
      </w:r>
    </w:p>
    <w:p w14:paraId="44543748" w14:textId="77777777" w:rsidR="004E78F6" w:rsidRPr="00F45ED2" w:rsidRDefault="004E78F6" w:rsidP="00FE3799">
      <w:pPr>
        <w:pStyle w:val="EndNoteBibliography"/>
        <w:spacing w:after="0"/>
      </w:pPr>
      <w:r w:rsidRPr="00F45ED2">
        <w:rPr>
          <w:rFonts w:hint="eastAsia"/>
        </w:rPr>
        <w:t>91</w:t>
      </w:r>
      <w:r w:rsidRPr="00F45ED2">
        <w:rPr>
          <w:rFonts w:hint="eastAsia"/>
        </w:rPr>
        <w:tab/>
        <w:t>Hosseini, K.</w:t>
      </w:r>
      <w:r w:rsidRPr="00F45ED2">
        <w:rPr>
          <w:rFonts w:hint="eastAsia"/>
          <w:i/>
        </w:rPr>
        <w:t xml:space="preserve"> et al.</w:t>
      </w:r>
      <w:r w:rsidRPr="00F45ED2">
        <w:rPr>
          <w:rFonts w:hint="eastAsia"/>
        </w:rPr>
        <w:t xml:space="preserve"> SubMachine: Web</w:t>
      </w:r>
      <w:r w:rsidRPr="00F45ED2">
        <w:rPr>
          <w:rFonts w:hint="eastAsia"/>
        </w:rPr>
        <w:t>‐</w:t>
      </w:r>
      <w:r w:rsidRPr="00F45ED2">
        <w:rPr>
          <w:rFonts w:hint="eastAsia"/>
        </w:rPr>
        <w:t xml:space="preserve">based tools for exploring seismic tomography and other models of Earth's deep interior. </w:t>
      </w:r>
      <w:r w:rsidRPr="00F45ED2">
        <w:rPr>
          <w:rFonts w:hint="eastAsia"/>
          <w:i/>
        </w:rPr>
        <w:t>Geochemistry, Geophysics, Geosystems</w:t>
      </w:r>
      <w:r w:rsidRPr="00F45ED2">
        <w:rPr>
          <w:rFonts w:hint="eastAsia"/>
        </w:rPr>
        <w:t xml:space="preserve"> </w:t>
      </w:r>
      <w:r w:rsidRPr="00F45ED2">
        <w:rPr>
          <w:rFonts w:hint="eastAsia"/>
          <w:b/>
        </w:rPr>
        <w:t>1</w:t>
      </w:r>
      <w:r w:rsidRPr="00F45ED2">
        <w:rPr>
          <w:b/>
        </w:rPr>
        <w:t>9</w:t>
      </w:r>
      <w:r w:rsidRPr="00F45ED2">
        <w:t>, 1464-1483 (2018).</w:t>
      </w:r>
    </w:p>
    <w:p w14:paraId="6DD99DDE" w14:textId="77777777" w:rsidR="004E78F6" w:rsidRPr="00F45ED2" w:rsidRDefault="004E78F6" w:rsidP="00FE3799">
      <w:pPr>
        <w:pStyle w:val="EndNoteBibliography"/>
        <w:spacing w:after="0"/>
      </w:pPr>
      <w:r w:rsidRPr="00F45ED2">
        <w:t>92</w:t>
      </w:r>
      <w:r w:rsidRPr="00F45ED2">
        <w:tab/>
        <w:t xml:space="preserve">Brocher, T. M. Empirical relations between elastic wavespeeds and density in the Earth's crust. </w:t>
      </w:r>
      <w:r w:rsidRPr="00F45ED2">
        <w:rPr>
          <w:i/>
        </w:rPr>
        <w:t>Bulletin of the seismological Society of America</w:t>
      </w:r>
      <w:r w:rsidRPr="00F45ED2">
        <w:t xml:space="preserve"> </w:t>
      </w:r>
      <w:r w:rsidRPr="00F45ED2">
        <w:rPr>
          <w:b/>
        </w:rPr>
        <w:t>95</w:t>
      </w:r>
      <w:r w:rsidRPr="00F45ED2">
        <w:t>, 2081-2092 (2005).</w:t>
      </w:r>
    </w:p>
    <w:p w14:paraId="508A503F" w14:textId="77777777" w:rsidR="004E78F6" w:rsidRDefault="004E78F6" w:rsidP="00FE3799">
      <w:pPr>
        <w:pStyle w:val="EndNoteBibliography"/>
        <w:spacing w:after="0"/>
      </w:pPr>
      <w:r w:rsidRPr="00F45ED2">
        <w:t>93</w:t>
      </w:r>
      <w:r w:rsidRPr="00F45ED2">
        <w:tab/>
        <w:t>Peng, D., Liu, L., Hu, J., Li, S. &amp; Liu, Y. Formation of East</w:t>
      </w:r>
      <w:r w:rsidRPr="00F45ED2">
        <w:rPr>
          <w:rFonts w:hint="eastAsia"/>
        </w:rPr>
        <w:t xml:space="preserve"> Asian Stagnant Slabs Due To a Pressure</w:t>
      </w:r>
      <w:r w:rsidRPr="00F45ED2">
        <w:rPr>
          <w:rFonts w:hint="eastAsia"/>
        </w:rPr>
        <w:t>‐</w:t>
      </w:r>
      <w:r w:rsidRPr="00F45ED2">
        <w:rPr>
          <w:rFonts w:hint="eastAsia"/>
        </w:rPr>
        <w:t xml:space="preserve">Driven Cenozoic Mantle Wind Following Mesozoic Subduction. </w:t>
      </w:r>
      <w:r w:rsidRPr="00F45ED2">
        <w:rPr>
          <w:rFonts w:hint="eastAsia"/>
          <w:i/>
        </w:rPr>
        <w:t>Geophysical Research Letters</w:t>
      </w:r>
      <w:r w:rsidRPr="00F45ED2">
        <w:rPr>
          <w:rFonts w:hint="eastAsia"/>
        </w:rPr>
        <w:t xml:space="preserve"> </w:t>
      </w:r>
      <w:r w:rsidRPr="00F45ED2">
        <w:rPr>
          <w:rFonts w:hint="eastAsia"/>
          <w:b/>
        </w:rPr>
        <w:t>48</w:t>
      </w:r>
      <w:r w:rsidRPr="00F45ED2">
        <w:rPr>
          <w:rFonts w:hint="eastAsia"/>
        </w:rPr>
        <w:t>, e2021GL094638 (2021).</w:t>
      </w:r>
    </w:p>
    <w:p w14:paraId="653571CD" w14:textId="77777777" w:rsidR="004E78F6" w:rsidRDefault="004E78F6" w:rsidP="001244C3">
      <w:pPr>
        <w:pStyle w:val="EndNoteBibliography"/>
        <w:spacing w:after="0"/>
      </w:pPr>
      <w:r w:rsidRPr="0033386A">
        <w:t>94</w:t>
      </w:r>
      <w:r w:rsidRPr="0033386A">
        <w:tab/>
        <w:t>Müller, R. D. et al. Ocean basin evolution and global-scale plate reorganization events since Pangea breakup. Annual Review of Earth and Planetary Sciences 44, 107-138 (2016).</w:t>
      </w:r>
    </w:p>
    <w:p w14:paraId="4E5BBB69" w14:textId="77777777" w:rsidR="001A5692" w:rsidRDefault="001A5692"/>
    <w:sectPr w:rsidR="001A569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BDA26" w14:textId="77777777" w:rsidR="006E2BCA" w:rsidRDefault="006E2BCA" w:rsidP="00F845AE">
      <w:pPr>
        <w:spacing w:after="0" w:line="240" w:lineRule="auto"/>
      </w:pPr>
      <w:r>
        <w:separator/>
      </w:r>
    </w:p>
  </w:endnote>
  <w:endnote w:type="continuationSeparator" w:id="0">
    <w:p w14:paraId="6CC8AABA" w14:textId="77777777" w:rsidR="006E2BCA" w:rsidRDefault="006E2BCA" w:rsidP="00F84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12B3C" w14:textId="77777777" w:rsidR="006E2BCA" w:rsidRDefault="006E2BCA" w:rsidP="00F845AE">
      <w:pPr>
        <w:spacing w:after="0" w:line="240" w:lineRule="auto"/>
      </w:pPr>
      <w:r>
        <w:separator/>
      </w:r>
    </w:p>
  </w:footnote>
  <w:footnote w:type="continuationSeparator" w:id="0">
    <w:p w14:paraId="073336B3" w14:textId="77777777" w:rsidR="006E2BCA" w:rsidRDefault="006E2BCA" w:rsidP="00F845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M3NDIwNDI1MzM1NjVT0lEKTi0uzszPAykwqgUAr4R+liwAAAA="/>
    <w:docVar w:name="EN.InstantFormat" w:val="&lt;ENInstantFormat&gt;&lt;Enabled&gt;1&lt;/Enabled&gt;&lt;ScanUnformatted&gt;1&lt;/ScanUnformatted&gt;&lt;ScanChanges&gt;1&lt;/ScanChanges&gt;&lt;Suspended&gt;1&lt;/Suspended&gt;&lt;/ENInstantFormat&gt;"/>
  </w:docVars>
  <w:rsids>
    <w:rsidRoot w:val="004E78F6"/>
    <w:rsid w:val="001A5692"/>
    <w:rsid w:val="00433173"/>
    <w:rsid w:val="004E78F6"/>
    <w:rsid w:val="006E2BCA"/>
    <w:rsid w:val="00880C69"/>
    <w:rsid w:val="008B420F"/>
    <w:rsid w:val="008C5E75"/>
    <w:rsid w:val="00A95249"/>
    <w:rsid w:val="00EC3B26"/>
    <w:rsid w:val="00F84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4C977C"/>
  <w14:defaultImageDpi w14:val="330"/>
  <w15:chartTrackingRefBased/>
  <w15:docId w15:val="{78B73A32-E570-408F-B5DD-6D328C0B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78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4E78F6"/>
    <w:rPr>
      <w:sz w:val="16"/>
      <w:szCs w:val="16"/>
    </w:rPr>
  </w:style>
  <w:style w:type="paragraph" w:styleId="a4">
    <w:name w:val="annotation text"/>
    <w:basedOn w:val="a"/>
    <w:link w:val="a5"/>
    <w:uiPriority w:val="99"/>
    <w:semiHidden/>
    <w:unhideWhenUsed/>
    <w:qFormat/>
    <w:rsid w:val="004E78F6"/>
    <w:pPr>
      <w:spacing w:line="240" w:lineRule="auto"/>
    </w:pPr>
    <w:rPr>
      <w:sz w:val="20"/>
      <w:szCs w:val="20"/>
    </w:rPr>
  </w:style>
  <w:style w:type="character" w:customStyle="1" w:styleId="a5">
    <w:name w:val="批注文字 字符"/>
    <w:basedOn w:val="a0"/>
    <w:link w:val="a4"/>
    <w:uiPriority w:val="99"/>
    <w:semiHidden/>
    <w:qFormat/>
    <w:rsid w:val="004E78F6"/>
    <w:rPr>
      <w:sz w:val="20"/>
      <w:szCs w:val="20"/>
    </w:rPr>
  </w:style>
  <w:style w:type="paragraph" w:styleId="a6">
    <w:name w:val="annotation subject"/>
    <w:basedOn w:val="a4"/>
    <w:next w:val="a4"/>
    <w:link w:val="a7"/>
    <w:uiPriority w:val="99"/>
    <w:semiHidden/>
    <w:unhideWhenUsed/>
    <w:qFormat/>
    <w:rsid w:val="004E78F6"/>
    <w:rPr>
      <w:b/>
      <w:bCs/>
    </w:rPr>
  </w:style>
  <w:style w:type="character" w:customStyle="1" w:styleId="a7">
    <w:name w:val="批注主题 字符"/>
    <w:basedOn w:val="a5"/>
    <w:link w:val="a6"/>
    <w:uiPriority w:val="99"/>
    <w:semiHidden/>
    <w:qFormat/>
    <w:rsid w:val="004E78F6"/>
    <w:rPr>
      <w:b/>
      <w:bCs/>
      <w:sz w:val="20"/>
      <w:szCs w:val="20"/>
    </w:rPr>
  </w:style>
  <w:style w:type="paragraph" w:styleId="a8">
    <w:name w:val="footer"/>
    <w:basedOn w:val="a"/>
    <w:link w:val="a9"/>
    <w:uiPriority w:val="99"/>
    <w:unhideWhenUsed/>
    <w:qFormat/>
    <w:rsid w:val="004E78F6"/>
    <w:pPr>
      <w:tabs>
        <w:tab w:val="center" w:pos="4680"/>
        <w:tab w:val="right" w:pos="9360"/>
      </w:tabs>
      <w:spacing w:after="0" w:line="240" w:lineRule="auto"/>
    </w:pPr>
  </w:style>
  <w:style w:type="character" w:customStyle="1" w:styleId="a9">
    <w:name w:val="页脚 字符"/>
    <w:basedOn w:val="a0"/>
    <w:link w:val="a8"/>
    <w:uiPriority w:val="99"/>
    <w:qFormat/>
    <w:rsid w:val="004E78F6"/>
  </w:style>
  <w:style w:type="paragraph" w:styleId="aa">
    <w:name w:val="header"/>
    <w:basedOn w:val="a"/>
    <w:link w:val="ab"/>
    <w:uiPriority w:val="99"/>
    <w:unhideWhenUsed/>
    <w:qFormat/>
    <w:rsid w:val="004E78F6"/>
    <w:pPr>
      <w:tabs>
        <w:tab w:val="center" w:pos="4680"/>
        <w:tab w:val="right" w:pos="9360"/>
      </w:tabs>
      <w:spacing w:after="0" w:line="240" w:lineRule="auto"/>
    </w:pPr>
  </w:style>
  <w:style w:type="character" w:customStyle="1" w:styleId="ab">
    <w:name w:val="页眉 字符"/>
    <w:basedOn w:val="a0"/>
    <w:link w:val="aa"/>
    <w:uiPriority w:val="99"/>
    <w:qFormat/>
    <w:rsid w:val="004E78F6"/>
  </w:style>
  <w:style w:type="character" w:styleId="ac">
    <w:name w:val="Hyperlink"/>
    <w:basedOn w:val="a0"/>
    <w:uiPriority w:val="99"/>
    <w:unhideWhenUsed/>
    <w:qFormat/>
    <w:rsid w:val="004E78F6"/>
    <w:rPr>
      <w:color w:val="0563C1" w:themeColor="hyperlink"/>
      <w:u w:val="single"/>
    </w:rPr>
  </w:style>
  <w:style w:type="table" w:styleId="ad">
    <w:name w:val="Table Grid"/>
    <w:basedOn w:val="a1"/>
    <w:uiPriority w:val="39"/>
    <w:qFormat/>
    <w:rsid w:val="004E78F6"/>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a0"/>
    <w:uiPriority w:val="99"/>
    <w:semiHidden/>
    <w:unhideWhenUsed/>
    <w:qFormat/>
    <w:rsid w:val="004E78F6"/>
    <w:rPr>
      <w:color w:val="605E5C"/>
      <w:shd w:val="clear" w:color="auto" w:fill="E1DFDD"/>
    </w:rPr>
  </w:style>
  <w:style w:type="paragraph" w:styleId="ae">
    <w:name w:val="List Paragraph"/>
    <w:basedOn w:val="a"/>
    <w:uiPriority w:val="34"/>
    <w:qFormat/>
    <w:rsid w:val="004E78F6"/>
    <w:pPr>
      <w:ind w:left="720"/>
      <w:contextualSpacing/>
    </w:pPr>
  </w:style>
  <w:style w:type="character" w:styleId="af">
    <w:name w:val="Placeholder Text"/>
    <w:basedOn w:val="a0"/>
    <w:uiPriority w:val="99"/>
    <w:semiHidden/>
    <w:qFormat/>
    <w:rsid w:val="004E78F6"/>
    <w:rPr>
      <w:color w:val="808080"/>
    </w:rPr>
  </w:style>
  <w:style w:type="paragraph" w:styleId="af0">
    <w:name w:val="Revision"/>
    <w:hidden/>
    <w:uiPriority w:val="99"/>
    <w:semiHidden/>
    <w:rsid w:val="004E78F6"/>
    <w:pPr>
      <w:spacing w:after="0" w:line="240" w:lineRule="auto"/>
    </w:pPr>
  </w:style>
  <w:style w:type="paragraph" w:customStyle="1" w:styleId="EndNoteBibliography">
    <w:name w:val="EndNote Bibliography"/>
    <w:basedOn w:val="a"/>
    <w:link w:val="EndNoteBibliography0"/>
    <w:rsid w:val="004E78F6"/>
    <w:pPr>
      <w:spacing w:line="360" w:lineRule="auto"/>
      <w:jc w:val="both"/>
    </w:pPr>
    <w:rPr>
      <w:rFonts w:ascii="Times New Roman" w:hAnsi="Times New Roman" w:cs="Times New Roman"/>
      <w:noProof/>
      <w:sz w:val="24"/>
    </w:rPr>
  </w:style>
  <w:style w:type="character" w:customStyle="1" w:styleId="EndNoteBibliography0">
    <w:name w:val="EndNote Bibliography 字符"/>
    <w:basedOn w:val="a0"/>
    <w:link w:val="EndNoteBibliography"/>
    <w:rsid w:val="004E78F6"/>
    <w:rPr>
      <w:rFonts w:ascii="Times New Roman" w:hAnsi="Times New Roman" w:cs="Times New Roman"/>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fontTable" Target="fontTable.xml"/><Relationship Id="rId21" Type="http://schemas.openxmlformats.org/officeDocument/2006/relationships/image" Target="media/image16.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oleObject" Target="embeddings/oleObject1.bin"/><Relationship Id="rId38" Type="http://schemas.openxmlformats.org/officeDocument/2006/relationships/image" Target="media/image3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wmf"/><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29.png"/><Relationship Id="rId8" Type="http://schemas.openxmlformats.org/officeDocument/2006/relationships/image" Target="media/image3.jpe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46</Pages>
  <Words>4547</Words>
  <Characters>25923</Characters>
  <Application>Microsoft Office Word</Application>
  <DocSecurity>0</DocSecurity>
  <Lines>216</Lines>
  <Paragraphs>60</Paragraphs>
  <ScaleCrop>false</ScaleCrop>
  <Company/>
  <LinksUpToDate>false</LinksUpToDate>
  <CharactersWithSpaces>30410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 Liu</dc:creator>
  <cp:keywords/>
  <dc:description/>
  <cp:lastModifiedBy>office user</cp:lastModifiedBy>
  <cp:revision>6</cp:revision>
  <dcterms:created xsi:type="dcterms:W3CDTF">2022-05-11T03:06:00Z</dcterms:created>
  <dcterms:modified xsi:type="dcterms:W3CDTF">2022-05-12T09:00:00Z</dcterms:modified>
</cp:coreProperties>
</file>