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64"/>
        <w:gridCol w:w="9365"/>
      </w:tblGrid>
      <w:tr w:rsidR="00816298" w14:paraId="1D9CD969" w14:textId="77777777" w:rsidTr="00737B3B">
        <w:tc>
          <w:tcPr>
            <w:tcW w:w="4664" w:type="dxa"/>
          </w:tcPr>
          <w:p w14:paraId="4CA01079" w14:textId="77777777" w:rsidR="00816298" w:rsidRDefault="00816298">
            <w:pPr>
              <w:rPr>
                <w:lang w:val="en-US"/>
              </w:rPr>
            </w:pPr>
            <w:r w:rsidRPr="00C07A4A">
              <w:rPr>
                <w:rFonts w:ascii="Times New Roman" w:hAnsi="Times New Roman" w:cs="Times New Roman"/>
                <w:b/>
                <w:lang w:val="en-US"/>
              </w:rPr>
              <w:t>General issues</w:t>
            </w:r>
          </w:p>
        </w:tc>
        <w:tc>
          <w:tcPr>
            <w:tcW w:w="9365" w:type="dxa"/>
          </w:tcPr>
          <w:p w14:paraId="33A4D1B7" w14:textId="77777777" w:rsidR="00816298" w:rsidRDefault="00816298">
            <w:pPr>
              <w:rPr>
                <w:lang w:val="en-US"/>
              </w:rPr>
            </w:pPr>
            <w:r w:rsidRPr="00301FA6">
              <w:rPr>
                <w:rFonts w:ascii="Times New Roman" w:hAnsi="Times New Roman" w:cs="Times New Roman"/>
                <w:b/>
                <w:lang w:val="en-US"/>
              </w:rPr>
              <w:t>Factors (reference)</w:t>
            </w:r>
          </w:p>
        </w:tc>
      </w:tr>
      <w:tr w:rsidR="00816298" w:rsidRPr="00804ADE" w14:paraId="2153D363" w14:textId="77777777" w:rsidTr="00737B3B">
        <w:tc>
          <w:tcPr>
            <w:tcW w:w="4664" w:type="dxa"/>
          </w:tcPr>
          <w:p w14:paraId="254D569B" w14:textId="1FBCC64E" w:rsidR="00816298" w:rsidRPr="00B0645D" w:rsidRDefault="00816298" w:rsidP="00B064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0645D">
              <w:rPr>
                <w:rFonts w:ascii="Times New Roman" w:hAnsi="Times New Roman" w:cs="Times New Roman"/>
                <w:b/>
                <w:bCs/>
                <w:lang w:val="en-US"/>
              </w:rPr>
              <w:t>Organizational issues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</w:p>
          <w:p w14:paraId="23003A66" w14:textId="77777777" w:rsidR="00816298" w:rsidRPr="00B0645D" w:rsidRDefault="00816298" w:rsidP="00B064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ACD1679" w14:textId="77777777" w:rsidR="00816298" w:rsidRPr="00B0645D" w:rsidRDefault="00816298" w:rsidP="00B0645D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B0645D">
              <w:rPr>
                <w:rFonts w:ascii="Times New Roman" w:hAnsi="Times New Roman" w:cs="Times New Roman"/>
                <w:lang w:val="en-US"/>
              </w:rPr>
              <w:t>Systems and procedures should be developed to ensure clear responsibilities and transparency at each stage of the pathways of care</w:t>
            </w:r>
          </w:p>
          <w:p w14:paraId="08E3FB60" w14:textId="77777777" w:rsidR="00816298" w:rsidRDefault="00816298" w:rsidP="00B0645D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2D2F3611" w14:textId="2258949C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Intervention on patient, provider and system levels stimulate transitions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Viggiano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739F9C1" w14:textId="04BF8EC8" w:rsidR="00816298" w:rsidRPr="00EF3D55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6473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Seven successful components;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facilitated </w:t>
            </w:r>
            <w:r w:rsidRPr="006473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 discharge, post discharge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transition processes, and promoted timely communication of inpatient staff with outpatient care or community service providers after discharge.</w:t>
            </w:r>
            <w:r w:rsidRPr="006473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proofErr w:type="spellStart"/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Vigod</w:t>
            </w:r>
            <w:proofErr w:type="spellEnd"/>
            <w:r w:rsidR="003C1E41"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al.</w:t>
            </w:r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2013)</w:t>
            </w:r>
          </w:p>
          <w:p w14:paraId="562F10D7" w14:textId="27183EA7" w:rsidR="00816298" w:rsidRPr="00EF3D55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First contact </w:t>
            </w:r>
            <w:proofErr w:type="spellStart"/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is</w:t>
            </w:r>
            <w:proofErr w:type="spellEnd"/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important. (Amaral</w:t>
            </w:r>
            <w:r w:rsidR="003C1E41"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al.</w:t>
            </w:r>
            <w:r w:rsidRPr="00EF3D5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2018)</w:t>
            </w:r>
          </w:p>
          <w:p w14:paraId="66A5FCFE" w14:textId="769FA640" w:rsidR="00816298" w:rsidRPr="005F6E4B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technology supported care pathways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Neame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14:paraId="08E783E7" w14:textId="39053E9A" w:rsidR="00816298" w:rsidRPr="005F6E4B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pathway in use led to significant better scores on the overall CPSET scale and subscale,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‘coordination of care’ and ‘follow-up care’ with primary care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Seys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et al.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34BBF069" w14:textId="6E808EDD" w:rsidR="00816298" w:rsidRPr="005F6E4B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Specialist health service should improve the systematic follow-up of care pathways as well as the collaboration with primary care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Biringer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902CE87" w14:textId="77777777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of on-line evidence-based care pathways across primary and secondary care increased over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BB9D779" w14:textId="48552F50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Akehurst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14:paraId="538C3345" w14:textId="6E5F645A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care pathway led to more focused interventions being offered and the working in it were a positive change.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Khandaker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2013)</w:t>
            </w:r>
          </w:p>
          <w:p w14:paraId="0A631D5F" w14:textId="3A9BF91A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4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Systems and procedures should be developed to ensure clear responsibilities and transparency at each stage of the pathways of care. </w:t>
            </w:r>
            <w:r w:rsidR="0025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Around the clock care, designing one responsible health person in each system for each patient, and involvement of patient and their families. </w:t>
            </w:r>
            <w:r w:rsidRPr="00934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34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ther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 w:rsidRPr="00934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2018)</w:t>
            </w:r>
          </w:p>
          <w:p w14:paraId="6C6AFFAA" w14:textId="29462CB8" w:rsidR="00816298" w:rsidRDefault="00C80C54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First contact was a physician, but referral source was emergency services. </w:t>
            </w:r>
            <w:r w:rsidR="00816298"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Ethnic determinants not in focus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CP</w:t>
            </w:r>
            <w:r w:rsidR="00816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16298"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816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Anderson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="00816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</w:t>
            </w:r>
            <w:r w:rsidR="00816298"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253E8E7A" w14:textId="0F1423AD" w:rsidR="003023FA" w:rsidRDefault="003023FA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emphasized the non-linear nature of the transition process. (Hasson-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Ohayon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al.2016)</w:t>
            </w:r>
          </w:p>
          <w:p w14:paraId="5FDF07AE" w14:textId="1778BB34" w:rsidR="00816298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Lack of integration between emergency, </w:t>
            </w:r>
            <w:r w:rsidR="0006374A"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hospital,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community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Amaral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CBF50F0" w14:textId="758235D6" w:rsidR="00816298" w:rsidRPr="0088649B" w:rsidRDefault="00816298" w:rsidP="00EF3D5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Continuity challenges during transitions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Storm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  <w:r w:rsidRPr="005F6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816298" w14:paraId="05EE9D1F" w14:textId="77777777" w:rsidTr="00737B3B">
        <w:tc>
          <w:tcPr>
            <w:tcW w:w="4664" w:type="dxa"/>
          </w:tcPr>
          <w:p w14:paraId="358A05CA" w14:textId="50B8F20D" w:rsidR="003023FA" w:rsidRDefault="003023FA" w:rsidP="009254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22AAA7F" w14:textId="19DBB8CF" w:rsidR="003023FA" w:rsidRDefault="003023FA" w:rsidP="009254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C207A06" w14:textId="28106AFD" w:rsidR="003F4507" w:rsidRPr="003F4507" w:rsidRDefault="00816298" w:rsidP="009254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254E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Resources</w:t>
            </w:r>
            <w:bookmarkStart w:id="0" w:name="_Hlk56358369"/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Outcomes/</w:t>
            </w:r>
          </w:p>
          <w:p w14:paraId="0825E7C8" w14:textId="102F280F" w:rsidR="00816298" w:rsidRPr="009254E9" w:rsidRDefault="00816298" w:rsidP="009254E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9254E9">
              <w:rPr>
                <w:rFonts w:ascii="Times New Roman" w:hAnsi="Times New Roman" w:cs="Times New Roman"/>
                <w:lang w:val="en-US"/>
              </w:rPr>
              <w:t xml:space="preserve">Use of CP and information technology in improving objectively patient outcome </w:t>
            </w:r>
          </w:p>
          <w:bookmarkEnd w:id="0"/>
          <w:p w14:paraId="313993D6" w14:textId="77777777" w:rsidR="00816298" w:rsidRDefault="00816298" w:rsidP="00B0645D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2AA111A4" w14:textId="77777777" w:rsidR="003023FA" w:rsidRDefault="003023FA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E19DF9" w14:textId="77777777" w:rsidR="003023FA" w:rsidRDefault="003023FA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C5B3F4" w14:textId="5275FD7F" w:rsidR="009003CE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Positively impact on length of stay and hospital costs with CP. (Allen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2009)</w:t>
            </w:r>
          </w:p>
          <w:p w14:paraId="29465C4A" w14:textId="07A4137A" w:rsidR="00F30EFD" w:rsidRDefault="00F30EFD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More cost-effective care pathways and allows for active case management and clear clinical leadership. </w:t>
            </w:r>
            <w:r w:rsidR="00EF3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care pathway led to more focused interventions being offered and working in it were a positive change.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Khandaker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2013) </w:t>
            </w:r>
          </w:p>
          <w:p w14:paraId="78E41D60" w14:textId="7D9D0BAE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Transitional intervention components are feasible and likely to be cost-effective.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Vigod</w:t>
            </w:r>
            <w:proofErr w:type="spellEnd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 2013)</w:t>
            </w:r>
          </w:p>
          <w:p w14:paraId="6247F657" w14:textId="77777777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pathways showing promising results in increasing the quality and efficiency of care for patients diagnosed with schizophrenia. (Chen et al 2015) </w:t>
            </w:r>
          </w:p>
          <w:p w14:paraId="7DC25B37" w14:textId="7CDD0DEB" w:rsidR="00816298" w:rsidRPr="009254E9" w:rsidRDefault="001E2F32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Effective approaches addressed coordination challenges and resulted in b</w:t>
            </w:r>
            <w:r w:rsidR="00816298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etter improvements in service utilization (Storm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="00816298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2019)</w:t>
            </w:r>
          </w:p>
          <w:p w14:paraId="2FC0CBC4" w14:textId="4B2EAB9C" w:rsidR="00816298" w:rsidRPr="00931F62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 of information technology improved objectively patient outcome.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Neame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2019)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Akehurst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2018)</w:t>
            </w:r>
          </w:p>
        </w:tc>
      </w:tr>
      <w:tr w:rsidR="00816298" w:rsidRPr="003C3CFA" w14:paraId="777C4D12" w14:textId="77777777" w:rsidTr="00737B3B">
        <w:tc>
          <w:tcPr>
            <w:tcW w:w="4664" w:type="dxa"/>
          </w:tcPr>
          <w:p w14:paraId="2E0E67E2" w14:textId="2DA65473" w:rsidR="00816298" w:rsidRPr="009254E9" w:rsidRDefault="00816298" w:rsidP="009254E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254E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Information and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 w:rsidRPr="009254E9">
              <w:rPr>
                <w:rFonts w:ascii="Times New Roman" w:hAnsi="Times New Roman" w:cs="Times New Roman"/>
                <w:b/>
                <w:bCs/>
                <w:lang w:val="en-US"/>
              </w:rPr>
              <w:t>ocumentation/</w:t>
            </w:r>
          </w:p>
          <w:p w14:paraId="79B416B9" w14:textId="77777777" w:rsidR="00816298" w:rsidRPr="009254E9" w:rsidRDefault="00816298" w:rsidP="009254E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0CD8BE4E" w14:textId="51061623" w:rsidR="00816298" w:rsidRPr="009254E9" w:rsidRDefault="00816298" w:rsidP="009254E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bookmarkStart w:id="1" w:name="_Hlk56358596"/>
            <w:r w:rsidRPr="009254E9">
              <w:rPr>
                <w:rFonts w:ascii="Times New Roman" w:hAnsi="Times New Roman" w:cs="Times New Roman"/>
                <w:lang w:val="en-US"/>
              </w:rPr>
              <w:t xml:space="preserve">Providing patients with enough information and </w:t>
            </w:r>
            <w:r w:rsidR="00694EFA">
              <w:rPr>
                <w:rFonts w:ascii="Times New Roman" w:hAnsi="Times New Roman" w:cs="Times New Roman"/>
                <w:lang w:val="en-US"/>
              </w:rPr>
              <w:t xml:space="preserve">structured, </w:t>
            </w:r>
            <w:r w:rsidRPr="009254E9">
              <w:rPr>
                <w:rFonts w:ascii="Times New Roman" w:hAnsi="Times New Roman" w:cs="Times New Roman"/>
                <w:lang w:val="en-US"/>
              </w:rPr>
              <w:t>documented plans at the appropriate time</w:t>
            </w:r>
            <w:bookmarkEnd w:id="1"/>
          </w:p>
          <w:p w14:paraId="710D0120" w14:textId="77777777" w:rsidR="00816298" w:rsidRDefault="00816298" w:rsidP="00694EFA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1AF11559" w14:textId="099FEEB1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Pathways improve documentation. (Allen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2009) (Rotter 2010)</w:t>
            </w:r>
          </w:p>
          <w:p w14:paraId="2DCCC063" w14:textId="403E8A18" w:rsidR="00816298" w:rsidRDefault="00BD65E4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v</w:t>
            </w:r>
            <w:r w:rsidR="00816298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ariation in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quality of </w:t>
            </w:r>
            <w:r w:rsidR="00816298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written communication and information transfer between primary care and specialist mental health providers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and patient-centered care was among the least investigated topics</w:t>
            </w:r>
            <w:r w:rsidR="00816298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(Durbin et al 2012) </w:t>
            </w:r>
          </w:p>
          <w:p w14:paraId="5AA86C17" w14:textId="5688BBBF" w:rsidR="00F30EFD" w:rsidRDefault="00F30EFD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Structures had a positive effect on exchanging </w:t>
            </w:r>
            <w:r w:rsidR="001F0F0D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information,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277BC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formulating,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exchanging information. (Van 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Houdt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2013)</w:t>
            </w:r>
          </w:p>
          <w:p w14:paraId="1581845C" w14:textId="493E60A8" w:rsidR="00F30EFD" w:rsidRPr="009254E9" w:rsidRDefault="001F0F0D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Main barriers were communication errors. </w:t>
            </w:r>
            <w:r w:rsidR="00F30EFD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Adequate direct communication and proper documentation system</w:t>
            </w:r>
            <w:r w:rsidR="0025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between health personnel, patient participation in plans and working hour of ambulant teams </w:t>
            </w:r>
            <w:r w:rsidR="00F30EFD"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were success factors. (Sather et al 2016)</w:t>
            </w:r>
          </w:p>
          <w:p w14:paraId="51D23C68" w14:textId="08BA33EE" w:rsidR="00257192" w:rsidRPr="009254E9" w:rsidRDefault="001F0F0D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Care pathways are useful for securing key objectives. </w:t>
            </w:r>
            <w:r w:rsidR="002236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Success with opportunities for information sharing, implementation of systematic plans, and use of e-messages</w:t>
            </w:r>
            <w:r w:rsidR="0025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B27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5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(Sather et al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2016, </w:t>
            </w:r>
            <w:r w:rsidR="0025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2018)</w:t>
            </w:r>
          </w:p>
          <w:p w14:paraId="22FD73A1" w14:textId="192BA78F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Care processes with a written clinical procedure were better organized than processes without such standardization.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Biringer</w:t>
            </w:r>
            <w:proofErr w:type="spellEnd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2017)</w:t>
            </w:r>
          </w:p>
          <w:p w14:paraId="70499CE9" w14:textId="1DBEDB68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Themes developed with on-line care pathways showed how pathways were used: in leadership, relationships, support decision-making and referral, and available resources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Akehurst</w:t>
            </w:r>
            <w:proofErr w:type="spellEnd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et al. 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2018)   </w:t>
            </w:r>
          </w:p>
          <w:p w14:paraId="187B1319" w14:textId="3D2C1BA1" w:rsidR="00816298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Lack of information can result in increased perceived stigma (</w:t>
            </w:r>
            <w:proofErr w:type="spellStart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Gronholm</w:t>
            </w:r>
            <w:proofErr w:type="spellEnd"/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2017)</w:t>
            </w:r>
          </w:p>
          <w:p w14:paraId="2624BB96" w14:textId="32D19175" w:rsidR="00816298" w:rsidRPr="009254E9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 and lack of awareness about where treatment is available were barriers to seeking appropriate care.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Teshager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 2020)</w:t>
            </w:r>
          </w:p>
          <w:p w14:paraId="44985AFB" w14:textId="19C6676C" w:rsidR="00816298" w:rsidRPr="00DF79C3" w:rsidRDefault="003C1E41" w:rsidP="00931F62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</w:t>
            </w:r>
            <w:r w:rsidR="003C3CFA" w:rsidRPr="003C3CF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ormer patients reported shared decision making </w:t>
            </w:r>
            <w:r w:rsidR="003C3CFA" w:rsidRPr="003C3C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more precisely as </w:t>
            </w:r>
            <w:r w:rsidR="003C3CFA" w:rsidRPr="003C3CF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informed </w:t>
            </w:r>
            <w:r w:rsidR="003C3CFA" w:rsidRPr="003C3C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shared decision, and that shared information between all parties is key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3C3CFA" w:rsidRPr="003C3C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Sather et al. 2019</w:t>
            </w:r>
            <w:r w:rsidR="003C3CFA" w:rsidRPr="003C3CF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816298" w:rsidRPr="001F0F0D" w14:paraId="104D0756" w14:textId="77777777" w:rsidTr="00737B3B">
        <w:tc>
          <w:tcPr>
            <w:tcW w:w="4664" w:type="dxa"/>
          </w:tcPr>
          <w:p w14:paraId="76A5A73E" w14:textId="7813B6D2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Patient and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>amil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y’s Participation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</w:p>
          <w:p w14:paraId="4C0DF188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DF7B98F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6613D1">
              <w:rPr>
                <w:rFonts w:ascii="Times New Roman" w:hAnsi="Times New Roman" w:cs="Times New Roman"/>
                <w:lang w:val="en-US"/>
              </w:rPr>
              <w:t>Continuous collaborative decision-making</w:t>
            </w:r>
          </w:p>
          <w:p w14:paraId="339683E8" w14:textId="77777777" w:rsidR="00816298" w:rsidRDefault="00816298" w:rsidP="00B0645D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5293BAB9" w14:textId="3318CA1F" w:rsidR="009D4BB0" w:rsidRDefault="009D4BB0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with t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 different wards reported less treatment satisfaction with clinical care pathways for schizophrenia after the implementation. (</w:t>
            </w:r>
            <w:proofErr w:type="spellStart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Steinacher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2012)</w:t>
            </w:r>
          </w:p>
          <w:p w14:paraId="590EC959" w14:textId="6B7A654F" w:rsidR="00C8470E" w:rsidRDefault="00C8470E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54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Due to the lack of resources (inpatient beds and community care follow-up), the role of service user could play was diminished. (Wright 2015)</w:t>
            </w:r>
          </w:p>
          <w:p w14:paraId="518D880D" w14:textId="6CEB6A16" w:rsidR="00DF79C3" w:rsidRDefault="00F24260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Patients revealed oscillation between feelings of strength and vitality to vulnerability and despair in transition phase. </w:t>
            </w:r>
            <w:r w:rsidR="00DF7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 emphasize the importance of supportive relationships and work. (Hasson-</w:t>
            </w:r>
            <w:proofErr w:type="spellStart"/>
            <w:r w:rsidR="00DF7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Ohayon</w:t>
            </w:r>
            <w:proofErr w:type="spellEnd"/>
            <w:r w:rsidR="00DF7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</w:t>
            </w:r>
            <w:r w:rsidR="00A714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DF7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2016)</w:t>
            </w:r>
          </w:p>
          <w:p w14:paraId="1C99C7D3" w14:textId="326519DA" w:rsidR="009D4BB0" w:rsidRDefault="009D4BB0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Families perceived care planning to be uncoordinated. Lived experienced were not appreciated. Collaborative decision-making no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regularly experienced. </w:t>
            </w:r>
            <w:r w:rsidR="00F30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amily involvement was found to be an important factor related to pathways to care co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mmunications constraints. (Doody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2017)</w:t>
            </w:r>
          </w:p>
          <w:p w14:paraId="69F4F516" w14:textId="133BFC5D" w:rsidR="00816298" w:rsidRPr="006613D1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D3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 Pathways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affected patient safety, supported autonomy and activities in community. (Mutchler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2019)</w:t>
            </w:r>
          </w:p>
          <w:p w14:paraId="2E5561AB" w14:textId="06335657" w:rsidR="00816298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2" w:name="_Hlk56363662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Improved information sharing in/between all care systems is imperative </w:t>
            </w:r>
            <w:r w:rsidR="00B277BC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strengthen patients` participation in decision making, ownership of the care plan and improve adherence to treatment. Patient participation in care plans a success factor. (S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</w:t>
            </w:r>
            <w:r w:rsidR="009D4B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2016,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</w:t>
            </w:r>
            <w:r w:rsidR="009D4B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,2019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7C6E70DB" w14:textId="52272924" w:rsidR="004D35FB" w:rsidRPr="006613D1" w:rsidRDefault="00CC000C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0B4F9C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hared decision-making support for caregivers with complicated regimes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B4F9C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(medication). </w:t>
            </w:r>
            <w:r w:rsidR="004D35FB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(Storm 2019)</w:t>
            </w:r>
          </w:p>
          <w:bookmarkEnd w:id="2"/>
          <w:p w14:paraId="4722D653" w14:textId="5FD84D51" w:rsidR="00816298" w:rsidRPr="006613D1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involvement was found to be an important factor related to pathways to care. (Allan et al 2020)</w:t>
            </w:r>
          </w:p>
          <w:p w14:paraId="561A6217" w14:textId="23D0D93D" w:rsidR="00816298" w:rsidRPr="004D35FB" w:rsidRDefault="004D35FB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3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a significant delay in seeking modern psychiatric treatment. Rel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D3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gious healers were first source of help for mental illness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Teshager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 2020)</w:t>
            </w:r>
          </w:p>
        </w:tc>
      </w:tr>
      <w:tr w:rsidR="00816298" w:rsidRPr="00794F34" w14:paraId="579F1E7E" w14:textId="77777777" w:rsidTr="00737B3B">
        <w:tc>
          <w:tcPr>
            <w:tcW w:w="4664" w:type="dxa"/>
          </w:tcPr>
          <w:p w14:paraId="761F2D1B" w14:textId="5DDDD675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Clinical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are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ssues and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>eamwork/</w:t>
            </w:r>
          </w:p>
          <w:p w14:paraId="25124DDC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4A41BDDF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bookmarkStart w:id="3" w:name="_Hlk56358514"/>
            <w:r w:rsidRPr="006613D1">
              <w:rPr>
                <w:rFonts w:ascii="Times New Roman" w:hAnsi="Times New Roman" w:cs="Times New Roman"/>
                <w:lang w:val="en-GB"/>
              </w:rPr>
              <w:t>Collaboration between mental health and other professionals to guarantee that planned activities meet patients’ needs</w:t>
            </w:r>
            <w:bookmarkEnd w:id="3"/>
          </w:p>
          <w:p w14:paraId="571E02C1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355C91C9" w14:textId="77777777" w:rsidR="00816298" w:rsidRDefault="00816298" w:rsidP="00B0645D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3B51A689" w14:textId="132433B2" w:rsidR="00816298" w:rsidRPr="006613D1" w:rsidRDefault="00484030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Pathways gave m</w:t>
            </w:r>
            <w:r w:rsidR="00816298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ore interpersonal </w:t>
            </w:r>
            <w:r w:rsidR="0006374A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aspects,</w:t>
            </w:r>
            <w:r w:rsidR="00816298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changing professional attitude positively. (Allen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 w:rsidR="00816298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2009)  </w:t>
            </w:r>
          </w:p>
          <w:p w14:paraId="466E996E" w14:textId="7A8400D9" w:rsidR="00816298" w:rsidRPr="006613D1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4" w:name="_Hlk61628598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Patient-centered </w:t>
            </w:r>
            <w:r w:rsidR="00E5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found that 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 was among the least investigated topics</w:t>
            </w:r>
            <w:r w:rsidR="00E5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between CPs and mental health specialists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(Durbin et al 2012)</w:t>
            </w:r>
          </w:p>
          <w:bookmarkEnd w:id="4"/>
          <w:p w14:paraId="1C00EBA0" w14:textId="496CCF9A" w:rsidR="00816298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Support interprofessional teams in enhancing teamwork. (</w:t>
            </w:r>
            <w:proofErr w:type="spellStart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Deneckere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2012)</w:t>
            </w:r>
          </w:p>
          <w:p w14:paraId="6C12A0A7" w14:textId="56F534C8" w:rsidR="00F30EFD" w:rsidRDefault="00F30EFD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Practitioners being held account over clear standard of care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Khandaker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2013) </w:t>
            </w:r>
          </w:p>
          <w:p w14:paraId="17F6B659" w14:textId="3DE49883" w:rsidR="00482F39" w:rsidRDefault="00482F39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reported the formal professional support as important to their recovery process in general and in their transition to the community in particular. (Hasson-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Ohayon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2016) </w:t>
            </w:r>
          </w:p>
          <w:p w14:paraId="0AB043C4" w14:textId="21AA0AA0" w:rsidR="00F30EFD" w:rsidRPr="006613D1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Shared decision-making support for caregivers with complicated regimes (medication). (Storm 2019)</w:t>
            </w:r>
          </w:p>
          <w:p w14:paraId="088DADF4" w14:textId="439373C7" w:rsidR="00C3059D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 participation in plans and working hours of ambulant teams were success factors. Key person handling all information and communication between levels of care. (Sæther et al 2018)</w:t>
            </w:r>
            <w:bookmarkStart w:id="5" w:name="_Hlk56362262"/>
          </w:p>
          <w:p w14:paraId="75ACAB47" w14:textId="10523CB2" w:rsidR="00794F34" w:rsidRPr="006613D1" w:rsidRDefault="00816298" w:rsidP="00931F6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Regular meetings sharing key information</w:t>
            </w:r>
            <w:r w:rsidR="00C30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a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voidance of delays extending inpatient status and block satisfactory transition to the community setting. (Sather et al 2018)</w:t>
            </w:r>
          </w:p>
          <w:bookmarkEnd w:id="5"/>
          <w:p w14:paraId="375C31DB" w14:textId="01E5AC9B" w:rsidR="00816298" w:rsidRPr="00F46ACB" w:rsidRDefault="00816298" w:rsidP="00931F6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6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 professionals, and general practi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r w:rsidRPr="00F46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oners played a key role in help seeking. (Allan et al 2020)</w:t>
            </w:r>
          </w:p>
        </w:tc>
      </w:tr>
      <w:tr w:rsidR="00816298" w:rsidRPr="00794F34" w14:paraId="03ECB2EC" w14:textId="77777777" w:rsidTr="00737B3B">
        <w:tc>
          <w:tcPr>
            <w:tcW w:w="4664" w:type="dxa"/>
          </w:tcPr>
          <w:p w14:paraId="0E61BEEA" w14:textId="1D3F119B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Ethical </w:t>
            </w:r>
            <w:r w:rsidR="0006374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6613D1">
              <w:rPr>
                <w:rFonts w:ascii="Times New Roman" w:hAnsi="Times New Roman" w:cs="Times New Roman"/>
                <w:b/>
                <w:bCs/>
                <w:lang w:val="en-US"/>
              </w:rPr>
              <w:t>ssues/</w:t>
            </w:r>
          </w:p>
          <w:p w14:paraId="56E5C324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</w:p>
          <w:p w14:paraId="477C1564" w14:textId="77777777" w:rsidR="00816298" w:rsidRPr="006613D1" w:rsidRDefault="00816298" w:rsidP="006613D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bookmarkStart w:id="6" w:name="_Hlk56358467"/>
            <w:r w:rsidRPr="006613D1">
              <w:rPr>
                <w:rFonts w:ascii="Times New Roman" w:hAnsi="Times New Roman" w:cs="Times New Roman"/>
                <w:lang w:val="en-US"/>
              </w:rPr>
              <w:t>Respectful communication and patient-centered care to avoid humiliating the patients</w:t>
            </w:r>
            <w:bookmarkEnd w:id="6"/>
          </w:p>
          <w:p w14:paraId="7E4D8AF2" w14:textId="77777777" w:rsidR="00816298" w:rsidRDefault="00816298" w:rsidP="00B0645D">
            <w:pPr>
              <w:rPr>
                <w:lang w:val="en-US"/>
              </w:rPr>
            </w:pPr>
          </w:p>
        </w:tc>
        <w:tc>
          <w:tcPr>
            <w:tcW w:w="9365" w:type="dxa"/>
          </w:tcPr>
          <w:p w14:paraId="2A540FEC" w14:textId="0E3243D1" w:rsidR="00816298" w:rsidRPr="006613D1" w:rsidRDefault="00816298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 and discrimination limited factors in delivery of care. (Volpe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2015)</w:t>
            </w:r>
          </w:p>
          <w:p w14:paraId="1DD2B2DF" w14:textId="35217C58" w:rsidR="00816298" w:rsidRDefault="00816298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staff used language which dehumanized the individuals. (Wright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2015) </w:t>
            </w:r>
          </w:p>
          <w:p w14:paraId="115EC24E" w14:textId="66D91790" w:rsidR="008360A2" w:rsidRDefault="008360A2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Dilemma when patient and health personnel have different options on treatment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Respectful communication to avoid humiliating the patients. (Sæther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2016)</w:t>
            </w:r>
          </w:p>
          <w:p w14:paraId="286A9A8A" w14:textId="6977D918" w:rsidR="008360A2" w:rsidRDefault="008360A2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complexity of welfare systems negatively affected patient dignity. (Sather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2018) </w:t>
            </w:r>
          </w:p>
          <w:p w14:paraId="32093ECF" w14:textId="19D3AE5F" w:rsidR="00FD66C4" w:rsidRPr="006613D1" w:rsidRDefault="00FD66C4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Poverty, interpersonal </w:t>
            </w:r>
            <w:r w:rsidR="00BB4B41"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difficulties,</w:t>
            </w:r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stigma were barriers. (2019 Mutchler) (</w:t>
            </w:r>
            <w:proofErr w:type="spellStart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Gronholm</w:t>
            </w:r>
            <w:proofErr w:type="spellEnd"/>
            <w:r w:rsidRPr="00661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2017)</w:t>
            </w:r>
          </w:p>
          <w:p w14:paraId="72B5BD98" w14:textId="66F3C80C" w:rsidR="00816298" w:rsidRPr="008360A2" w:rsidRDefault="00794F34" w:rsidP="008360A2">
            <w:pPr>
              <w:spacing w:after="16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Stigma and lack of awareness where treatment is available were barriers to seeking appropriate care for patients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with various diagnosis of mental illness. </w:t>
            </w:r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Teshager</w:t>
            </w:r>
            <w:proofErr w:type="spellEnd"/>
            <w:r w:rsidR="003C1E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2020)</w:t>
            </w:r>
          </w:p>
        </w:tc>
      </w:tr>
    </w:tbl>
    <w:p w14:paraId="2A98C46E" w14:textId="77777777" w:rsidR="006613D1" w:rsidRPr="006613D1" w:rsidRDefault="006613D1" w:rsidP="006613D1">
      <w:pPr>
        <w:rPr>
          <w:rFonts w:ascii="Times New Roman" w:hAnsi="Times New Roman" w:cs="Times New Roman"/>
          <w:lang w:val="en-US"/>
        </w:rPr>
      </w:pPr>
      <w:r w:rsidRPr="006613D1">
        <w:rPr>
          <w:rFonts w:ascii="Times New Roman" w:hAnsi="Times New Roman" w:cs="Times New Roman"/>
          <w:lang w:val="en-US"/>
        </w:rPr>
        <w:t xml:space="preserve">Table 3 Pathway Challenges in Hospital-to-Community Transitions for People with </w:t>
      </w:r>
      <w:r w:rsidR="00603EB3">
        <w:rPr>
          <w:rFonts w:ascii="Times New Roman" w:hAnsi="Times New Roman" w:cs="Times New Roman"/>
          <w:lang w:val="en-US"/>
        </w:rPr>
        <w:t>M</w:t>
      </w:r>
      <w:r w:rsidRPr="006613D1">
        <w:rPr>
          <w:rFonts w:ascii="Times New Roman" w:hAnsi="Times New Roman" w:cs="Times New Roman"/>
          <w:lang w:val="en-US"/>
        </w:rPr>
        <w:t>ental illness, presented in table 1 and 2</w:t>
      </w:r>
    </w:p>
    <w:p w14:paraId="41B46862" w14:textId="77777777" w:rsidR="00E70EA5" w:rsidRPr="00B0645D" w:rsidRDefault="00E70EA5">
      <w:pPr>
        <w:rPr>
          <w:lang w:val="en-US"/>
        </w:rPr>
      </w:pPr>
    </w:p>
    <w:sectPr w:rsidR="00E70EA5" w:rsidRPr="00B0645D" w:rsidSect="00B0645D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3EB2E" w14:textId="77777777" w:rsidR="007431BF" w:rsidRDefault="007431BF" w:rsidP="009254E9">
      <w:pPr>
        <w:spacing w:after="0" w:line="240" w:lineRule="auto"/>
      </w:pPr>
      <w:r>
        <w:separator/>
      </w:r>
    </w:p>
  </w:endnote>
  <w:endnote w:type="continuationSeparator" w:id="0">
    <w:p w14:paraId="6E918D5E" w14:textId="77777777" w:rsidR="007431BF" w:rsidRDefault="007431BF" w:rsidP="009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F7C7A" w14:textId="77777777" w:rsidR="007431BF" w:rsidRDefault="007431BF" w:rsidP="009254E9">
      <w:pPr>
        <w:spacing w:after="0" w:line="240" w:lineRule="auto"/>
      </w:pPr>
      <w:r>
        <w:separator/>
      </w:r>
    </w:p>
  </w:footnote>
  <w:footnote w:type="continuationSeparator" w:id="0">
    <w:p w14:paraId="4518007C" w14:textId="77777777" w:rsidR="007431BF" w:rsidRDefault="007431BF" w:rsidP="00925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5D"/>
    <w:rsid w:val="000017D0"/>
    <w:rsid w:val="0005016A"/>
    <w:rsid w:val="00061BC5"/>
    <w:rsid w:val="0006374A"/>
    <w:rsid w:val="000B4F9C"/>
    <w:rsid w:val="00110167"/>
    <w:rsid w:val="00163BED"/>
    <w:rsid w:val="001A0C98"/>
    <w:rsid w:val="001A24EB"/>
    <w:rsid w:val="001E2F32"/>
    <w:rsid w:val="001F0F0D"/>
    <w:rsid w:val="0022369C"/>
    <w:rsid w:val="002349C6"/>
    <w:rsid w:val="00257192"/>
    <w:rsid w:val="0029708D"/>
    <w:rsid w:val="003023FA"/>
    <w:rsid w:val="003106CB"/>
    <w:rsid w:val="003C1E41"/>
    <w:rsid w:val="003C3CFA"/>
    <w:rsid w:val="003F4507"/>
    <w:rsid w:val="0040556C"/>
    <w:rsid w:val="00420F24"/>
    <w:rsid w:val="00465AEA"/>
    <w:rsid w:val="00482F39"/>
    <w:rsid w:val="00484030"/>
    <w:rsid w:val="004D35FB"/>
    <w:rsid w:val="005760EC"/>
    <w:rsid w:val="00603EB3"/>
    <w:rsid w:val="00640D34"/>
    <w:rsid w:val="006613D1"/>
    <w:rsid w:val="00694EFA"/>
    <w:rsid w:val="00701790"/>
    <w:rsid w:val="00737B3B"/>
    <w:rsid w:val="007431BF"/>
    <w:rsid w:val="00794F34"/>
    <w:rsid w:val="007A0A7A"/>
    <w:rsid w:val="00804ADE"/>
    <w:rsid w:val="00816298"/>
    <w:rsid w:val="008360A2"/>
    <w:rsid w:val="00857E70"/>
    <w:rsid w:val="008F240F"/>
    <w:rsid w:val="009003CE"/>
    <w:rsid w:val="009254E9"/>
    <w:rsid w:val="00931F62"/>
    <w:rsid w:val="00976160"/>
    <w:rsid w:val="009D4BB0"/>
    <w:rsid w:val="00A405B3"/>
    <w:rsid w:val="00A71453"/>
    <w:rsid w:val="00A71F91"/>
    <w:rsid w:val="00A81AD0"/>
    <w:rsid w:val="00A83E87"/>
    <w:rsid w:val="00AB2024"/>
    <w:rsid w:val="00B015DB"/>
    <w:rsid w:val="00B0645D"/>
    <w:rsid w:val="00B277BC"/>
    <w:rsid w:val="00B37005"/>
    <w:rsid w:val="00B55EB8"/>
    <w:rsid w:val="00BB4B41"/>
    <w:rsid w:val="00BD65E4"/>
    <w:rsid w:val="00C3059D"/>
    <w:rsid w:val="00C80C54"/>
    <w:rsid w:val="00C8470E"/>
    <w:rsid w:val="00CC000C"/>
    <w:rsid w:val="00D25C4E"/>
    <w:rsid w:val="00D95ED8"/>
    <w:rsid w:val="00DF79C3"/>
    <w:rsid w:val="00DF7A74"/>
    <w:rsid w:val="00E07D42"/>
    <w:rsid w:val="00E5440C"/>
    <w:rsid w:val="00E70EA5"/>
    <w:rsid w:val="00EB4A93"/>
    <w:rsid w:val="00EF3D55"/>
    <w:rsid w:val="00F16E15"/>
    <w:rsid w:val="00F24260"/>
    <w:rsid w:val="00F30EFD"/>
    <w:rsid w:val="00F37E66"/>
    <w:rsid w:val="00F46ACB"/>
    <w:rsid w:val="00F7568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F97A"/>
  <w15:chartTrackingRefBased/>
  <w15:docId w15:val="{A6462FF7-D211-4582-BBA7-9DD9951B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3C21-2752-4D4B-9676-7902B1B9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Walderhaug Sæther</dc:creator>
  <cp:keywords/>
  <dc:description/>
  <cp:lastModifiedBy>Vasset Frøydis Perny</cp:lastModifiedBy>
  <cp:revision>2</cp:revision>
  <cp:lastPrinted>2021-02-17T10:54:00Z</cp:lastPrinted>
  <dcterms:created xsi:type="dcterms:W3CDTF">2022-05-05T20:28:00Z</dcterms:created>
  <dcterms:modified xsi:type="dcterms:W3CDTF">2022-05-05T20:28:00Z</dcterms:modified>
</cp:coreProperties>
</file>