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754A" w:rsidRPr="00DB4168" w:rsidRDefault="000D754A" w:rsidP="000D754A">
      <w:pPr>
        <w:jc w:val="center"/>
        <w:rPr>
          <w:rFonts w:ascii="Garamond" w:eastAsia="Calibri" w:hAnsi="Garamond" w:cs="Times New Roman"/>
          <w:b/>
          <w:sz w:val="28"/>
          <w:szCs w:val="24"/>
        </w:rPr>
      </w:pPr>
      <w:r w:rsidRPr="00DB4168">
        <w:rPr>
          <w:rFonts w:ascii="Garamond" w:eastAsia="Calibri" w:hAnsi="Garamond" w:cs="Times New Roman"/>
          <w:b/>
          <w:sz w:val="28"/>
          <w:szCs w:val="24"/>
        </w:rPr>
        <w:t>APPENDICES</w:t>
      </w:r>
    </w:p>
    <w:p w:rsidR="000D754A" w:rsidRDefault="000D754A" w:rsidP="000D754A">
      <w:pPr>
        <w:rPr>
          <w:rFonts w:ascii="Garamond" w:eastAsia="Calibri" w:hAnsi="Garamond" w:cs="Times New Roman"/>
          <w:b/>
          <w:sz w:val="24"/>
          <w:szCs w:val="24"/>
        </w:rPr>
      </w:pPr>
    </w:p>
    <w:p w:rsidR="000D754A" w:rsidRDefault="000D754A" w:rsidP="000D754A">
      <w:pPr>
        <w:rPr>
          <w:rFonts w:ascii="Garamond" w:hAnsi="Garamond"/>
          <w:b/>
          <w:sz w:val="24"/>
        </w:rPr>
      </w:pPr>
      <w:r>
        <w:rPr>
          <w:rFonts w:ascii="Garamond" w:hAnsi="Garamond"/>
          <w:b/>
          <w:sz w:val="24"/>
        </w:rPr>
        <w:t xml:space="preserve">Appendix 1: </w:t>
      </w:r>
      <w:r>
        <w:rPr>
          <w:rFonts w:ascii="Garamond" w:hAnsi="Garamond"/>
          <w:sz w:val="24"/>
        </w:rPr>
        <w:t>Definition and Source of variables</w:t>
      </w:r>
    </w:p>
    <w:p w:rsidR="000D754A" w:rsidRDefault="000D754A" w:rsidP="000D754A">
      <w:pPr>
        <w:rPr>
          <w:rFonts w:ascii="Garamond" w:hAnsi="Garamond"/>
          <w:b/>
          <w:sz w:val="24"/>
        </w:rPr>
      </w:pPr>
    </w:p>
    <w:tbl>
      <w:tblPr>
        <w:tblW w:w="152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6"/>
        <w:gridCol w:w="5918"/>
        <w:gridCol w:w="7623"/>
      </w:tblGrid>
      <w:tr w:rsidR="000D754A" w:rsidTr="002356A4">
        <w:trPr>
          <w:jc w:val="center"/>
        </w:trPr>
        <w:tc>
          <w:tcPr>
            <w:tcW w:w="1716" w:type="dxa"/>
            <w:tcBorders>
              <w:top w:val="single" w:sz="4" w:space="0" w:color="auto"/>
              <w:left w:val="single" w:sz="4" w:space="0" w:color="auto"/>
              <w:bottom w:val="single" w:sz="4" w:space="0" w:color="auto"/>
              <w:right w:val="single" w:sz="4" w:space="0" w:color="auto"/>
            </w:tcBorders>
            <w:hideMark/>
          </w:tcPr>
          <w:p w:rsidR="000D754A" w:rsidRDefault="000D754A" w:rsidP="002356A4">
            <w:pPr>
              <w:jc w:val="center"/>
              <w:rPr>
                <w:rFonts w:ascii="Garamond" w:hAnsi="Garamond"/>
                <w:b/>
                <w:sz w:val="22"/>
              </w:rPr>
            </w:pPr>
            <w:r>
              <w:rPr>
                <w:rFonts w:ascii="Garamond" w:hAnsi="Garamond"/>
                <w:b/>
                <w:sz w:val="22"/>
              </w:rPr>
              <w:t>Variables</w:t>
            </w:r>
          </w:p>
        </w:tc>
        <w:tc>
          <w:tcPr>
            <w:tcW w:w="5918" w:type="dxa"/>
            <w:tcBorders>
              <w:top w:val="single" w:sz="4" w:space="0" w:color="auto"/>
              <w:left w:val="single" w:sz="4" w:space="0" w:color="auto"/>
              <w:bottom w:val="single" w:sz="4" w:space="0" w:color="auto"/>
              <w:right w:val="single" w:sz="4" w:space="0" w:color="auto"/>
            </w:tcBorders>
            <w:hideMark/>
          </w:tcPr>
          <w:p w:rsidR="000D754A" w:rsidRDefault="000D754A" w:rsidP="002356A4">
            <w:pPr>
              <w:jc w:val="center"/>
              <w:rPr>
                <w:rFonts w:ascii="Garamond" w:hAnsi="Garamond"/>
                <w:b/>
                <w:sz w:val="22"/>
              </w:rPr>
            </w:pPr>
            <w:r>
              <w:rPr>
                <w:rFonts w:ascii="Garamond" w:hAnsi="Garamond"/>
                <w:b/>
                <w:sz w:val="22"/>
              </w:rPr>
              <w:t>Definition</w:t>
            </w:r>
          </w:p>
        </w:tc>
        <w:tc>
          <w:tcPr>
            <w:tcW w:w="7623" w:type="dxa"/>
            <w:tcBorders>
              <w:top w:val="single" w:sz="4" w:space="0" w:color="auto"/>
              <w:left w:val="single" w:sz="4" w:space="0" w:color="auto"/>
              <w:bottom w:val="single" w:sz="4" w:space="0" w:color="auto"/>
              <w:right w:val="single" w:sz="4" w:space="0" w:color="auto"/>
            </w:tcBorders>
            <w:hideMark/>
          </w:tcPr>
          <w:p w:rsidR="000D754A" w:rsidRDefault="000D754A" w:rsidP="002356A4">
            <w:pPr>
              <w:rPr>
                <w:rFonts w:ascii="Garamond" w:hAnsi="Garamond"/>
                <w:b/>
                <w:sz w:val="22"/>
              </w:rPr>
            </w:pPr>
            <w:r>
              <w:rPr>
                <w:rFonts w:ascii="Garamond" w:hAnsi="Garamond"/>
                <w:b/>
                <w:sz w:val="22"/>
              </w:rPr>
              <w:t>Sources</w:t>
            </w:r>
          </w:p>
        </w:tc>
      </w:tr>
      <w:tr w:rsidR="000D754A" w:rsidTr="002356A4">
        <w:trPr>
          <w:jc w:val="center"/>
        </w:trPr>
        <w:tc>
          <w:tcPr>
            <w:tcW w:w="1716"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lang w:val="en-US"/>
              </w:rPr>
            </w:pPr>
            <w:r>
              <w:rPr>
                <w:rFonts w:ascii="Garamond" w:hAnsi="Garamond"/>
                <w:sz w:val="24"/>
                <w:lang w:val="en-US"/>
              </w:rPr>
              <w:t>GROWTH</w:t>
            </w:r>
          </w:p>
        </w:tc>
        <w:tc>
          <w:tcPr>
            <w:tcW w:w="5918" w:type="dxa"/>
            <w:tcBorders>
              <w:top w:val="single" w:sz="4" w:space="0" w:color="auto"/>
              <w:left w:val="single" w:sz="4" w:space="0" w:color="auto"/>
              <w:bottom w:val="single" w:sz="4" w:space="0" w:color="auto"/>
              <w:right w:val="single" w:sz="4" w:space="0" w:color="auto"/>
            </w:tcBorders>
            <w:vAlign w:val="center"/>
          </w:tcPr>
          <w:p w:rsidR="000D754A" w:rsidRPr="00F27064" w:rsidRDefault="000D754A" w:rsidP="002356A4">
            <w:pPr>
              <w:jc w:val="center"/>
              <w:rPr>
                <w:rFonts w:ascii="Garamond" w:hAnsi="Garamond"/>
                <w:sz w:val="24"/>
              </w:rPr>
            </w:pPr>
            <w:r w:rsidRPr="00F47623">
              <w:rPr>
                <w:rFonts w:ascii="Garamond" w:hAnsi="Garamond"/>
                <w:sz w:val="24"/>
              </w:rPr>
              <w:t>GDP per capita growth (annual %)</w:t>
            </w:r>
            <w:r>
              <w:rPr>
                <w:rFonts w:ascii="Garamond" w:hAnsi="Garamond"/>
                <w:sz w:val="24"/>
              </w:rPr>
              <w:t xml:space="preserve">, based on </w:t>
            </w:r>
            <w:r w:rsidRPr="00F47623">
              <w:rPr>
                <w:rFonts w:ascii="Garamond" w:hAnsi="Garamond"/>
                <w:sz w:val="24"/>
              </w:rPr>
              <w:t>constant 2010 US$</w:t>
            </w:r>
            <w:r>
              <w:rPr>
                <w:rFonts w:ascii="Garamond" w:hAnsi="Garamond"/>
                <w:sz w:val="24"/>
              </w:rPr>
              <w:t xml:space="preserve"> prices.</w:t>
            </w:r>
          </w:p>
        </w:tc>
        <w:tc>
          <w:tcPr>
            <w:tcW w:w="7623" w:type="dxa"/>
            <w:tcBorders>
              <w:top w:val="single" w:sz="4" w:space="0" w:color="auto"/>
              <w:left w:val="single" w:sz="4" w:space="0" w:color="auto"/>
              <w:bottom w:val="single" w:sz="4" w:space="0" w:color="auto"/>
              <w:right w:val="single" w:sz="4" w:space="0" w:color="auto"/>
            </w:tcBorders>
            <w:vAlign w:val="center"/>
          </w:tcPr>
          <w:p w:rsidR="000D754A" w:rsidRPr="00F27064" w:rsidRDefault="000D754A" w:rsidP="002356A4">
            <w:pPr>
              <w:jc w:val="center"/>
              <w:rPr>
                <w:rFonts w:ascii="Garamond" w:hAnsi="Garamond"/>
                <w:sz w:val="24"/>
              </w:rPr>
            </w:pPr>
            <w:r w:rsidRPr="00251ECB">
              <w:rPr>
                <w:rFonts w:ascii="Garamond" w:hAnsi="Garamond"/>
                <w:sz w:val="24"/>
                <w:lang w:val="en-US"/>
              </w:rPr>
              <w:t xml:space="preserve">World Development Indicators </w:t>
            </w:r>
            <w:r>
              <w:rPr>
                <w:rFonts w:ascii="Garamond" w:hAnsi="Garamond"/>
                <w:sz w:val="24"/>
                <w:lang w:val="en-US"/>
              </w:rPr>
              <w:t xml:space="preserve">of the World Bank </w:t>
            </w:r>
            <w:r w:rsidRPr="00251ECB">
              <w:rPr>
                <w:rFonts w:ascii="Garamond" w:hAnsi="Garamond"/>
                <w:sz w:val="24"/>
                <w:lang w:val="en-US"/>
              </w:rPr>
              <w:t>(WDI)</w:t>
            </w:r>
          </w:p>
        </w:tc>
      </w:tr>
      <w:tr w:rsidR="000D754A" w:rsidTr="002356A4">
        <w:trPr>
          <w:jc w:val="center"/>
        </w:trPr>
        <w:tc>
          <w:tcPr>
            <w:tcW w:w="1716"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szCs w:val="24"/>
              </w:rPr>
            </w:pPr>
            <w:r>
              <w:rPr>
                <w:rFonts w:ascii="Garamond" w:hAnsi="Garamond"/>
                <w:sz w:val="24"/>
                <w:szCs w:val="24"/>
              </w:rPr>
              <w:t>HHI</w:t>
            </w:r>
          </w:p>
        </w:tc>
        <w:tc>
          <w:tcPr>
            <w:tcW w:w="5918"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szCs w:val="24"/>
              </w:rPr>
            </w:pPr>
            <w:r>
              <w:rPr>
                <w:rFonts w:ascii="Garamond" w:hAnsi="Garamond"/>
                <w:sz w:val="24"/>
                <w:szCs w:val="24"/>
              </w:rPr>
              <w:t>T</w:t>
            </w:r>
            <w:r w:rsidRPr="00146C37">
              <w:rPr>
                <w:rFonts w:ascii="Garamond" w:hAnsi="Garamond"/>
                <w:sz w:val="24"/>
                <w:szCs w:val="24"/>
              </w:rPr>
              <w:t>h</w:t>
            </w:r>
            <w:r>
              <w:rPr>
                <w:rFonts w:ascii="Garamond" w:hAnsi="Garamond"/>
                <w:sz w:val="24"/>
                <w:szCs w:val="24"/>
              </w:rPr>
              <w:t>is is the</w:t>
            </w:r>
            <w:r w:rsidRPr="00146C37">
              <w:rPr>
                <w:rFonts w:ascii="Garamond" w:hAnsi="Garamond"/>
                <w:sz w:val="24"/>
                <w:szCs w:val="24"/>
              </w:rPr>
              <w:t xml:space="preserve"> Herfindahl</w:t>
            </w:r>
            <w:r>
              <w:rPr>
                <w:rFonts w:ascii="Garamond" w:hAnsi="Garamond"/>
                <w:sz w:val="24"/>
                <w:szCs w:val="24"/>
              </w:rPr>
              <w:t xml:space="preserve"> </w:t>
            </w:r>
            <w:r w:rsidRPr="00146C37">
              <w:rPr>
                <w:rFonts w:ascii="Garamond" w:hAnsi="Garamond"/>
                <w:sz w:val="24"/>
                <w:szCs w:val="24"/>
              </w:rPr>
              <w:t>index</w:t>
            </w:r>
            <w:r>
              <w:rPr>
                <w:rFonts w:ascii="Garamond" w:hAnsi="Garamond"/>
                <w:sz w:val="24"/>
                <w:szCs w:val="24"/>
              </w:rPr>
              <w:t>, which is</w:t>
            </w:r>
            <w:r w:rsidRPr="00146C37">
              <w:rPr>
                <w:rFonts w:ascii="Garamond" w:hAnsi="Garamond"/>
                <w:sz w:val="24"/>
                <w:szCs w:val="24"/>
              </w:rPr>
              <w:t xml:space="preserve"> </w:t>
            </w:r>
            <w:r>
              <w:rPr>
                <w:rFonts w:ascii="Garamond" w:hAnsi="Garamond"/>
                <w:sz w:val="24"/>
                <w:szCs w:val="24"/>
              </w:rPr>
              <w:t>also referred sometimes to as</w:t>
            </w:r>
            <w:r w:rsidRPr="00146C37">
              <w:rPr>
                <w:rFonts w:ascii="Garamond" w:hAnsi="Garamond"/>
                <w:sz w:val="24"/>
                <w:szCs w:val="24"/>
              </w:rPr>
              <w:t xml:space="preserve"> the Hirschman</w:t>
            </w:r>
            <w:r>
              <w:rPr>
                <w:rFonts w:ascii="Garamond" w:hAnsi="Garamond"/>
                <w:sz w:val="24"/>
                <w:szCs w:val="24"/>
              </w:rPr>
              <w:t>-</w:t>
            </w:r>
            <w:r w:rsidRPr="00146C37">
              <w:rPr>
                <w:rFonts w:ascii="Garamond" w:hAnsi="Garamond"/>
                <w:sz w:val="24"/>
                <w:szCs w:val="24"/>
              </w:rPr>
              <w:t>Herfindahl index</w:t>
            </w:r>
            <w:r>
              <w:rPr>
                <w:rFonts w:ascii="Garamond" w:hAnsi="Garamond"/>
                <w:sz w:val="24"/>
                <w:szCs w:val="24"/>
              </w:rPr>
              <w:t xml:space="preserve">. It has been computed as follows: </w:t>
            </w:r>
            <m:oMath>
              <m:r>
                <w:rPr>
                  <w:rFonts w:ascii="Cambria Math" w:hAnsi="Cambria Math"/>
                  <w:sz w:val="24"/>
                </w:rPr>
                <m:t xml:space="preserve">HHI= </m:t>
              </m:r>
              <m:f>
                <m:fPr>
                  <m:ctrlPr>
                    <w:rPr>
                      <w:rFonts w:ascii="Cambria Math" w:hAnsi="Cambria Math"/>
                      <w:i/>
                      <w:sz w:val="24"/>
                    </w:rPr>
                  </m:ctrlPr>
                </m:fPr>
                <m:num>
                  <m:nary>
                    <m:naryPr>
                      <m:chr m:val="∑"/>
                      <m:limLoc m:val="undOvr"/>
                      <m:supHide m:val="1"/>
                      <m:ctrlPr>
                        <w:rPr>
                          <w:rFonts w:ascii="Cambria Math" w:hAnsi="Cambria Math"/>
                          <w:i/>
                          <w:sz w:val="24"/>
                        </w:rPr>
                      </m:ctrlPr>
                    </m:naryPr>
                    <m:sub>
                      <m:r>
                        <w:rPr>
                          <w:rFonts w:ascii="Cambria Math" w:hAnsi="Cambria Math"/>
                          <w:sz w:val="24"/>
                        </w:rPr>
                        <m:t>k</m:t>
                      </m:r>
                    </m:sub>
                    <m:sup/>
                    <m:e>
                      <m:sSubSup>
                        <m:sSubSupPr>
                          <m:ctrlPr>
                            <w:rPr>
                              <w:rFonts w:ascii="Cambria Math" w:hAnsi="Cambria Math"/>
                              <w:i/>
                              <w:sz w:val="24"/>
                            </w:rPr>
                          </m:ctrlPr>
                        </m:sSubSupPr>
                        <m:e>
                          <m:r>
                            <w:rPr>
                              <w:rFonts w:ascii="Cambria Math" w:hAnsi="Cambria Math"/>
                              <w:sz w:val="24"/>
                            </w:rPr>
                            <m:t>s</m:t>
                          </m:r>
                        </m:e>
                        <m:sub>
                          <m:r>
                            <w:rPr>
                              <w:rFonts w:ascii="Cambria Math" w:hAnsi="Cambria Math"/>
                              <w:sz w:val="24"/>
                            </w:rPr>
                            <m:t>k</m:t>
                          </m:r>
                        </m:sub>
                        <m:sup>
                          <m:r>
                            <w:rPr>
                              <w:rFonts w:ascii="Cambria Math" w:hAnsi="Cambria Math"/>
                              <w:sz w:val="24"/>
                            </w:rPr>
                            <m:t>2</m:t>
                          </m:r>
                        </m:sup>
                      </m:sSubSup>
                    </m:e>
                  </m:nary>
                  <m:r>
                    <w:rPr>
                      <w:rFonts w:ascii="Cambria Math" w:hAnsi="Cambria Math"/>
                      <w:sz w:val="24"/>
                    </w:rPr>
                    <m:t xml:space="preserve">- </m:t>
                  </m:r>
                  <m:f>
                    <m:fPr>
                      <m:type m:val="skw"/>
                      <m:ctrlPr>
                        <w:rPr>
                          <w:rFonts w:ascii="Cambria Math" w:hAnsi="Cambria Math"/>
                          <w:i/>
                          <w:sz w:val="24"/>
                        </w:rPr>
                      </m:ctrlPr>
                    </m:fPr>
                    <m:num>
                      <m:r>
                        <w:rPr>
                          <w:rFonts w:ascii="Cambria Math" w:hAnsi="Cambria Math"/>
                          <w:sz w:val="24"/>
                        </w:rPr>
                        <m:t>1</m:t>
                      </m:r>
                    </m:num>
                    <m:den>
                      <m:r>
                        <w:rPr>
                          <w:rFonts w:ascii="Cambria Math" w:hAnsi="Cambria Math"/>
                          <w:sz w:val="24"/>
                        </w:rPr>
                        <m:t>n</m:t>
                      </m:r>
                    </m:den>
                  </m:f>
                </m:num>
                <m:den>
                  <m:f>
                    <m:fPr>
                      <m:type m:val="skw"/>
                      <m:ctrlPr>
                        <w:rPr>
                          <w:rFonts w:ascii="Cambria Math" w:hAnsi="Cambria Math"/>
                          <w:i/>
                          <w:sz w:val="24"/>
                        </w:rPr>
                      </m:ctrlPr>
                    </m:fPr>
                    <m:num>
                      <m:r>
                        <w:rPr>
                          <w:rFonts w:ascii="Cambria Math" w:hAnsi="Cambria Math"/>
                          <w:sz w:val="24"/>
                        </w:rPr>
                        <m:t>1</m:t>
                      </m:r>
                    </m:num>
                    <m:den>
                      <m:r>
                        <w:rPr>
                          <w:rFonts w:ascii="Cambria Math" w:hAnsi="Cambria Math"/>
                          <w:sz w:val="24"/>
                        </w:rPr>
                        <m:t>n</m:t>
                      </m:r>
                    </m:den>
                  </m:f>
                </m:den>
              </m:f>
              <m:r>
                <w:rPr>
                  <w:rFonts w:ascii="Cambria Math" w:hAnsi="Cambria Math"/>
                  <w:sz w:val="24"/>
                </w:rPr>
                <m:t xml:space="preserve"> </m:t>
              </m:r>
            </m:oMath>
            <w:r>
              <w:rPr>
                <w:rFonts w:ascii="Garamond" w:hAnsi="Garamond"/>
                <w:sz w:val="24"/>
              </w:rPr>
              <w:t xml:space="preserve"> where </w:t>
            </w:r>
            <m:oMath>
              <m:sSub>
                <m:sSubPr>
                  <m:ctrlPr>
                    <w:rPr>
                      <w:rFonts w:ascii="Cambria Math" w:hAnsi="Cambria Math"/>
                      <w:i/>
                      <w:sz w:val="24"/>
                    </w:rPr>
                  </m:ctrlPr>
                </m:sSubPr>
                <m:e>
                  <m:r>
                    <w:rPr>
                      <w:rFonts w:ascii="Cambria Math" w:hAnsi="Cambria Math"/>
                      <w:sz w:val="24"/>
                    </w:rPr>
                    <m:t>s</m:t>
                  </m:r>
                </m:e>
                <m:sub>
                  <m:r>
                    <w:rPr>
                      <w:rFonts w:ascii="Cambria Math" w:hAnsi="Cambria Math"/>
                      <w:sz w:val="24"/>
                    </w:rPr>
                    <m:t>k</m:t>
                  </m:r>
                </m:sub>
              </m:sSub>
              <m:r>
                <w:rPr>
                  <w:rFonts w:ascii="Cambria Math" w:hAnsi="Cambria Math"/>
                  <w:sz w:val="24"/>
                </w:rPr>
                <m:t>=</m:t>
              </m:r>
              <m:f>
                <m:fPr>
                  <m:type m:val="skw"/>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x</m:t>
                      </m:r>
                    </m:e>
                    <m:sub>
                      <m:r>
                        <w:rPr>
                          <w:rFonts w:ascii="Cambria Math" w:hAnsi="Cambria Math"/>
                          <w:sz w:val="24"/>
                        </w:rPr>
                        <m:t>k</m:t>
                      </m:r>
                    </m:sub>
                  </m:sSub>
                </m:num>
                <m:den>
                  <m:nary>
                    <m:naryPr>
                      <m:chr m:val="∑"/>
                      <m:limLoc m:val="undOvr"/>
                      <m:ctrlPr>
                        <w:rPr>
                          <w:rFonts w:ascii="Cambria Math" w:hAnsi="Cambria Math"/>
                          <w:i/>
                          <w:sz w:val="24"/>
                        </w:rPr>
                      </m:ctrlPr>
                    </m:naryPr>
                    <m:sub>
                      <m:r>
                        <w:rPr>
                          <w:rFonts w:ascii="Cambria Math" w:hAnsi="Cambria Math"/>
                          <w:sz w:val="24"/>
                        </w:rPr>
                        <m:t>k=1</m:t>
                      </m:r>
                    </m:sub>
                    <m:sup>
                      <m:r>
                        <w:rPr>
                          <w:rFonts w:ascii="Cambria Math" w:hAnsi="Cambria Math"/>
                          <w:sz w:val="24"/>
                        </w:rPr>
                        <m:t>n</m:t>
                      </m:r>
                    </m:sup>
                    <m:e>
                      <m:sSub>
                        <m:sSubPr>
                          <m:ctrlPr>
                            <w:rPr>
                              <w:rFonts w:ascii="Cambria Math" w:hAnsi="Cambria Math"/>
                              <w:i/>
                              <w:sz w:val="24"/>
                            </w:rPr>
                          </m:ctrlPr>
                        </m:sSubPr>
                        <m:e>
                          <m:r>
                            <w:rPr>
                              <w:rFonts w:ascii="Cambria Math" w:hAnsi="Cambria Math"/>
                              <w:sz w:val="24"/>
                            </w:rPr>
                            <m:t>x</m:t>
                          </m:r>
                        </m:e>
                        <m:sub>
                          <m:r>
                            <w:rPr>
                              <w:rFonts w:ascii="Cambria Math" w:hAnsi="Cambria Math"/>
                              <w:sz w:val="24"/>
                            </w:rPr>
                            <m:t>k</m:t>
                          </m:r>
                        </m:sub>
                      </m:sSub>
                    </m:e>
                  </m:nary>
                </m:den>
              </m:f>
              <m:r>
                <w:rPr>
                  <w:rFonts w:ascii="Cambria Math" w:hAnsi="Cambria Math"/>
                  <w:sz w:val="24"/>
                </w:rPr>
                <m:t xml:space="preserve"> </m:t>
              </m:r>
            </m:oMath>
            <w:r>
              <w:rPr>
                <w:rFonts w:ascii="Garamond" w:hAnsi="Garamond"/>
                <w:sz w:val="24"/>
              </w:rPr>
              <w:t xml:space="preserve">represents </w:t>
            </w:r>
            <w:r w:rsidRPr="00B35E8C">
              <w:rPr>
                <w:rFonts w:ascii="Garamond" w:hAnsi="Garamond"/>
                <w:sz w:val="24"/>
              </w:rPr>
              <w:t>the share of export line k (with</w:t>
            </w:r>
            <w:r>
              <w:rPr>
                <w:rFonts w:ascii="Garamond" w:hAnsi="Garamond"/>
                <w:sz w:val="24"/>
              </w:rPr>
              <w:t xml:space="preserve"> </w:t>
            </w:r>
            <w:r w:rsidRPr="00B35E8C">
              <w:rPr>
                <w:rFonts w:ascii="Garamond" w:hAnsi="Garamond"/>
                <w:sz w:val="24"/>
              </w:rPr>
              <w:t>amount exported</w:t>
            </w:r>
            <w:r>
              <w:rPr>
                <w:rFonts w:ascii="Garamond" w:hAnsi="Garamond"/>
                <w:sz w:val="24"/>
              </w:rPr>
              <w:t xml:space="preserve"> </w:t>
            </w:r>
            <m:oMath>
              <m:sSub>
                <m:sSubPr>
                  <m:ctrlPr>
                    <w:rPr>
                      <w:rFonts w:ascii="Cambria Math" w:hAnsi="Cambria Math"/>
                      <w:i/>
                      <w:sz w:val="24"/>
                    </w:rPr>
                  </m:ctrlPr>
                </m:sSubPr>
                <m:e>
                  <m:r>
                    <w:rPr>
                      <w:rFonts w:ascii="Cambria Math" w:hAnsi="Cambria Math"/>
                      <w:sz w:val="24"/>
                    </w:rPr>
                    <m:t>x</m:t>
                  </m:r>
                </m:e>
                <m:sub>
                  <m:r>
                    <w:rPr>
                      <w:rFonts w:ascii="Cambria Math" w:hAnsi="Cambria Math"/>
                      <w:sz w:val="24"/>
                    </w:rPr>
                    <m:t>k</m:t>
                  </m:r>
                </m:sub>
              </m:sSub>
            </m:oMath>
            <w:r w:rsidRPr="00B35E8C">
              <w:rPr>
                <w:rFonts w:ascii="Garamond" w:hAnsi="Garamond"/>
                <w:sz w:val="24"/>
              </w:rPr>
              <w:t>) in total exports</w:t>
            </w:r>
            <w:r>
              <w:rPr>
                <w:rFonts w:ascii="Garamond" w:hAnsi="Garamond"/>
                <w:sz w:val="24"/>
              </w:rPr>
              <w:t xml:space="preserve">: </w:t>
            </w: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k</m:t>
                  </m:r>
                </m:sub>
              </m:sSub>
              <m:r>
                <w:rPr>
                  <w:rFonts w:ascii="Cambria Math" w:hAnsi="Cambria Math"/>
                  <w:sz w:val="24"/>
                  <w:szCs w:val="24"/>
                </w:rPr>
                <m:t xml:space="preserve"> </m:t>
              </m:r>
            </m:oMath>
            <w:r w:rsidRPr="001957B8">
              <w:rPr>
                <w:rFonts w:ascii="Garamond" w:hAnsi="Garamond" w:cs="AdvP6975"/>
                <w:color w:val="231F20"/>
                <w:sz w:val="24"/>
                <w:szCs w:val="24"/>
              </w:rPr>
              <w:t>stands for the amount of services exports associated with the services line "k"</w:t>
            </w:r>
            <w:r>
              <w:rPr>
                <w:rFonts w:ascii="Garamond" w:hAnsi="Garamond"/>
                <w:sz w:val="24"/>
              </w:rPr>
              <w:t xml:space="preserve">; </w:t>
            </w:r>
            <w:r w:rsidRPr="001957B8">
              <w:rPr>
                <w:rFonts w:ascii="Garamond" w:eastAsiaTheme="minorEastAsia" w:hAnsi="Garamond"/>
                <w:sz w:val="24"/>
              </w:rPr>
              <w:t xml:space="preserve">n represents the total number of the services export lines (k) and </w:t>
            </w:r>
            <m:oMath>
              <m:r>
                <w:rPr>
                  <w:rFonts w:ascii="Cambria Math" w:eastAsiaTheme="minorEastAsia" w:hAnsi="Cambria Math"/>
                  <w:sz w:val="24"/>
                </w:rPr>
                <m:t>n</m:t>
              </m:r>
              <m:r>
                <w:rPr>
                  <w:rFonts w:ascii="Cambria Math" w:hAnsi="Cambria Math"/>
                  <w:sz w:val="24"/>
                </w:rPr>
                <m:t xml:space="preserve">= </m:t>
              </m:r>
              <m:nary>
                <m:naryPr>
                  <m:chr m:val="∑"/>
                  <m:limLoc m:val="undOvr"/>
                  <m:ctrlPr>
                    <w:rPr>
                      <w:rFonts w:ascii="Cambria Math" w:hAnsi="Cambria Math"/>
                      <w:i/>
                      <w:sz w:val="24"/>
                    </w:rPr>
                  </m:ctrlPr>
                </m:naryPr>
                <m:sub>
                  <m:r>
                    <w:rPr>
                      <w:rFonts w:ascii="Cambria Math" w:hAnsi="Cambria Math"/>
                      <w:sz w:val="24"/>
                    </w:rPr>
                    <m:t>k=1</m:t>
                  </m:r>
                </m:sub>
                <m:sup>
                  <m:r>
                    <w:rPr>
                      <w:rFonts w:ascii="Cambria Math" w:hAnsi="Cambria Math"/>
                      <w:sz w:val="24"/>
                    </w:rPr>
                    <m:t>n</m:t>
                  </m:r>
                </m:sup>
                <m:e>
                  <m:r>
                    <w:rPr>
                      <w:rFonts w:ascii="Cambria Math" w:hAnsi="Cambria Math"/>
                      <w:sz w:val="24"/>
                    </w:rPr>
                    <m:t>k</m:t>
                  </m:r>
                </m:e>
              </m:nary>
            </m:oMath>
            <w:r>
              <w:rPr>
                <w:rFonts w:ascii="Garamond" w:eastAsiaTheme="minorEastAsia" w:hAnsi="Garamond"/>
                <w:sz w:val="24"/>
              </w:rPr>
              <w:t xml:space="preserve">. The computed indicator has been normalized so that its values range between </w:t>
            </w:r>
            <w:r w:rsidRPr="001957B8">
              <w:rPr>
                <w:rFonts w:ascii="Garamond" w:hAnsi="Garamond"/>
                <w:sz w:val="24"/>
              </w:rPr>
              <w:t xml:space="preserve">0 </w:t>
            </w:r>
            <w:r>
              <w:rPr>
                <w:rFonts w:ascii="Garamond" w:hAnsi="Garamond"/>
                <w:sz w:val="24"/>
              </w:rPr>
              <w:t>and</w:t>
            </w:r>
            <w:r w:rsidRPr="001957B8">
              <w:rPr>
                <w:rFonts w:ascii="Garamond" w:hAnsi="Garamond"/>
                <w:sz w:val="24"/>
              </w:rPr>
              <w:t xml:space="preserve"> 1</w:t>
            </w:r>
            <w:r>
              <w:rPr>
                <w:rFonts w:ascii="Garamond" w:hAnsi="Garamond"/>
                <w:sz w:val="24"/>
              </w:rPr>
              <w:t>00.</w:t>
            </w:r>
            <w:r w:rsidRPr="001957B8">
              <w:rPr>
                <w:rFonts w:ascii="Garamond" w:hAnsi="Garamond"/>
                <w:sz w:val="24"/>
              </w:rPr>
              <w:t xml:space="preserve"> </w:t>
            </w:r>
            <w:r w:rsidRPr="001A437D">
              <w:rPr>
                <w:rFonts w:ascii="Garamond" w:hAnsi="Garamond"/>
                <w:sz w:val="24"/>
              </w:rPr>
              <w:t xml:space="preserve">Higher values of this index </w:t>
            </w:r>
            <w:r>
              <w:rPr>
                <w:rFonts w:ascii="Garamond" w:hAnsi="Garamond"/>
                <w:sz w:val="24"/>
              </w:rPr>
              <w:t>indicate</w:t>
            </w:r>
            <w:r w:rsidRPr="001A437D">
              <w:rPr>
                <w:rFonts w:ascii="Garamond" w:hAnsi="Garamond"/>
                <w:sz w:val="24"/>
              </w:rPr>
              <w:t xml:space="preserve"> greater services export concentration, </w:t>
            </w:r>
            <w:r>
              <w:rPr>
                <w:rFonts w:ascii="Garamond" w:hAnsi="Garamond"/>
                <w:sz w:val="24"/>
              </w:rPr>
              <w:t>while</w:t>
            </w:r>
            <w:r w:rsidRPr="001A437D">
              <w:rPr>
                <w:rFonts w:ascii="Garamond" w:hAnsi="Garamond"/>
                <w:sz w:val="24"/>
              </w:rPr>
              <w:t xml:space="preserve"> lower values </w:t>
            </w:r>
            <w:r>
              <w:rPr>
                <w:rFonts w:ascii="Garamond" w:hAnsi="Garamond"/>
                <w:sz w:val="24"/>
              </w:rPr>
              <w:t>show</w:t>
            </w:r>
            <w:r w:rsidRPr="001A437D">
              <w:rPr>
                <w:rFonts w:ascii="Garamond" w:hAnsi="Garamond"/>
                <w:sz w:val="24"/>
              </w:rPr>
              <w:t xml:space="preserve"> greater services export diversification.</w:t>
            </w:r>
          </w:p>
        </w:tc>
        <w:tc>
          <w:tcPr>
            <w:tcW w:w="7623"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Arial Narrow" w:hAnsi="Arial Narrow"/>
                <w:sz w:val="22"/>
              </w:rPr>
            </w:pPr>
            <w:r>
              <w:rPr>
                <w:rFonts w:ascii="Garamond" w:hAnsi="Garamond"/>
                <w:sz w:val="24"/>
                <w:szCs w:val="24"/>
              </w:rPr>
              <w:t xml:space="preserve">Author's calculation based on the same data from the database developed by the International Monetary Fund (IMF) on the international trade in services (see online at: </w:t>
            </w:r>
            <w:hyperlink r:id="rId4" w:history="1">
              <w:r>
                <w:rPr>
                  <w:rStyle w:val="Hyperlink"/>
                  <w:rFonts w:ascii="Garamond" w:hAnsi="Garamond"/>
                  <w:sz w:val="24"/>
                  <w:szCs w:val="24"/>
                </w:rPr>
                <w:t>https://data.imf.org/?sk=07109577-E65D-4CE1-BB21-0CB3098FC504</w:t>
              </w:r>
            </w:hyperlink>
            <w:r>
              <w:rPr>
                <w:rFonts w:ascii="Garamond" w:hAnsi="Garamond"/>
                <w:sz w:val="24"/>
                <w:szCs w:val="24"/>
              </w:rPr>
              <w:t xml:space="preserve">) – See also Loungani et al. (2017). The data used to compute the HHI indicator are sectoral data on services exports at 2-digit level, which is the maximum digit-level of disaggregated data available on services exports. In particular, we have relied on 11 major sectors of services (categories of services) – at the 1-digit level - and used the disaggregated data on services exports for sub-sectors at the 2-digit level. See </w:t>
            </w:r>
            <w:r w:rsidRPr="004A04C7">
              <w:rPr>
                <w:rFonts w:ascii="Garamond" w:hAnsi="Garamond"/>
                <w:sz w:val="24"/>
                <w:szCs w:val="24"/>
              </w:rPr>
              <w:t>Loungani</w:t>
            </w:r>
            <w:r>
              <w:rPr>
                <w:rFonts w:ascii="Garamond" w:hAnsi="Garamond"/>
                <w:sz w:val="24"/>
                <w:szCs w:val="24"/>
              </w:rPr>
              <w:t xml:space="preserve"> et al. (2017: page 20, Table 1) for the 11 major services sectors</w:t>
            </w:r>
            <w:r w:rsidRPr="00115A00">
              <w:rPr>
                <w:rFonts w:ascii="Garamond" w:hAnsi="Garamond"/>
                <w:sz w:val="24"/>
                <w:szCs w:val="24"/>
              </w:rPr>
              <w:t xml:space="preserve"> </w:t>
            </w:r>
            <w:r>
              <w:rPr>
                <w:rFonts w:ascii="Garamond" w:hAnsi="Garamond"/>
                <w:sz w:val="24"/>
                <w:szCs w:val="24"/>
              </w:rPr>
              <w:t>and the related sub-sectors covered in the analysis.</w:t>
            </w:r>
          </w:p>
        </w:tc>
      </w:tr>
      <w:tr w:rsidR="000D754A" w:rsidTr="002356A4">
        <w:trPr>
          <w:jc w:val="center"/>
        </w:trPr>
        <w:tc>
          <w:tcPr>
            <w:tcW w:w="1716"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szCs w:val="24"/>
              </w:rPr>
            </w:pPr>
            <w:r>
              <w:rPr>
                <w:rFonts w:ascii="Garamond" w:hAnsi="Garamond"/>
                <w:sz w:val="24"/>
                <w:szCs w:val="24"/>
              </w:rPr>
              <w:t xml:space="preserve">THEIL </w:t>
            </w:r>
          </w:p>
        </w:tc>
        <w:tc>
          <w:tcPr>
            <w:tcW w:w="5918"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rPr>
            </w:pPr>
            <w:r>
              <w:rPr>
                <w:rFonts w:ascii="Garamond" w:hAnsi="Garamond"/>
                <w:sz w:val="24"/>
                <w:szCs w:val="24"/>
              </w:rPr>
              <w:t xml:space="preserve">This variable represents the Theil index of services export concentration. It has been calculated using the following formula (for example, see Agosin et al, 2012; Cadot et al., 2011):  </w:t>
            </w:r>
            <m:oMath>
              <m:r>
                <w:rPr>
                  <w:rFonts w:ascii="Cambria Math" w:hAnsi="Cambria Math"/>
                  <w:sz w:val="24"/>
                </w:rPr>
                <m:t xml:space="preserve">THEIL= </m:t>
              </m:r>
              <m:f>
                <m:fPr>
                  <m:ctrlPr>
                    <w:rPr>
                      <w:rFonts w:ascii="Cambria Math" w:hAnsi="Cambria Math"/>
                      <w:i/>
                      <w:sz w:val="24"/>
                      <w:szCs w:val="24"/>
                    </w:rPr>
                  </m:ctrlPr>
                </m:fPr>
                <m:num>
                  <m:r>
                    <w:rPr>
                      <w:rFonts w:ascii="Cambria Math" w:hAnsi="Cambria Math"/>
                      <w:sz w:val="24"/>
                    </w:rPr>
                    <m:t>1</m:t>
                  </m:r>
                </m:num>
                <m:den>
                  <m:r>
                    <w:rPr>
                      <w:rFonts w:ascii="Cambria Math" w:hAnsi="Cambria Math"/>
                      <w:sz w:val="24"/>
                    </w:rPr>
                    <m:t>n</m:t>
                  </m:r>
                </m:den>
              </m:f>
              <m:nary>
                <m:naryPr>
                  <m:chr m:val="∑"/>
                  <m:limLoc m:val="undOvr"/>
                  <m:ctrlPr>
                    <w:rPr>
                      <w:rFonts w:ascii="Cambria Math" w:hAnsi="Cambria Math"/>
                      <w:i/>
                      <w:sz w:val="24"/>
                      <w:szCs w:val="24"/>
                    </w:rPr>
                  </m:ctrlPr>
                </m:naryPr>
                <m:sub>
                  <m:r>
                    <w:rPr>
                      <w:rFonts w:ascii="Cambria Math" w:hAnsi="Cambria Math"/>
                      <w:sz w:val="24"/>
                    </w:rPr>
                    <m:t>k=1</m:t>
                  </m:r>
                </m:sub>
                <m:sup>
                  <m:r>
                    <w:rPr>
                      <w:rFonts w:ascii="Cambria Math" w:hAnsi="Cambria Math"/>
                      <w:sz w:val="24"/>
                    </w:rPr>
                    <m:t>n</m:t>
                  </m:r>
                </m:sup>
                <m:e>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rPr>
                            <m:t>x</m:t>
                          </m:r>
                        </m:e>
                        <m:sub>
                          <m:r>
                            <w:rPr>
                              <w:rFonts w:ascii="Cambria Math" w:hAnsi="Cambria Math"/>
                              <w:sz w:val="24"/>
                            </w:rPr>
                            <m:t>k</m:t>
                          </m:r>
                        </m:sub>
                      </m:sSub>
                    </m:num>
                    <m:den>
                      <m:r>
                        <w:rPr>
                          <w:rFonts w:ascii="Cambria Math" w:hAnsi="Cambria Math"/>
                          <w:sz w:val="24"/>
                        </w:rPr>
                        <m:t>μ</m:t>
                      </m:r>
                    </m:den>
                  </m:f>
                  <m:r>
                    <m:rPr>
                      <m:sty m:val="p"/>
                    </m:rPr>
                    <w:rPr>
                      <w:rFonts w:ascii="Cambria Math" w:hAnsi="Cambria Math"/>
                      <w:sz w:val="24"/>
                    </w:rPr>
                    <m:t>ln⁡</m:t>
                  </m:r>
                  <m:r>
                    <w:rPr>
                      <w:rFonts w:ascii="Cambria Math" w:hAnsi="Cambria Math"/>
                      <w:sz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rPr>
                            <m:t>x</m:t>
                          </m:r>
                        </m:e>
                        <m:sub>
                          <m:r>
                            <w:rPr>
                              <w:rFonts w:ascii="Cambria Math" w:hAnsi="Cambria Math"/>
                              <w:sz w:val="24"/>
                            </w:rPr>
                            <m:t>k</m:t>
                          </m:r>
                        </m:sub>
                      </m:sSub>
                    </m:num>
                    <m:den>
                      <m:r>
                        <w:rPr>
                          <w:rFonts w:ascii="Cambria Math" w:hAnsi="Cambria Math"/>
                          <w:sz w:val="24"/>
                        </w:rPr>
                        <m:t>μ</m:t>
                      </m:r>
                    </m:den>
                  </m:f>
                  <m:r>
                    <w:rPr>
                      <w:rFonts w:ascii="Cambria Math" w:hAnsi="Cambria Math"/>
                      <w:sz w:val="24"/>
                    </w:rPr>
                    <m:t>)</m:t>
                  </m:r>
                </m:e>
              </m:nary>
            </m:oMath>
            <w:r>
              <w:rPr>
                <w:rFonts w:ascii="Garamond" w:hAnsi="Garamond"/>
                <w:sz w:val="24"/>
              </w:rPr>
              <w:t>,</w:t>
            </w:r>
          </w:p>
          <w:p w:rsidR="000D754A" w:rsidRDefault="000D754A" w:rsidP="002356A4">
            <w:pPr>
              <w:jc w:val="center"/>
              <w:rPr>
                <w:rFonts w:ascii="Garamond" w:eastAsiaTheme="minorEastAsia" w:hAnsi="Garamond"/>
                <w:sz w:val="24"/>
              </w:rPr>
            </w:pPr>
            <w:r>
              <w:rPr>
                <w:rFonts w:ascii="Garamond" w:hAnsi="Garamond"/>
                <w:sz w:val="24"/>
              </w:rPr>
              <w:t xml:space="preserve">where </w:t>
            </w:r>
            <m:oMath>
              <m:r>
                <w:rPr>
                  <w:rFonts w:ascii="Cambria Math" w:hAnsi="Cambria Math"/>
                  <w:sz w:val="24"/>
                </w:rPr>
                <m:t xml:space="preserve">μ= </m:t>
              </m:r>
              <m:f>
                <m:fPr>
                  <m:ctrlPr>
                    <w:rPr>
                      <w:rFonts w:ascii="Cambria Math" w:hAnsi="Cambria Math"/>
                      <w:i/>
                      <w:sz w:val="24"/>
                      <w:szCs w:val="24"/>
                    </w:rPr>
                  </m:ctrlPr>
                </m:fPr>
                <m:num>
                  <m:r>
                    <w:rPr>
                      <w:rFonts w:ascii="Cambria Math" w:hAnsi="Cambria Math"/>
                      <w:sz w:val="24"/>
                    </w:rPr>
                    <m:t>1</m:t>
                  </m:r>
                </m:num>
                <m:den>
                  <m:r>
                    <w:rPr>
                      <w:rFonts w:ascii="Cambria Math" w:hAnsi="Cambria Math"/>
                      <w:sz w:val="24"/>
                    </w:rPr>
                    <m:t>n</m:t>
                  </m:r>
                </m:den>
              </m:f>
              <m:nary>
                <m:naryPr>
                  <m:chr m:val="∑"/>
                  <m:limLoc m:val="undOvr"/>
                  <m:ctrlPr>
                    <w:rPr>
                      <w:rFonts w:ascii="Cambria Math" w:hAnsi="Cambria Math"/>
                      <w:i/>
                      <w:sz w:val="24"/>
                      <w:szCs w:val="24"/>
                    </w:rPr>
                  </m:ctrlPr>
                </m:naryPr>
                <m:sub>
                  <m:r>
                    <w:rPr>
                      <w:rFonts w:ascii="Cambria Math" w:hAnsi="Cambria Math"/>
                      <w:sz w:val="24"/>
                    </w:rPr>
                    <m:t>k=1</m:t>
                  </m:r>
                </m:sub>
                <m:sup>
                  <m:r>
                    <w:rPr>
                      <w:rFonts w:ascii="Cambria Math" w:hAnsi="Cambria Math"/>
                      <w:sz w:val="24"/>
                    </w:rPr>
                    <m:t>n</m:t>
                  </m:r>
                </m:sup>
                <m:e>
                  <m:sSub>
                    <m:sSubPr>
                      <m:ctrlPr>
                        <w:rPr>
                          <w:rFonts w:ascii="Cambria Math" w:hAnsi="Cambria Math"/>
                          <w:i/>
                          <w:sz w:val="24"/>
                          <w:szCs w:val="24"/>
                        </w:rPr>
                      </m:ctrlPr>
                    </m:sSubPr>
                    <m:e>
                      <m:r>
                        <w:rPr>
                          <w:rFonts w:ascii="Cambria Math" w:hAnsi="Cambria Math"/>
                          <w:sz w:val="24"/>
                        </w:rPr>
                        <m:t>x</m:t>
                      </m:r>
                    </m:e>
                    <m:sub>
                      <m:r>
                        <w:rPr>
                          <w:rFonts w:ascii="Cambria Math" w:hAnsi="Cambria Math"/>
                          <w:sz w:val="24"/>
                        </w:rPr>
                        <m:t>k</m:t>
                      </m:r>
                    </m:sub>
                  </m:sSub>
                </m:e>
              </m:nary>
            </m:oMath>
          </w:p>
          <w:p w:rsidR="000D754A" w:rsidRDefault="000D754A" w:rsidP="002356A4">
            <w:pPr>
              <w:jc w:val="center"/>
              <w:rPr>
                <w:rFonts w:ascii="Garamond" w:eastAsiaTheme="minorEastAsia" w:hAnsi="Garamond"/>
                <w:sz w:val="24"/>
              </w:rPr>
            </w:pPr>
            <w:r>
              <w:rPr>
                <w:rFonts w:ascii="Garamond" w:eastAsiaTheme="minorEastAsia" w:hAnsi="Garamond"/>
                <w:sz w:val="24"/>
              </w:rPr>
              <w:t xml:space="preserve">n represents the total number of the (services) export lines (k) </w:t>
            </w:r>
            <m:oMath>
              <m:r>
                <w:rPr>
                  <w:rFonts w:ascii="Cambria Math" w:hAnsi="Cambria Math"/>
                  <w:sz w:val="24"/>
                </w:rPr>
                <m:t xml:space="preserve">n= </m:t>
              </m:r>
              <m:nary>
                <m:naryPr>
                  <m:chr m:val="∑"/>
                  <m:limLoc m:val="undOvr"/>
                  <m:ctrlPr>
                    <w:rPr>
                      <w:rFonts w:ascii="Cambria Math" w:hAnsi="Cambria Math"/>
                      <w:i/>
                      <w:sz w:val="24"/>
                      <w:szCs w:val="24"/>
                    </w:rPr>
                  </m:ctrlPr>
                </m:naryPr>
                <m:sub>
                  <m:r>
                    <w:rPr>
                      <w:rFonts w:ascii="Cambria Math" w:hAnsi="Cambria Math"/>
                      <w:sz w:val="24"/>
                    </w:rPr>
                    <m:t>k=1</m:t>
                  </m:r>
                </m:sub>
                <m:sup>
                  <m:r>
                    <w:rPr>
                      <w:rFonts w:ascii="Cambria Math" w:hAnsi="Cambria Math"/>
                      <w:sz w:val="24"/>
                    </w:rPr>
                    <m:t>n</m:t>
                  </m:r>
                </m:sup>
                <m:e>
                  <m:r>
                    <w:rPr>
                      <w:rFonts w:ascii="Cambria Math" w:hAnsi="Cambria Math"/>
                      <w:sz w:val="24"/>
                    </w:rPr>
                    <m:t>k</m:t>
                  </m:r>
                </m:e>
              </m:nary>
            </m:oMath>
            <w:r>
              <w:rPr>
                <w:rFonts w:ascii="Garamond" w:eastAsiaTheme="minorEastAsia" w:hAnsi="Garamond"/>
                <w:sz w:val="24"/>
              </w:rPr>
              <w:t>;</w:t>
            </w:r>
          </w:p>
          <w:p w:rsidR="000D754A" w:rsidRDefault="000D754A" w:rsidP="002356A4">
            <w:pPr>
              <w:jc w:val="center"/>
              <w:rPr>
                <w:rFonts w:ascii="Garamond" w:hAnsi="Garamond"/>
                <w:sz w:val="24"/>
                <w:szCs w:val="24"/>
              </w:rPr>
            </w:pP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k</m:t>
                  </m:r>
                </m:sub>
              </m:sSub>
              <m:r>
                <w:rPr>
                  <w:rFonts w:ascii="Cambria Math" w:hAnsi="Cambria Math"/>
                  <w:sz w:val="24"/>
                  <w:szCs w:val="24"/>
                </w:rPr>
                <m:t xml:space="preserve"> </m:t>
              </m:r>
            </m:oMath>
            <w:r>
              <w:rPr>
                <w:rFonts w:ascii="Garamond" w:hAnsi="Garamond" w:cs="AdvP6975"/>
                <w:color w:val="231F20"/>
                <w:sz w:val="24"/>
                <w:szCs w:val="24"/>
              </w:rPr>
              <w:t>stands for the amount of services exports associated with the services line "k".</w:t>
            </w:r>
          </w:p>
        </w:tc>
        <w:tc>
          <w:tcPr>
            <w:tcW w:w="7623"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Arial Narrow" w:hAnsi="Arial Narrow"/>
                <w:sz w:val="22"/>
              </w:rPr>
            </w:pPr>
            <w:r>
              <w:rPr>
                <w:rFonts w:ascii="Garamond" w:hAnsi="Garamond"/>
                <w:sz w:val="24"/>
                <w:szCs w:val="24"/>
              </w:rPr>
              <w:t>Author's calculation based on the same data (extracted from the IMF database on the international trade in services) used to compute the HHI indicator described above.</w:t>
            </w:r>
          </w:p>
        </w:tc>
      </w:tr>
      <w:tr w:rsidR="000D754A" w:rsidTr="002356A4">
        <w:trPr>
          <w:jc w:val="center"/>
        </w:trPr>
        <w:tc>
          <w:tcPr>
            <w:tcW w:w="1716"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lang w:val="en-US"/>
              </w:rPr>
            </w:pPr>
            <w:r>
              <w:rPr>
                <w:rFonts w:ascii="Garamond" w:hAnsi="Garamond"/>
                <w:sz w:val="24"/>
                <w:lang w:val="en-US"/>
              </w:rPr>
              <w:lastRenderedPageBreak/>
              <w:t>OPEN</w:t>
            </w:r>
          </w:p>
        </w:tc>
        <w:tc>
          <w:tcPr>
            <w:tcW w:w="5918" w:type="dxa"/>
            <w:tcBorders>
              <w:top w:val="single" w:sz="4" w:space="0" w:color="auto"/>
              <w:left w:val="single" w:sz="4" w:space="0" w:color="auto"/>
              <w:bottom w:val="single" w:sz="4" w:space="0" w:color="auto"/>
              <w:right w:val="single" w:sz="4" w:space="0" w:color="auto"/>
            </w:tcBorders>
            <w:vAlign w:val="center"/>
          </w:tcPr>
          <w:p w:rsidR="000D754A" w:rsidRPr="00F27064" w:rsidRDefault="000D754A" w:rsidP="002356A4">
            <w:pPr>
              <w:jc w:val="center"/>
              <w:rPr>
                <w:rFonts w:ascii="Garamond" w:hAnsi="Garamond"/>
                <w:sz w:val="24"/>
              </w:rPr>
            </w:pPr>
            <w:r>
              <w:rPr>
                <w:rFonts w:ascii="Garamond" w:hAnsi="Garamond"/>
                <w:sz w:val="24"/>
              </w:rPr>
              <w:t xml:space="preserve">This is the indicator of trade openness, measured by the share (%) of sum of exports and imports of goods and services in GDP. </w:t>
            </w:r>
          </w:p>
        </w:tc>
        <w:tc>
          <w:tcPr>
            <w:tcW w:w="7623" w:type="dxa"/>
            <w:tcBorders>
              <w:top w:val="single" w:sz="4" w:space="0" w:color="auto"/>
              <w:left w:val="single" w:sz="4" w:space="0" w:color="auto"/>
              <w:bottom w:val="single" w:sz="4" w:space="0" w:color="auto"/>
              <w:right w:val="single" w:sz="4" w:space="0" w:color="auto"/>
            </w:tcBorders>
            <w:vAlign w:val="center"/>
          </w:tcPr>
          <w:p w:rsidR="000D754A" w:rsidRPr="00251ECB" w:rsidRDefault="000D754A" w:rsidP="002356A4">
            <w:pPr>
              <w:jc w:val="center"/>
              <w:rPr>
                <w:rFonts w:ascii="Garamond" w:hAnsi="Garamond"/>
                <w:sz w:val="24"/>
                <w:lang w:val="en-US"/>
              </w:rPr>
            </w:pPr>
            <w:r w:rsidRPr="00251ECB">
              <w:rPr>
                <w:rFonts w:ascii="Garamond" w:hAnsi="Garamond"/>
                <w:sz w:val="24"/>
                <w:lang w:val="en-US"/>
              </w:rPr>
              <w:t>WDI</w:t>
            </w:r>
          </w:p>
        </w:tc>
      </w:tr>
      <w:tr w:rsidR="000D754A" w:rsidTr="002356A4">
        <w:trPr>
          <w:jc w:val="center"/>
        </w:trPr>
        <w:tc>
          <w:tcPr>
            <w:tcW w:w="1716" w:type="dxa"/>
            <w:tcBorders>
              <w:top w:val="single" w:sz="4" w:space="0" w:color="auto"/>
              <w:left w:val="single" w:sz="4" w:space="0" w:color="auto"/>
              <w:bottom w:val="single" w:sz="4" w:space="0" w:color="auto"/>
              <w:right w:val="single" w:sz="4" w:space="0" w:color="auto"/>
            </w:tcBorders>
            <w:vAlign w:val="center"/>
          </w:tcPr>
          <w:p w:rsidR="000D754A" w:rsidRPr="00B12D5F" w:rsidRDefault="000D754A" w:rsidP="002356A4">
            <w:pPr>
              <w:jc w:val="center"/>
              <w:rPr>
                <w:rFonts w:ascii="Garamond" w:hAnsi="Garamond"/>
                <w:sz w:val="24"/>
                <w:szCs w:val="24"/>
              </w:rPr>
            </w:pPr>
            <w:r w:rsidRPr="00B12D5F">
              <w:rPr>
                <w:rFonts w:ascii="Garamond" w:hAnsi="Garamond"/>
                <w:sz w:val="24"/>
                <w:szCs w:val="24"/>
              </w:rPr>
              <w:t>OPENSW</w:t>
            </w:r>
          </w:p>
        </w:tc>
        <w:tc>
          <w:tcPr>
            <w:tcW w:w="5918" w:type="dxa"/>
            <w:tcBorders>
              <w:top w:val="single" w:sz="4" w:space="0" w:color="auto"/>
              <w:left w:val="single" w:sz="4" w:space="0" w:color="auto"/>
              <w:bottom w:val="single" w:sz="4" w:space="0" w:color="auto"/>
              <w:right w:val="single" w:sz="4" w:space="0" w:color="auto"/>
            </w:tcBorders>
            <w:vAlign w:val="center"/>
          </w:tcPr>
          <w:p w:rsidR="000D754A" w:rsidRPr="00960223" w:rsidRDefault="000D754A" w:rsidP="002356A4">
            <w:pPr>
              <w:jc w:val="center"/>
              <w:rPr>
                <w:rFonts w:ascii="Garamond" w:hAnsi="Garamond"/>
                <w:sz w:val="24"/>
                <w:lang w:val="en-US"/>
              </w:rPr>
            </w:pPr>
            <w:r>
              <w:rPr>
                <w:rFonts w:ascii="Garamond" w:hAnsi="Garamond"/>
                <w:sz w:val="24"/>
                <w:lang w:val="en-US"/>
              </w:rPr>
              <w:t>M</w:t>
            </w:r>
            <w:r w:rsidRPr="00960223">
              <w:rPr>
                <w:rFonts w:ascii="Garamond" w:hAnsi="Garamond"/>
                <w:sz w:val="24"/>
                <w:lang w:val="en-US"/>
              </w:rPr>
              <w:t>easure of trade openness suggested by Squalli and Wilson (2011). It is calculated as the measure of trade openness (the variable "OPEN" previously described) adjusted by the proportion of a country’s trade</w:t>
            </w:r>
          </w:p>
          <w:p w:rsidR="000D754A" w:rsidRPr="00960223" w:rsidRDefault="000D754A" w:rsidP="002356A4">
            <w:pPr>
              <w:jc w:val="center"/>
              <w:rPr>
                <w:rFonts w:ascii="Garamond" w:hAnsi="Garamond"/>
                <w:sz w:val="24"/>
                <w:lang w:val="en-US"/>
              </w:rPr>
            </w:pPr>
            <w:r w:rsidRPr="00960223">
              <w:rPr>
                <w:rFonts w:ascii="Garamond" w:hAnsi="Garamond"/>
                <w:sz w:val="24"/>
                <w:lang w:val="en-US"/>
              </w:rPr>
              <w:t xml:space="preserve">level relative to the average world trade (see Wilson, 2011: p1758). </w:t>
            </w:r>
          </w:p>
        </w:tc>
        <w:tc>
          <w:tcPr>
            <w:tcW w:w="7623" w:type="dxa"/>
            <w:tcBorders>
              <w:top w:val="single" w:sz="4" w:space="0" w:color="auto"/>
              <w:left w:val="single" w:sz="4" w:space="0" w:color="auto"/>
              <w:bottom w:val="single" w:sz="4" w:space="0" w:color="auto"/>
              <w:right w:val="single" w:sz="4" w:space="0" w:color="auto"/>
            </w:tcBorders>
            <w:vAlign w:val="center"/>
          </w:tcPr>
          <w:p w:rsidR="000D754A" w:rsidRPr="00960223" w:rsidRDefault="000D754A" w:rsidP="002356A4">
            <w:pPr>
              <w:jc w:val="center"/>
              <w:rPr>
                <w:rFonts w:ascii="Garamond" w:hAnsi="Garamond"/>
                <w:sz w:val="24"/>
                <w:lang w:val="en-US"/>
              </w:rPr>
            </w:pPr>
            <w:r w:rsidRPr="00960223">
              <w:rPr>
                <w:rFonts w:ascii="Garamond" w:hAnsi="Garamond"/>
                <w:sz w:val="24"/>
                <w:szCs w:val="24"/>
              </w:rPr>
              <w:t xml:space="preserve">Authors' calculation based on data extracted from the </w:t>
            </w:r>
            <w:r w:rsidRPr="00960223">
              <w:rPr>
                <w:rFonts w:ascii="Garamond" w:hAnsi="Garamond"/>
                <w:sz w:val="24"/>
                <w:lang w:val="en-US"/>
              </w:rPr>
              <w:t>WDI</w:t>
            </w:r>
          </w:p>
        </w:tc>
      </w:tr>
      <w:tr w:rsidR="000D754A" w:rsidTr="002356A4">
        <w:trPr>
          <w:jc w:val="center"/>
        </w:trPr>
        <w:tc>
          <w:tcPr>
            <w:tcW w:w="1716" w:type="dxa"/>
            <w:tcBorders>
              <w:top w:val="single" w:sz="4" w:space="0" w:color="auto"/>
              <w:left w:val="single" w:sz="4" w:space="0" w:color="auto"/>
              <w:bottom w:val="single" w:sz="4" w:space="0" w:color="auto"/>
              <w:right w:val="single" w:sz="4" w:space="0" w:color="auto"/>
            </w:tcBorders>
            <w:vAlign w:val="center"/>
          </w:tcPr>
          <w:p w:rsidR="000D754A" w:rsidRPr="00251ECB" w:rsidRDefault="000D754A" w:rsidP="002356A4">
            <w:pPr>
              <w:jc w:val="center"/>
              <w:rPr>
                <w:rFonts w:ascii="Garamond" w:hAnsi="Garamond"/>
                <w:sz w:val="24"/>
                <w:lang w:val="en-US"/>
              </w:rPr>
            </w:pPr>
            <w:r w:rsidRPr="00251ECB">
              <w:rPr>
                <w:rFonts w:ascii="Garamond" w:hAnsi="Garamond"/>
                <w:sz w:val="24"/>
                <w:lang w:val="en-US"/>
              </w:rPr>
              <w:t>EDU</w:t>
            </w:r>
          </w:p>
        </w:tc>
        <w:tc>
          <w:tcPr>
            <w:tcW w:w="5918" w:type="dxa"/>
            <w:tcBorders>
              <w:top w:val="single" w:sz="4" w:space="0" w:color="auto"/>
              <w:left w:val="single" w:sz="4" w:space="0" w:color="auto"/>
              <w:bottom w:val="single" w:sz="4" w:space="0" w:color="auto"/>
              <w:right w:val="single" w:sz="4" w:space="0" w:color="auto"/>
            </w:tcBorders>
            <w:vAlign w:val="center"/>
          </w:tcPr>
          <w:p w:rsidR="000D754A" w:rsidRPr="00251ECB" w:rsidRDefault="000D754A" w:rsidP="002356A4">
            <w:pPr>
              <w:jc w:val="center"/>
              <w:rPr>
                <w:rFonts w:ascii="Garamond" w:hAnsi="Garamond"/>
                <w:sz w:val="24"/>
                <w:lang w:val="en-US"/>
              </w:rPr>
            </w:pPr>
            <w:r w:rsidRPr="00251ECB">
              <w:rPr>
                <w:rFonts w:ascii="Garamond" w:hAnsi="Garamond"/>
                <w:sz w:val="24"/>
                <w:szCs w:val="24"/>
              </w:rPr>
              <w:t>This is the measure of the education level. It is calculated as the average of the gross primary school enrolment rate (in percentage), secondary school enrolment rate (in percentage) and tertiary school enrolment rate (in percentage).</w:t>
            </w:r>
          </w:p>
        </w:tc>
        <w:tc>
          <w:tcPr>
            <w:tcW w:w="7623" w:type="dxa"/>
            <w:tcBorders>
              <w:top w:val="single" w:sz="4" w:space="0" w:color="auto"/>
              <w:left w:val="single" w:sz="4" w:space="0" w:color="auto"/>
              <w:bottom w:val="single" w:sz="4" w:space="0" w:color="auto"/>
              <w:right w:val="single" w:sz="4" w:space="0" w:color="auto"/>
            </w:tcBorders>
            <w:vAlign w:val="center"/>
          </w:tcPr>
          <w:p w:rsidR="000D754A" w:rsidRPr="00251ECB" w:rsidRDefault="000D754A" w:rsidP="002356A4">
            <w:pPr>
              <w:jc w:val="center"/>
              <w:rPr>
                <w:rFonts w:ascii="Garamond" w:hAnsi="Garamond"/>
                <w:sz w:val="24"/>
                <w:lang w:val="en-US"/>
              </w:rPr>
            </w:pPr>
            <w:r>
              <w:rPr>
                <w:rFonts w:ascii="Garamond" w:hAnsi="Garamond"/>
                <w:sz w:val="24"/>
              </w:rPr>
              <w:t>WDI</w:t>
            </w:r>
          </w:p>
        </w:tc>
      </w:tr>
      <w:tr w:rsidR="000D754A" w:rsidTr="002356A4">
        <w:trPr>
          <w:jc w:val="center"/>
        </w:trPr>
        <w:tc>
          <w:tcPr>
            <w:tcW w:w="1716"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lang w:val="en-US"/>
              </w:rPr>
            </w:pPr>
            <w:r>
              <w:rPr>
                <w:rFonts w:ascii="Garamond" w:hAnsi="Garamond"/>
                <w:sz w:val="24"/>
                <w:lang w:val="en-US"/>
              </w:rPr>
              <w:t>GFCF</w:t>
            </w:r>
          </w:p>
        </w:tc>
        <w:tc>
          <w:tcPr>
            <w:tcW w:w="5918" w:type="dxa"/>
            <w:tcBorders>
              <w:top w:val="single" w:sz="4" w:space="0" w:color="auto"/>
              <w:left w:val="single" w:sz="4" w:space="0" w:color="auto"/>
              <w:bottom w:val="single" w:sz="4" w:space="0" w:color="auto"/>
              <w:right w:val="single" w:sz="4" w:space="0" w:color="auto"/>
            </w:tcBorders>
            <w:vAlign w:val="center"/>
          </w:tcPr>
          <w:p w:rsidR="000D754A" w:rsidRPr="00E0329C" w:rsidRDefault="000D754A" w:rsidP="002356A4">
            <w:pPr>
              <w:jc w:val="center"/>
              <w:rPr>
                <w:rFonts w:ascii="Garamond" w:hAnsi="Garamond"/>
                <w:sz w:val="24"/>
                <w:szCs w:val="24"/>
                <w:lang w:val="en-US"/>
              </w:rPr>
            </w:pPr>
            <w:r w:rsidRPr="00F47623">
              <w:rPr>
                <w:rFonts w:ascii="Garamond" w:hAnsi="Garamond"/>
                <w:sz w:val="24"/>
                <w:szCs w:val="24"/>
                <w:lang w:val="en-US"/>
              </w:rPr>
              <w:t>Gross fixed capital formation (% of GDP)</w:t>
            </w:r>
          </w:p>
        </w:tc>
        <w:tc>
          <w:tcPr>
            <w:tcW w:w="7623" w:type="dxa"/>
            <w:tcBorders>
              <w:top w:val="single" w:sz="4" w:space="0" w:color="auto"/>
              <w:left w:val="single" w:sz="4" w:space="0" w:color="auto"/>
              <w:bottom w:val="single" w:sz="4" w:space="0" w:color="auto"/>
              <w:right w:val="single" w:sz="4" w:space="0" w:color="auto"/>
            </w:tcBorders>
            <w:vAlign w:val="center"/>
          </w:tcPr>
          <w:p w:rsidR="000D754A" w:rsidRPr="00E0329C" w:rsidRDefault="000D754A" w:rsidP="002356A4">
            <w:pPr>
              <w:jc w:val="center"/>
              <w:rPr>
                <w:rFonts w:ascii="Garamond" w:hAnsi="Garamond"/>
                <w:sz w:val="24"/>
                <w:szCs w:val="24"/>
                <w:lang w:val="en-US"/>
              </w:rPr>
            </w:pPr>
            <w:r>
              <w:rPr>
                <w:rFonts w:ascii="Garamond" w:hAnsi="Garamond"/>
                <w:sz w:val="24"/>
              </w:rPr>
              <w:t>WDI</w:t>
            </w:r>
          </w:p>
        </w:tc>
      </w:tr>
      <w:tr w:rsidR="000D754A" w:rsidTr="002356A4">
        <w:trPr>
          <w:jc w:val="center"/>
        </w:trPr>
        <w:tc>
          <w:tcPr>
            <w:tcW w:w="1716"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lang w:val="en-US"/>
              </w:rPr>
            </w:pPr>
            <w:r>
              <w:rPr>
                <w:rFonts w:ascii="Garamond" w:hAnsi="Garamond"/>
                <w:sz w:val="24"/>
                <w:lang w:val="en-US"/>
              </w:rPr>
              <w:t>INFL</w:t>
            </w:r>
          </w:p>
        </w:tc>
        <w:tc>
          <w:tcPr>
            <w:tcW w:w="5918"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szCs w:val="24"/>
              </w:rPr>
            </w:pPr>
            <w:r>
              <w:rPr>
                <w:rFonts w:ascii="Garamond" w:hAnsi="Garamond"/>
                <w:sz w:val="24"/>
                <w:szCs w:val="24"/>
              </w:rPr>
              <w:t>The variable "INFL" has been calculated as follows: INFL = Log(100+INFLATION)</w:t>
            </w:r>
            <w:r w:rsidRPr="007C52D0">
              <w:rPr>
                <w:rFonts w:ascii="Garamond" w:hAnsi="Garamond"/>
                <w:sz w:val="24"/>
                <w:szCs w:val="26"/>
              </w:rPr>
              <w:t xml:space="preserve"> </w:t>
            </w:r>
            <w:r>
              <w:rPr>
                <w:rFonts w:ascii="Garamond" w:hAnsi="Garamond"/>
                <w:sz w:val="24"/>
                <w:szCs w:val="26"/>
              </w:rPr>
              <w:t>where "INFLATION" is the annual inflation rate (%). The a</w:t>
            </w:r>
            <w:r>
              <w:rPr>
                <w:rFonts w:ascii="Garamond" w:hAnsi="Garamond"/>
                <w:sz w:val="24"/>
                <w:szCs w:val="24"/>
                <w:lang w:val="en-US"/>
              </w:rPr>
              <w:t>nnual i</w:t>
            </w:r>
            <w:r w:rsidRPr="008174D8">
              <w:rPr>
                <w:rFonts w:ascii="Garamond" w:hAnsi="Garamond"/>
                <w:sz w:val="24"/>
                <w:szCs w:val="24"/>
                <w:lang w:val="en-US"/>
              </w:rPr>
              <w:t>nflation rate</w:t>
            </w:r>
            <w:r>
              <w:rPr>
                <w:rFonts w:ascii="Garamond" w:hAnsi="Garamond"/>
                <w:sz w:val="24"/>
                <w:szCs w:val="24"/>
                <w:lang w:val="en-US"/>
              </w:rPr>
              <w:t xml:space="preserve"> is based </w:t>
            </w:r>
            <w:r w:rsidRPr="00D72448">
              <w:rPr>
                <w:rFonts w:ascii="Garamond" w:hAnsi="Garamond"/>
                <w:sz w:val="24"/>
                <w:szCs w:val="24"/>
                <w:lang w:val="en-US"/>
              </w:rPr>
              <w:t xml:space="preserve">on </w:t>
            </w:r>
            <w:r>
              <w:rPr>
                <w:rFonts w:ascii="Garamond" w:hAnsi="Garamond"/>
                <w:sz w:val="24"/>
                <w:szCs w:val="24"/>
                <w:lang w:val="en-US"/>
              </w:rPr>
              <w:t>Consumer Price Index -</w:t>
            </w:r>
            <w:r w:rsidRPr="00D72448">
              <w:rPr>
                <w:rFonts w:ascii="Garamond" w:hAnsi="Garamond"/>
                <w:sz w:val="24"/>
                <w:szCs w:val="24"/>
                <w:lang w:val="en-US"/>
              </w:rPr>
              <w:t>CPI</w:t>
            </w:r>
            <w:r>
              <w:rPr>
                <w:rFonts w:ascii="Garamond" w:hAnsi="Garamond"/>
                <w:sz w:val="24"/>
                <w:szCs w:val="24"/>
                <w:lang w:val="en-US"/>
              </w:rPr>
              <w:t>- (annual percentage)</w:t>
            </w:r>
            <w:r w:rsidRPr="00D72448">
              <w:rPr>
                <w:rFonts w:ascii="Garamond" w:hAnsi="Garamond"/>
                <w:sz w:val="24"/>
                <w:szCs w:val="24"/>
                <w:lang w:val="en-US"/>
              </w:rPr>
              <w:t xml:space="preserve"> </w:t>
            </w:r>
            <w:r>
              <w:rPr>
                <w:rFonts w:ascii="Garamond" w:hAnsi="Garamond"/>
                <w:sz w:val="24"/>
                <w:szCs w:val="24"/>
                <w:lang w:val="en-US"/>
              </w:rPr>
              <w:t xml:space="preserve">where </w:t>
            </w:r>
            <w:r w:rsidRPr="00D72448">
              <w:rPr>
                <w:rFonts w:ascii="Garamond" w:hAnsi="Garamond"/>
                <w:sz w:val="24"/>
                <w:szCs w:val="24"/>
                <w:lang w:val="en-US"/>
              </w:rPr>
              <w:t xml:space="preserve">missing values </w:t>
            </w:r>
            <w:r>
              <w:rPr>
                <w:rFonts w:ascii="Garamond" w:hAnsi="Garamond"/>
                <w:sz w:val="24"/>
                <w:szCs w:val="24"/>
                <w:lang w:val="en-US"/>
              </w:rPr>
              <w:t>has been replaced with</w:t>
            </w:r>
            <w:r w:rsidRPr="00D72448">
              <w:rPr>
                <w:rFonts w:ascii="Garamond" w:hAnsi="Garamond"/>
                <w:sz w:val="24"/>
                <w:szCs w:val="24"/>
                <w:lang w:val="en-US"/>
              </w:rPr>
              <w:t xml:space="preserve"> values of </w:t>
            </w:r>
            <w:r>
              <w:rPr>
                <w:rFonts w:ascii="Garamond" w:hAnsi="Garamond"/>
                <w:sz w:val="24"/>
                <w:szCs w:val="24"/>
                <w:lang w:val="en-US"/>
              </w:rPr>
              <w:t>the</w:t>
            </w:r>
            <w:r w:rsidRPr="00D72448">
              <w:rPr>
                <w:rFonts w:ascii="Garamond" w:hAnsi="Garamond"/>
                <w:sz w:val="24"/>
                <w:szCs w:val="24"/>
                <w:lang w:val="en-US"/>
              </w:rPr>
              <w:t xml:space="preserve"> GDP Deflator</w:t>
            </w:r>
            <w:r>
              <w:rPr>
                <w:rFonts w:ascii="Garamond" w:hAnsi="Garamond"/>
                <w:sz w:val="24"/>
                <w:szCs w:val="24"/>
                <w:lang w:val="en-US"/>
              </w:rPr>
              <w:t xml:space="preserve"> (annual %).</w:t>
            </w:r>
          </w:p>
        </w:tc>
        <w:tc>
          <w:tcPr>
            <w:tcW w:w="7623"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szCs w:val="24"/>
              </w:rPr>
            </w:pPr>
            <w:r>
              <w:rPr>
                <w:rFonts w:ascii="Garamond" w:hAnsi="Garamond"/>
                <w:sz w:val="24"/>
                <w:szCs w:val="24"/>
              </w:rPr>
              <w:t>Authors' calculation based on data from the WDI.</w:t>
            </w:r>
          </w:p>
        </w:tc>
      </w:tr>
      <w:tr w:rsidR="000D754A" w:rsidTr="002356A4">
        <w:trPr>
          <w:jc w:val="center"/>
        </w:trPr>
        <w:tc>
          <w:tcPr>
            <w:tcW w:w="1716"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szCs w:val="24"/>
              </w:rPr>
            </w:pPr>
            <w:r>
              <w:rPr>
                <w:rFonts w:ascii="Garamond" w:hAnsi="Garamond"/>
                <w:sz w:val="24"/>
                <w:szCs w:val="24"/>
              </w:rPr>
              <w:t>GRSERVEXP</w:t>
            </w:r>
          </w:p>
        </w:tc>
        <w:tc>
          <w:tcPr>
            <w:tcW w:w="5918"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szCs w:val="24"/>
              </w:rPr>
            </w:pPr>
            <w:r>
              <w:rPr>
                <w:rFonts w:ascii="Garamond" w:hAnsi="Garamond"/>
                <w:sz w:val="24"/>
                <w:szCs w:val="24"/>
              </w:rPr>
              <w:t>This variable represents the growth rate (%) of total services exports.</w:t>
            </w:r>
          </w:p>
        </w:tc>
        <w:tc>
          <w:tcPr>
            <w:tcW w:w="7623"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szCs w:val="24"/>
              </w:rPr>
            </w:pPr>
            <w:r>
              <w:rPr>
                <w:rFonts w:ascii="Garamond" w:hAnsi="Garamond"/>
                <w:sz w:val="24"/>
                <w:szCs w:val="24"/>
              </w:rPr>
              <w:t xml:space="preserve">Authors' calculation based on data extracted from the IMF's database on the international trade in services (see online at: </w:t>
            </w:r>
            <w:hyperlink r:id="rId5" w:history="1">
              <w:r>
                <w:rPr>
                  <w:rStyle w:val="Hyperlink"/>
                  <w:rFonts w:ascii="Garamond" w:hAnsi="Garamond"/>
                  <w:sz w:val="24"/>
                  <w:szCs w:val="24"/>
                </w:rPr>
                <w:t>https://data.imf.org/?sk=07109577-E65D-4CE1-BB21-0CB3098FC504</w:t>
              </w:r>
            </w:hyperlink>
            <w:r>
              <w:rPr>
                <w:rFonts w:ascii="Garamond" w:hAnsi="Garamond"/>
                <w:sz w:val="24"/>
                <w:szCs w:val="24"/>
              </w:rPr>
              <w:t>) – See also Loungani et al. (2017).</w:t>
            </w:r>
          </w:p>
        </w:tc>
      </w:tr>
      <w:tr w:rsidR="000D754A" w:rsidTr="002356A4">
        <w:trPr>
          <w:jc w:val="center"/>
        </w:trPr>
        <w:tc>
          <w:tcPr>
            <w:tcW w:w="1716"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szCs w:val="24"/>
              </w:rPr>
            </w:pPr>
            <w:r>
              <w:rPr>
                <w:rFonts w:ascii="Garamond" w:hAnsi="Garamond"/>
                <w:sz w:val="24"/>
                <w:szCs w:val="24"/>
              </w:rPr>
              <w:t>GOVCONS</w:t>
            </w:r>
          </w:p>
        </w:tc>
        <w:tc>
          <w:tcPr>
            <w:tcW w:w="5918"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szCs w:val="24"/>
              </w:rPr>
            </w:pPr>
            <w:r w:rsidRPr="00541619">
              <w:rPr>
                <w:rFonts w:ascii="Garamond" w:hAnsi="Garamond"/>
                <w:sz w:val="24"/>
                <w:szCs w:val="24"/>
              </w:rPr>
              <w:t>General government final consumption expenditure (% of GDP)</w:t>
            </w:r>
          </w:p>
        </w:tc>
        <w:tc>
          <w:tcPr>
            <w:tcW w:w="7623"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szCs w:val="24"/>
              </w:rPr>
            </w:pPr>
            <w:r>
              <w:rPr>
                <w:rFonts w:ascii="Garamond" w:hAnsi="Garamond"/>
                <w:sz w:val="24"/>
                <w:szCs w:val="24"/>
              </w:rPr>
              <w:t>WDI</w:t>
            </w:r>
          </w:p>
        </w:tc>
      </w:tr>
      <w:tr w:rsidR="000D754A" w:rsidTr="002356A4">
        <w:trPr>
          <w:jc w:val="center"/>
        </w:trPr>
        <w:tc>
          <w:tcPr>
            <w:tcW w:w="1716"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lang w:val="en-US"/>
              </w:rPr>
            </w:pPr>
            <w:r>
              <w:rPr>
                <w:rFonts w:ascii="Garamond" w:hAnsi="Garamond"/>
                <w:sz w:val="24"/>
                <w:szCs w:val="24"/>
              </w:rPr>
              <w:t>FINDEV</w:t>
            </w:r>
          </w:p>
        </w:tc>
        <w:tc>
          <w:tcPr>
            <w:tcW w:w="5918"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szCs w:val="24"/>
              </w:rPr>
            </w:pPr>
            <w:r>
              <w:rPr>
                <w:rFonts w:ascii="Garamond" w:hAnsi="Garamond"/>
                <w:sz w:val="24"/>
                <w:szCs w:val="24"/>
              </w:rPr>
              <w:t xml:space="preserve">This is the indicator of financial. It is a composite index of four indicators of financial development, which are the liquid liabilities (% GDP); the private credit by deposit money banks and other financial institutions (% GDP); the bank deposits (% GDP); and the financial system deposit (% GDP). The "FINDEV" indicator has been computed by relying on the factor analysis approach, including the </w:t>
            </w:r>
            <w:r>
              <w:rPr>
                <w:rFonts w:ascii="Garamond" w:hAnsi="Garamond"/>
                <w:sz w:val="24"/>
                <w:szCs w:val="24"/>
              </w:rPr>
              <w:lastRenderedPageBreak/>
              <w:t>Principal Component Analysis that allows to extract a common factor from the above-mentioned four indicators of financial development.  Higher values of "FD" reflect higher depth of financial development, and lower values indicate lower level of financial development.</w:t>
            </w:r>
            <w:r>
              <w:rPr>
                <w:rFonts w:ascii="Garamond" w:hAnsi="Garamond"/>
                <w:sz w:val="24"/>
                <w:szCs w:val="24"/>
              </w:rPr>
              <w:t> </w:t>
            </w:r>
          </w:p>
        </w:tc>
        <w:tc>
          <w:tcPr>
            <w:tcW w:w="7623" w:type="dxa"/>
            <w:tcBorders>
              <w:top w:val="single" w:sz="4" w:space="0" w:color="auto"/>
              <w:left w:val="single" w:sz="4" w:space="0" w:color="auto"/>
              <w:bottom w:val="single" w:sz="4" w:space="0" w:color="auto"/>
              <w:right w:val="single" w:sz="4" w:space="0" w:color="auto"/>
            </w:tcBorders>
            <w:vAlign w:val="center"/>
          </w:tcPr>
          <w:p w:rsidR="000D754A" w:rsidRDefault="000D754A" w:rsidP="002356A4">
            <w:pPr>
              <w:jc w:val="center"/>
              <w:rPr>
                <w:rFonts w:ascii="Garamond" w:hAnsi="Garamond"/>
                <w:sz w:val="24"/>
                <w:szCs w:val="24"/>
              </w:rPr>
            </w:pPr>
            <w:r>
              <w:rPr>
                <w:rFonts w:ascii="Garamond" w:hAnsi="Garamond"/>
                <w:sz w:val="24"/>
                <w:szCs w:val="24"/>
              </w:rPr>
              <w:lastRenderedPageBreak/>
              <w:t>Author's calculation based on data on the four indicators from</w:t>
            </w:r>
            <w:r>
              <w:rPr>
                <w:rFonts w:ascii="Garamond" w:hAnsi="Garamond"/>
                <w:sz w:val="24"/>
              </w:rPr>
              <w:t xml:space="preserve"> the World Bank's Financial Structure dataset developed by Beck et al. (2000; 2009) and </w:t>
            </w:r>
            <w:r>
              <w:rPr>
                <w:rFonts w:ascii="Garamond" w:hAnsi="Garamond"/>
                <w:sz w:val="24"/>
                <w:szCs w:val="24"/>
              </w:rPr>
              <w:t>Čihák</w:t>
            </w:r>
            <w:r>
              <w:rPr>
                <w:rFonts w:ascii="Garamond" w:hAnsi="Garamond"/>
                <w:sz w:val="24"/>
              </w:rPr>
              <w:t xml:space="preserve"> et al. (2012) and updated in June 2017.</w:t>
            </w:r>
          </w:p>
        </w:tc>
      </w:tr>
      <w:tr w:rsidR="000D754A" w:rsidTr="002356A4">
        <w:trPr>
          <w:jc w:val="center"/>
        </w:trPr>
        <w:tc>
          <w:tcPr>
            <w:tcW w:w="1716" w:type="dxa"/>
            <w:tcBorders>
              <w:top w:val="single" w:sz="4" w:space="0" w:color="auto"/>
              <w:left w:val="single" w:sz="4" w:space="0" w:color="auto"/>
              <w:bottom w:val="single" w:sz="4" w:space="0" w:color="auto"/>
              <w:right w:val="single" w:sz="4" w:space="0" w:color="auto"/>
            </w:tcBorders>
            <w:vAlign w:val="center"/>
          </w:tcPr>
          <w:p w:rsidR="000D754A" w:rsidRPr="00AB5D64" w:rsidRDefault="000D754A" w:rsidP="002356A4">
            <w:pPr>
              <w:jc w:val="center"/>
              <w:rPr>
                <w:rFonts w:ascii="Garamond" w:hAnsi="Garamond"/>
                <w:sz w:val="24"/>
                <w:szCs w:val="24"/>
                <w:lang w:val="en-US"/>
              </w:rPr>
            </w:pPr>
            <w:r>
              <w:rPr>
                <w:rFonts w:ascii="Garamond" w:hAnsi="Garamond"/>
                <w:sz w:val="24"/>
                <w:szCs w:val="24"/>
                <w:lang w:val="en-US"/>
              </w:rPr>
              <w:t>POLITY2</w:t>
            </w:r>
          </w:p>
        </w:tc>
        <w:tc>
          <w:tcPr>
            <w:tcW w:w="5918" w:type="dxa"/>
            <w:tcBorders>
              <w:top w:val="single" w:sz="4" w:space="0" w:color="auto"/>
              <w:left w:val="single" w:sz="4" w:space="0" w:color="auto"/>
              <w:bottom w:val="single" w:sz="4" w:space="0" w:color="auto"/>
              <w:right w:val="single" w:sz="4" w:space="0" w:color="auto"/>
            </w:tcBorders>
            <w:vAlign w:val="center"/>
          </w:tcPr>
          <w:p w:rsidR="000D754A" w:rsidRPr="00AB5D64" w:rsidRDefault="000D754A" w:rsidP="002356A4">
            <w:pPr>
              <w:jc w:val="center"/>
              <w:rPr>
                <w:rFonts w:ascii="Garamond" w:hAnsi="Garamond"/>
                <w:sz w:val="24"/>
                <w:szCs w:val="24"/>
                <w:lang w:val="en-US"/>
              </w:rPr>
            </w:pPr>
            <w:r w:rsidRPr="00AB5D64">
              <w:rPr>
                <w:rFonts w:ascii="Garamond" w:hAnsi="Garamond"/>
                <w:sz w:val="24"/>
                <w:szCs w:val="24"/>
                <w:lang w:val="en-US"/>
              </w:rPr>
              <w:t xml:space="preserve">This </w:t>
            </w:r>
            <w:r>
              <w:rPr>
                <w:rFonts w:ascii="Garamond" w:hAnsi="Garamond"/>
                <w:sz w:val="24"/>
                <w:szCs w:val="24"/>
                <w:lang w:val="en-US"/>
              </w:rPr>
              <w:t xml:space="preserve">variable </w:t>
            </w:r>
            <w:r w:rsidRPr="00AB5D64">
              <w:rPr>
                <w:rFonts w:ascii="Garamond" w:hAnsi="Garamond"/>
                <w:sz w:val="24"/>
                <w:szCs w:val="24"/>
                <w:lang w:val="en-US"/>
              </w:rPr>
              <w:t>is an index extracted from Polity IV Database (</w:t>
            </w:r>
            <w:r w:rsidRPr="00AD150B">
              <w:rPr>
                <w:rFonts w:ascii="Garamond" w:hAnsi="Garamond"/>
                <w:sz w:val="24"/>
                <w:szCs w:val="24"/>
                <w:lang w:val="en-US"/>
              </w:rPr>
              <w:t>Marshall et al., 2018</w:t>
            </w:r>
            <w:r w:rsidRPr="00AB5D64">
              <w:rPr>
                <w:rFonts w:ascii="Garamond" w:hAnsi="Garamond"/>
                <w:sz w:val="24"/>
                <w:szCs w:val="24"/>
                <w:lang w:val="en-US"/>
              </w:rPr>
              <w:t>)</w:t>
            </w:r>
            <w:r>
              <w:rPr>
                <w:rFonts w:ascii="Garamond" w:hAnsi="Garamond"/>
                <w:sz w:val="24"/>
                <w:szCs w:val="24"/>
                <w:lang w:val="en-US"/>
              </w:rPr>
              <w:t>.</w:t>
            </w:r>
            <w:r w:rsidRPr="00AB5D64">
              <w:rPr>
                <w:rFonts w:ascii="Garamond" w:hAnsi="Garamond"/>
                <w:sz w:val="24"/>
                <w:szCs w:val="24"/>
                <w:lang w:val="en-US"/>
              </w:rPr>
              <w:t xml:space="preserve"> It represents the degree of democracy based on competitiveness of political participation, the openness and competitiveness of executive recruitment and constraints on the chief executive. Its values range between -10 and +10, with lower values reflecting autocratic regimes, and greater values indicating democratic regimes. Specifically, the value +10 for this index represents a strong democratic regime, while the value -10 stands for strong autocratic regime.  </w:t>
            </w:r>
          </w:p>
        </w:tc>
        <w:tc>
          <w:tcPr>
            <w:tcW w:w="7623" w:type="dxa"/>
            <w:tcBorders>
              <w:top w:val="single" w:sz="4" w:space="0" w:color="auto"/>
              <w:left w:val="single" w:sz="4" w:space="0" w:color="auto"/>
              <w:bottom w:val="single" w:sz="4" w:space="0" w:color="auto"/>
              <w:right w:val="single" w:sz="4" w:space="0" w:color="auto"/>
            </w:tcBorders>
            <w:vAlign w:val="center"/>
          </w:tcPr>
          <w:p w:rsidR="000D754A" w:rsidRPr="00AB5D64" w:rsidRDefault="000D754A" w:rsidP="002356A4">
            <w:pPr>
              <w:jc w:val="center"/>
              <w:rPr>
                <w:rFonts w:ascii="Garamond" w:hAnsi="Garamond"/>
                <w:sz w:val="24"/>
                <w:szCs w:val="24"/>
                <w:lang w:val="en-US"/>
              </w:rPr>
            </w:pPr>
            <w:r w:rsidRPr="00AD150B">
              <w:rPr>
                <w:rFonts w:ascii="Garamond" w:hAnsi="Garamond"/>
                <w:sz w:val="24"/>
                <w:szCs w:val="24"/>
                <w:lang w:val="en-US"/>
              </w:rPr>
              <w:t>Polity IV Database (Marshall et al., 2018)</w:t>
            </w:r>
          </w:p>
        </w:tc>
      </w:tr>
      <w:tr w:rsidR="000D754A" w:rsidTr="002356A4">
        <w:trPr>
          <w:jc w:val="center"/>
        </w:trPr>
        <w:tc>
          <w:tcPr>
            <w:tcW w:w="1716" w:type="dxa"/>
            <w:tcBorders>
              <w:top w:val="single" w:sz="4" w:space="0" w:color="auto"/>
              <w:left w:val="single" w:sz="4" w:space="0" w:color="auto"/>
              <w:bottom w:val="single" w:sz="4" w:space="0" w:color="auto"/>
              <w:right w:val="single" w:sz="4" w:space="0" w:color="auto"/>
            </w:tcBorders>
            <w:vAlign w:val="center"/>
            <w:hideMark/>
          </w:tcPr>
          <w:p w:rsidR="000D754A" w:rsidRDefault="000D754A" w:rsidP="002356A4">
            <w:pPr>
              <w:jc w:val="center"/>
              <w:rPr>
                <w:rFonts w:ascii="Garamond" w:hAnsi="Garamond"/>
                <w:sz w:val="24"/>
                <w:lang w:val="en-US"/>
              </w:rPr>
            </w:pPr>
            <w:r>
              <w:rPr>
                <w:rFonts w:ascii="Garamond" w:hAnsi="Garamond"/>
                <w:sz w:val="24"/>
                <w:lang w:val="en-US"/>
              </w:rPr>
              <w:t>POP</w:t>
            </w:r>
          </w:p>
        </w:tc>
        <w:tc>
          <w:tcPr>
            <w:tcW w:w="5918" w:type="dxa"/>
            <w:tcBorders>
              <w:top w:val="single" w:sz="4" w:space="0" w:color="auto"/>
              <w:left w:val="single" w:sz="4" w:space="0" w:color="auto"/>
              <w:bottom w:val="single" w:sz="4" w:space="0" w:color="auto"/>
              <w:right w:val="single" w:sz="4" w:space="0" w:color="auto"/>
            </w:tcBorders>
            <w:vAlign w:val="center"/>
            <w:hideMark/>
          </w:tcPr>
          <w:p w:rsidR="000D754A" w:rsidRDefault="000D754A" w:rsidP="002356A4">
            <w:pPr>
              <w:jc w:val="center"/>
              <w:rPr>
                <w:rFonts w:ascii="Garamond" w:hAnsi="Garamond"/>
                <w:sz w:val="24"/>
                <w:lang w:val="en-US"/>
              </w:rPr>
            </w:pPr>
            <w:r>
              <w:rPr>
                <w:rFonts w:ascii="Garamond" w:hAnsi="Garamond"/>
                <w:sz w:val="24"/>
                <w:lang w:val="en-US"/>
              </w:rPr>
              <w:t xml:space="preserve">This is the measure of the </w:t>
            </w:r>
            <w:r>
              <w:rPr>
                <w:rFonts w:ascii="Garamond" w:hAnsi="Garamond"/>
                <w:sz w:val="24"/>
                <w:szCs w:val="24"/>
                <w:lang w:val="en-US"/>
              </w:rPr>
              <w:t>total Population</w:t>
            </w:r>
          </w:p>
        </w:tc>
        <w:tc>
          <w:tcPr>
            <w:tcW w:w="7623" w:type="dxa"/>
            <w:tcBorders>
              <w:top w:val="single" w:sz="4" w:space="0" w:color="auto"/>
              <w:left w:val="single" w:sz="4" w:space="0" w:color="auto"/>
              <w:bottom w:val="single" w:sz="4" w:space="0" w:color="auto"/>
              <w:right w:val="single" w:sz="4" w:space="0" w:color="auto"/>
            </w:tcBorders>
            <w:vAlign w:val="center"/>
            <w:hideMark/>
          </w:tcPr>
          <w:p w:rsidR="000D754A" w:rsidRDefault="000D754A" w:rsidP="002356A4">
            <w:pPr>
              <w:jc w:val="center"/>
              <w:rPr>
                <w:rFonts w:ascii="Garamond" w:hAnsi="Garamond"/>
                <w:sz w:val="24"/>
                <w:lang w:val="en-US"/>
              </w:rPr>
            </w:pPr>
            <w:r>
              <w:rPr>
                <w:rFonts w:ascii="Garamond" w:hAnsi="Garamond"/>
                <w:sz w:val="24"/>
                <w:szCs w:val="24"/>
              </w:rPr>
              <w:t>WDI</w:t>
            </w:r>
          </w:p>
        </w:tc>
      </w:tr>
    </w:tbl>
    <w:p w:rsidR="000D754A" w:rsidRDefault="000D754A" w:rsidP="000D754A">
      <w:pPr>
        <w:tabs>
          <w:tab w:val="left" w:pos="1590"/>
        </w:tabs>
        <w:rPr>
          <w:rFonts w:ascii="Garamond" w:hAnsi="Garamond"/>
          <w:b/>
          <w:sz w:val="24"/>
          <w:szCs w:val="24"/>
        </w:rPr>
      </w:pPr>
    </w:p>
    <w:p w:rsidR="000D754A" w:rsidRDefault="000D754A" w:rsidP="000D754A">
      <w:pPr>
        <w:tabs>
          <w:tab w:val="left" w:pos="1590"/>
        </w:tabs>
        <w:rPr>
          <w:rFonts w:ascii="Garamond" w:hAnsi="Garamond"/>
          <w:b/>
          <w:sz w:val="24"/>
          <w:szCs w:val="24"/>
        </w:rPr>
      </w:pPr>
    </w:p>
    <w:p w:rsidR="000D754A" w:rsidRDefault="000D754A" w:rsidP="000D754A">
      <w:pPr>
        <w:rPr>
          <w:rFonts w:ascii="Garamond" w:eastAsia="Calibri" w:hAnsi="Garamond" w:cs="Times New Roman"/>
          <w:b/>
          <w:sz w:val="24"/>
          <w:szCs w:val="24"/>
        </w:rPr>
        <w:sectPr w:rsidR="000D754A" w:rsidSect="00986F95">
          <w:pgSz w:w="16838" w:h="11906" w:orient="landscape" w:code="9"/>
          <w:pgMar w:top="1440" w:right="1701" w:bottom="1440" w:left="1440" w:header="720" w:footer="720" w:gutter="0"/>
          <w:cols w:space="708"/>
          <w:docGrid w:linePitch="360"/>
        </w:sectPr>
      </w:pPr>
    </w:p>
    <w:p w:rsidR="000D754A" w:rsidRPr="00DB4168" w:rsidRDefault="000D754A" w:rsidP="000D754A">
      <w:pPr>
        <w:rPr>
          <w:rFonts w:ascii="Garamond" w:eastAsia="Calibri" w:hAnsi="Garamond" w:cs="Times New Roman"/>
          <w:b/>
          <w:sz w:val="24"/>
          <w:szCs w:val="24"/>
        </w:rPr>
      </w:pPr>
      <w:r w:rsidRPr="00DB4168">
        <w:rPr>
          <w:rFonts w:ascii="Garamond" w:eastAsia="Calibri" w:hAnsi="Garamond" w:cs="Times New Roman"/>
          <w:b/>
          <w:sz w:val="24"/>
          <w:szCs w:val="24"/>
        </w:rPr>
        <w:lastRenderedPageBreak/>
        <w:t xml:space="preserve">Appendix </w:t>
      </w:r>
      <w:r>
        <w:rPr>
          <w:rFonts w:ascii="Garamond" w:eastAsia="Calibri" w:hAnsi="Garamond" w:cs="Times New Roman"/>
          <w:b/>
          <w:sz w:val="24"/>
          <w:szCs w:val="24"/>
        </w:rPr>
        <w:t>2</w:t>
      </w:r>
      <w:r w:rsidRPr="00DB4168">
        <w:rPr>
          <w:rFonts w:ascii="Garamond" w:eastAsia="Calibri" w:hAnsi="Garamond" w:cs="Times New Roman"/>
          <w:b/>
          <w:sz w:val="24"/>
          <w:szCs w:val="24"/>
        </w:rPr>
        <w:t xml:space="preserve">: </w:t>
      </w:r>
      <w:r w:rsidRPr="00DB4168">
        <w:rPr>
          <w:rFonts w:ascii="Garamond" w:eastAsia="Calibri" w:hAnsi="Garamond" w:cs="Times New Roman"/>
          <w:sz w:val="24"/>
          <w:szCs w:val="24"/>
        </w:rPr>
        <w:t>Descriptive statistics on variables</w:t>
      </w:r>
    </w:p>
    <w:p w:rsidR="000D754A" w:rsidRDefault="000D754A" w:rsidP="000D754A">
      <w:pPr>
        <w:rPr>
          <w:rFonts w:ascii="Garamond" w:hAnsi="Garamond"/>
          <w:sz w:val="24"/>
        </w:rPr>
      </w:pPr>
    </w:p>
    <w:tbl>
      <w:tblPr>
        <w:tblStyle w:val="TableGrid"/>
        <w:tblW w:w="9918" w:type="dxa"/>
        <w:tblLook w:val="04A0" w:firstRow="1" w:lastRow="0" w:firstColumn="1" w:lastColumn="0" w:noHBand="0" w:noVBand="1"/>
      </w:tblPr>
      <w:tblGrid>
        <w:gridCol w:w="1596"/>
        <w:gridCol w:w="1559"/>
        <w:gridCol w:w="1468"/>
        <w:gridCol w:w="2342"/>
        <w:gridCol w:w="1475"/>
        <w:gridCol w:w="1478"/>
      </w:tblGrid>
      <w:tr w:rsidR="000D754A" w:rsidRPr="00B61F73" w:rsidTr="002356A4">
        <w:tc>
          <w:tcPr>
            <w:tcW w:w="1596" w:type="dxa"/>
          </w:tcPr>
          <w:p w:rsidR="000D754A" w:rsidRPr="00B61F73" w:rsidRDefault="000D754A" w:rsidP="002356A4">
            <w:pPr>
              <w:jc w:val="center"/>
              <w:rPr>
                <w:rFonts w:ascii="Garamond" w:hAnsi="Garamond"/>
                <w:b/>
                <w:sz w:val="24"/>
              </w:rPr>
            </w:pPr>
            <w:r w:rsidRPr="00B61F73">
              <w:rPr>
                <w:rFonts w:ascii="Garamond" w:hAnsi="Garamond"/>
                <w:b/>
                <w:sz w:val="24"/>
              </w:rPr>
              <w:t>Variable</w:t>
            </w:r>
          </w:p>
        </w:tc>
        <w:tc>
          <w:tcPr>
            <w:tcW w:w="1559" w:type="dxa"/>
          </w:tcPr>
          <w:p w:rsidR="000D754A" w:rsidRPr="00B61F73" w:rsidRDefault="000D754A" w:rsidP="002356A4">
            <w:pPr>
              <w:jc w:val="center"/>
              <w:rPr>
                <w:rFonts w:ascii="Garamond" w:hAnsi="Garamond"/>
                <w:b/>
                <w:sz w:val="24"/>
              </w:rPr>
            </w:pPr>
            <w:r w:rsidRPr="00B61F73">
              <w:rPr>
                <w:rFonts w:ascii="Garamond" w:hAnsi="Garamond"/>
                <w:b/>
                <w:sz w:val="24"/>
              </w:rPr>
              <w:t>Observations</w:t>
            </w:r>
          </w:p>
        </w:tc>
        <w:tc>
          <w:tcPr>
            <w:tcW w:w="1468" w:type="dxa"/>
          </w:tcPr>
          <w:p w:rsidR="000D754A" w:rsidRPr="00B61F73" w:rsidRDefault="000D754A" w:rsidP="002356A4">
            <w:pPr>
              <w:jc w:val="center"/>
              <w:rPr>
                <w:rFonts w:ascii="Garamond" w:hAnsi="Garamond"/>
                <w:b/>
                <w:sz w:val="24"/>
              </w:rPr>
            </w:pPr>
            <w:r w:rsidRPr="00B61F73">
              <w:rPr>
                <w:rFonts w:ascii="Garamond" w:hAnsi="Garamond"/>
                <w:b/>
                <w:sz w:val="24"/>
              </w:rPr>
              <w:t>Mean</w:t>
            </w:r>
          </w:p>
        </w:tc>
        <w:tc>
          <w:tcPr>
            <w:tcW w:w="2342" w:type="dxa"/>
          </w:tcPr>
          <w:p w:rsidR="000D754A" w:rsidRPr="00B61F73" w:rsidRDefault="000D754A" w:rsidP="002356A4">
            <w:pPr>
              <w:jc w:val="center"/>
              <w:rPr>
                <w:rFonts w:ascii="Garamond" w:hAnsi="Garamond"/>
                <w:b/>
                <w:sz w:val="24"/>
              </w:rPr>
            </w:pPr>
            <w:r w:rsidRPr="00B61F73">
              <w:rPr>
                <w:rFonts w:ascii="Garamond" w:hAnsi="Garamond"/>
                <w:b/>
                <w:sz w:val="24"/>
              </w:rPr>
              <w:t>Standard Deviation</w:t>
            </w:r>
          </w:p>
        </w:tc>
        <w:tc>
          <w:tcPr>
            <w:tcW w:w="1475" w:type="dxa"/>
          </w:tcPr>
          <w:p w:rsidR="000D754A" w:rsidRPr="00B61F73" w:rsidRDefault="000D754A" w:rsidP="002356A4">
            <w:pPr>
              <w:jc w:val="center"/>
              <w:rPr>
                <w:rFonts w:ascii="Garamond" w:hAnsi="Garamond"/>
                <w:b/>
                <w:sz w:val="24"/>
              </w:rPr>
            </w:pPr>
            <w:r w:rsidRPr="00B61F73">
              <w:rPr>
                <w:rFonts w:ascii="Garamond" w:hAnsi="Garamond"/>
                <w:b/>
                <w:sz w:val="24"/>
              </w:rPr>
              <w:t>Minimum</w:t>
            </w:r>
          </w:p>
        </w:tc>
        <w:tc>
          <w:tcPr>
            <w:tcW w:w="1478" w:type="dxa"/>
          </w:tcPr>
          <w:p w:rsidR="000D754A" w:rsidRPr="00B61F73" w:rsidRDefault="000D754A" w:rsidP="002356A4">
            <w:pPr>
              <w:jc w:val="center"/>
              <w:rPr>
                <w:rFonts w:ascii="Garamond" w:hAnsi="Garamond"/>
                <w:b/>
                <w:sz w:val="24"/>
              </w:rPr>
            </w:pPr>
            <w:r w:rsidRPr="00B61F73">
              <w:rPr>
                <w:rFonts w:ascii="Garamond" w:hAnsi="Garamond"/>
                <w:b/>
                <w:sz w:val="24"/>
              </w:rPr>
              <w:t>Maximum</w:t>
            </w:r>
          </w:p>
        </w:tc>
      </w:tr>
      <w:tr w:rsidR="000D754A" w:rsidRPr="007571D8" w:rsidTr="002356A4">
        <w:tc>
          <w:tcPr>
            <w:tcW w:w="1596" w:type="dxa"/>
          </w:tcPr>
          <w:p w:rsidR="000D754A" w:rsidRPr="007571D8" w:rsidRDefault="000D754A" w:rsidP="002356A4">
            <w:pPr>
              <w:jc w:val="center"/>
              <w:rPr>
                <w:rFonts w:ascii="Garamond" w:hAnsi="Garamond"/>
                <w:sz w:val="24"/>
              </w:rPr>
            </w:pPr>
            <w:r>
              <w:rPr>
                <w:rFonts w:ascii="Garamond" w:hAnsi="Garamond"/>
                <w:sz w:val="24"/>
              </w:rPr>
              <w:t>GROWTH</w:t>
            </w:r>
          </w:p>
        </w:tc>
        <w:tc>
          <w:tcPr>
            <w:tcW w:w="1559" w:type="dxa"/>
          </w:tcPr>
          <w:p w:rsidR="000D754A" w:rsidRPr="007571D8" w:rsidRDefault="000D754A" w:rsidP="002356A4">
            <w:pPr>
              <w:jc w:val="center"/>
              <w:rPr>
                <w:rFonts w:ascii="Garamond" w:hAnsi="Garamond"/>
                <w:sz w:val="24"/>
              </w:rPr>
            </w:pPr>
            <w:r w:rsidRPr="007571D8">
              <w:rPr>
                <w:rFonts w:ascii="Garamond" w:hAnsi="Garamond"/>
                <w:sz w:val="24"/>
              </w:rPr>
              <w:t>754</w:t>
            </w:r>
          </w:p>
        </w:tc>
        <w:tc>
          <w:tcPr>
            <w:tcW w:w="146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1.820</w:t>
            </w:r>
          </w:p>
        </w:tc>
        <w:tc>
          <w:tcPr>
            <w:tcW w:w="2342"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3.367</w:t>
            </w:r>
          </w:p>
        </w:tc>
        <w:tc>
          <w:tcPr>
            <w:tcW w:w="1475"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-24.119</w:t>
            </w:r>
          </w:p>
        </w:tc>
        <w:tc>
          <w:tcPr>
            <w:tcW w:w="147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19.824</w:t>
            </w:r>
          </w:p>
        </w:tc>
      </w:tr>
      <w:tr w:rsidR="000D754A" w:rsidRPr="007571D8" w:rsidTr="002356A4">
        <w:tc>
          <w:tcPr>
            <w:tcW w:w="1596" w:type="dxa"/>
          </w:tcPr>
          <w:p w:rsidR="000D754A" w:rsidRPr="007571D8" w:rsidRDefault="000D754A" w:rsidP="002356A4">
            <w:pPr>
              <w:jc w:val="center"/>
              <w:rPr>
                <w:rFonts w:ascii="Garamond" w:hAnsi="Garamond"/>
                <w:sz w:val="24"/>
              </w:rPr>
            </w:pPr>
            <w:r>
              <w:rPr>
                <w:rFonts w:ascii="Garamond" w:hAnsi="Garamond"/>
                <w:sz w:val="24"/>
              </w:rPr>
              <w:t>HHI</w:t>
            </w:r>
          </w:p>
        </w:tc>
        <w:tc>
          <w:tcPr>
            <w:tcW w:w="1559" w:type="dxa"/>
          </w:tcPr>
          <w:p w:rsidR="000D754A" w:rsidRPr="007571D8" w:rsidRDefault="000D754A" w:rsidP="002356A4">
            <w:pPr>
              <w:jc w:val="center"/>
              <w:rPr>
                <w:rFonts w:ascii="Garamond" w:hAnsi="Garamond"/>
                <w:sz w:val="24"/>
              </w:rPr>
            </w:pPr>
            <w:r w:rsidRPr="007571D8">
              <w:rPr>
                <w:rFonts w:ascii="Garamond" w:hAnsi="Garamond"/>
                <w:sz w:val="24"/>
              </w:rPr>
              <w:t>702</w:t>
            </w:r>
          </w:p>
        </w:tc>
        <w:tc>
          <w:tcPr>
            <w:tcW w:w="146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51.087</w:t>
            </w:r>
          </w:p>
        </w:tc>
        <w:tc>
          <w:tcPr>
            <w:tcW w:w="2342"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28.959</w:t>
            </w:r>
          </w:p>
        </w:tc>
        <w:tc>
          <w:tcPr>
            <w:tcW w:w="1475"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0.000</w:t>
            </w:r>
          </w:p>
        </w:tc>
        <w:tc>
          <w:tcPr>
            <w:tcW w:w="147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100.000</w:t>
            </w:r>
          </w:p>
        </w:tc>
      </w:tr>
      <w:tr w:rsidR="000D754A" w:rsidRPr="007571D8" w:rsidTr="002356A4">
        <w:tc>
          <w:tcPr>
            <w:tcW w:w="1596" w:type="dxa"/>
          </w:tcPr>
          <w:p w:rsidR="000D754A" w:rsidRDefault="000D754A" w:rsidP="002356A4">
            <w:pPr>
              <w:jc w:val="center"/>
              <w:rPr>
                <w:rFonts w:ascii="Garamond" w:hAnsi="Garamond"/>
                <w:sz w:val="24"/>
              </w:rPr>
            </w:pPr>
            <w:r>
              <w:rPr>
                <w:rFonts w:ascii="Garamond" w:hAnsi="Garamond"/>
                <w:sz w:val="24"/>
              </w:rPr>
              <w:t>THEIL</w:t>
            </w:r>
          </w:p>
        </w:tc>
        <w:tc>
          <w:tcPr>
            <w:tcW w:w="1559" w:type="dxa"/>
          </w:tcPr>
          <w:p w:rsidR="000D754A" w:rsidRPr="00EB7360" w:rsidRDefault="000D754A" w:rsidP="002356A4">
            <w:pPr>
              <w:jc w:val="center"/>
              <w:rPr>
                <w:rFonts w:ascii="Garamond" w:hAnsi="Garamond"/>
                <w:sz w:val="24"/>
              </w:rPr>
            </w:pPr>
            <w:r w:rsidRPr="00EB7360">
              <w:rPr>
                <w:rFonts w:ascii="Garamond" w:hAnsi="Garamond"/>
                <w:sz w:val="24"/>
              </w:rPr>
              <w:t>702</w:t>
            </w:r>
          </w:p>
        </w:tc>
        <w:tc>
          <w:tcPr>
            <w:tcW w:w="1468" w:type="dxa"/>
          </w:tcPr>
          <w:p w:rsidR="000D754A" w:rsidRPr="00EB7360" w:rsidRDefault="000D754A" w:rsidP="002356A4">
            <w:pPr>
              <w:jc w:val="center"/>
              <w:rPr>
                <w:rFonts w:ascii="Garamond" w:hAnsi="Garamond"/>
                <w:sz w:val="24"/>
              </w:rPr>
            </w:pPr>
            <w:r w:rsidRPr="00EB7360">
              <w:rPr>
                <w:rFonts w:ascii="Garamond" w:hAnsi="Garamond"/>
                <w:sz w:val="24"/>
              </w:rPr>
              <w:t>53.85</w:t>
            </w:r>
            <w:r>
              <w:rPr>
                <w:rFonts w:ascii="Garamond" w:hAnsi="Garamond"/>
                <w:sz w:val="24"/>
              </w:rPr>
              <w:t>7</w:t>
            </w:r>
          </w:p>
        </w:tc>
        <w:tc>
          <w:tcPr>
            <w:tcW w:w="2342" w:type="dxa"/>
          </w:tcPr>
          <w:p w:rsidR="000D754A" w:rsidRPr="00EB7360" w:rsidRDefault="000D754A" w:rsidP="002356A4">
            <w:pPr>
              <w:jc w:val="center"/>
              <w:rPr>
                <w:rFonts w:ascii="Garamond" w:hAnsi="Garamond"/>
                <w:sz w:val="24"/>
              </w:rPr>
            </w:pPr>
            <w:r w:rsidRPr="00EB7360">
              <w:rPr>
                <w:rFonts w:ascii="Garamond" w:hAnsi="Garamond"/>
                <w:sz w:val="24"/>
              </w:rPr>
              <w:t>27.68</w:t>
            </w:r>
            <w:r>
              <w:rPr>
                <w:rFonts w:ascii="Garamond" w:hAnsi="Garamond"/>
                <w:sz w:val="24"/>
              </w:rPr>
              <w:t>4</w:t>
            </w:r>
          </w:p>
        </w:tc>
        <w:tc>
          <w:tcPr>
            <w:tcW w:w="1475" w:type="dxa"/>
          </w:tcPr>
          <w:p w:rsidR="000D754A" w:rsidRPr="00EB7360" w:rsidRDefault="000D754A" w:rsidP="002356A4">
            <w:pPr>
              <w:jc w:val="center"/>
              <w:rPr>
                <w:rFonts w:ascii="Garamond" w:hAnsi="Garamond"/>
                <w:sz w:val="24"/>
              </w:rPr>
            </w:pPr>
            <w:r w:rsidRPr="00EB7360">
              <w:rPr>
                <w:rFonts w:ascii="Garamond" w:hAnsi="Garamond"/>
                <w:sz w:val="24"/>
              </w:rPr>
              <w:t>0</w:t>
            </w:r>
          </w:p>
        </w:tc>
        <w:tc>
          <w:tcPr>
            <w:tcW w:w="1478" w:type="dxa"/>
          </w:tcPr>
          <w:p w:rsidR="000D754A" w:rsidRPr="00EB7360" w:rsidRDefault="000D754A" w:rsidP="002356A4">
            <w:pPr>
              <w:jc w:val="center"/>
              <w:rPr>
                <w:rFonts w:ascii="Garamond" w:hAnsi="Garamond"/>
                <w:sz w:val="24"/>
              </w:rPr>
            </w:pPr>
            <w:r w:rsidRPr="00EB7360">
              <w:rPr>
                <w:rFonts w:ascii="Garamond" w:hAnsi="Garamond"/>
                <w:sz w:val="24"/>
              </w:rPr>
              <w:t>100</w:t>
            </w:r>
          </w:p>
        </w:tc>
      </w:tr>
      <w:tr w:rsidR="000D754A" w:rsidRPr="007571D8" w:rsidTr="002356A4">
        <w:tc>
          <w:tcPr>
            <w:tcW w:w="1596" w:type="dxa"/>
          </w:tcPr>
          <w:p w:rsidR="000D754A" w:rsidRPr="007571D8" w:rsidRDefault="000D754A" w:rsidP="002356A4">
            <w:pPr>
              <w:jc w:val="center"/>
              <w:rPr>
                <w:rFonts w:ascii="Garamond" w:hAnsi="Garamond"/>
                <w:sz w:val="24"/>
              </w:rPr>
            </w:pPr>
            <w:r>
              <w:rPr>
                <w:rFonts w:ascii="Garamond" w:hAnsi="Garamond"/>
                <w:sz w:val="24"/>
              </w:rPr>
              <w:t>OPEN</w:t>
            </w:r>
          </w:p>
        </w:tc>
        <w:tc>
          <w:tcPr>
            <w:tcW w:w="1559" w:type="dxa"/>
          </w:tcPr>
          <w:p w:rsidR="000D754A" w:rsidRPr="007571D8" w:rsidRDefault="000D754A" w:rsidP="002356A4">
            <w:pPr>
              <w:jc w:val="center"/>
              <w:rPr>
                <w:rFonts w:ascii="Garamond" w:hAnsi="Garamond"/>
                <w:sz w:val="24"/>
              </w:rPr>
            </w:pPr>
            <w:r w:rsidRPr="007571D8">
              <w:rPr>
                <w:rFonts w:ascii="Garamond" w:hAnsi="Garamond"/>
                <w:sz w:val="24"/>
              </w:rPr>
              <w:t>739</w:t>
            </w:r>
          </w:p>
        </w:tc>
        <w:tc>
          <w:tcPr>
            <w:tcW w:w="146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75.320</w:t>
            </w:r>
          </w:p>
        </w:tc>
        <w:tc>
          <w:tcPr>
            <w:tcW w:w="2342"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39.950</w:t>
            </w:r>
          </w:p>
        </w:tc>
        <w:tc>
          <w:tcPr>
            <w:tcW w:w="1475"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0.218</w:t>
            </w:r>
          </w:p>
        </w:tc>
        <w:tc>
          <w:tcPr>
            <w:tcW w:w="147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344.704</w:t>
            </w:r>
          </w:p>
        </w:tc>
      </w:tr>
      <w:tr w:rsidR="000D754A" w:rsidRPr="007571D8" w:rsidTr="002356A4">
        <w:tc>
          <w:tcPr>
            <w:tcW w:w="1596" w:type="dxa"/>
          </w:tcPr>
          <w:p w:rsidR="000D754A" w:rsidRPr="007571D8" w:rsidRDefault="000D754A" w:rsidP="002356A4">
            <w:pPr>
              <w:jc w:val="center"/>
              <w:rPr>
                <w:rFonts w:ascii="Garamond" w:hAnsi="Garamond"/>
                <w:sz w:val="24"/>
              </w:rPr>
            </w:pPr>
            <w:r>
              <w:rPr>
                <w:rFonts w:ascii="Garamond" w:hAnsi="Garamond"/>
                <w:sz w:val="24"/>
              </w:rPr>
              <w:t>OPENSW</w:t>
            </w:r>
          </w:p>
        </w:tc>
        <w:tc>
          <w:tcPr>
            <w:tcW w:w="1559" w:type="dxa"/>
          </w:tcPr>
          <w:p w:rsidR="000D754A" w:rsidRPr="007571D8" w:rsidRDefault="000D754A" w:rsidP="002356A4">
            <w:pPr>
              <w:jc w:val="center"/>
              <w:rPr>
                <w:rFonts w:ascii="Garamond" w:hAnsi="Garamond"/>
                <w:sz w:val="24"/>
              </w:rPr>
            </w:pPr>
            <w:r w:rsidRPr="007571D8">
              <w:rPr>
                <w:rFonts w:ascii="Garamond" w:hAnsi="Garamond"/>
                <w:sz w:val="24"/>
              </w:rPr>
              <w:t>738</w:t>
            </w:r>
          </w:p>
        </w:tc>
        <w:tc>
          <w:tcPr>
            <w:tcW w:w="146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0.004</w:t>
            </w:r>
          </w:p>
        </w:tc>
        <w:tc>
          <w:tcPr>
            <w:tcW w:w="2342"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0.008</w:t>
            </w:r>
          </w:p>
        </w:tc>
        <w:tc>
          <w:tcPr>
            <w:tcW w:w="1475"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0.000</w:t>
            </w:r>
          </w:p>
        </w:tc>
        <w:tc>
          <w:tcPr>
            <w:tcW w:w="147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0.059</w:t>
            </w:r>
          </w:p>
        </w:tc>
      </w:tr>
      <w:tr w:rsidR="000D754A" w:rsidRPr="007571D8" w:rsidTr="002356A4">
        <w:tc>
          <w:tcPr>
            <w:tcW w:w="1596" w:type="dxa"/>
          </w:tcPr>
          <w:p w:rsidR="000D754A" w:rsidRPr="007571D8" w:rsidRDefault="000D754A" w:rsidP="002356A4">
            <w:pPr>
              <w:jc w:val="center"/>
              <w:rPr>
                <w:rFonts w:ascii="Garamond" w:hAnsi="Garamond"/>
                <w:sz w:val="24"/>
              </w:rPr>
            </w:pPr>
            <w:r w:rsidRPr="00B61F73">
              <w:rPr>
                <w:rFonts w:ascii="Garamond" w:hAnsi="Garamond"/>
                <w:sz w:val="24"/>
              </w:rPr>
              <w:t>GRSERVEXP</w:t>
            </w:r>
          </w:p>
        </w:tc>
        <w:tc>
          <w:tcPr>
            <w:tcW w:w="1559" w:type="dxa"/>
          </w:tcPr>
          <w:p w:rsidR="000D754A" w:rsidRPr="007571D8" w:rsidRDefault="000D754A" w:rsidP="002356A4">
            <w:pPr>
              <w:jc w:val="center"/>
              <w:rPr>
                <w:rFonts w:ascii="Garamond" w:hAnsi="Garamond"/>
                <w:sz w:val="24"/>
              </w:rPr>
            </w:pPr>
            <w:r w:rsidRPr="007571D8">
              <w:rPr>
                <w:rFonts w:ascii="Garamond" w:hAnsi="Garamond"/>
                <w:sz w:val="24"/>
              </w:rPr>
              <w:t>722</w:t>
            </w:r>
          </w:p>
        </w:tc>
        <w:tc>
          <w:tcPr>
            <w:tcW w:w="146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13.997</w:t>
            </w:r>
          </w:p>
        </w:tc>
        <w:tc>
          <w:tcPr>
            <w:tcW w:w="2342"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23.473</w:t>
            </w:r>
          </w:p>
        </w:tc>
        <w:tc>
          <w:tcPr>
            <w:tcW w:w="1475"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-22.639</w:t>
            </w:r>
          </w:p>
        </w:tc>
        <w:tc>
          <w:tcPr>
            <w:tcW w:w="147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357.653</w:t>
            </w:r>
          </w:p>
        </w:tc>
      </w:tr>
      <w:tr w:rsidR="000D754A" w:rsidRPr="007571D8" w:rsidTr="002356A4">
        <w:tc>
          <w:tcPr>
            <w:tcW w:w="1596" w:type="dxa"/>
          </w:tcPr>
          <w:p w:rsidR="000D754A" w:rsidRPr="007571D8" w:rsidRDefault="000D754A" w:rsidP="002356A4">
            <w:pPr>
              <w:jc w:val="center"/>
              <w:rPr>
                <w:rFonts w:ascii="Garamond" w:hAnsi="Garamond"/>
                <w:sz w:val="24"/>
              </w:rPr>
            </w:pPr>
            <w:r>
              <w:rPr>
                <w:rFonts w:ascii="Garamond" w:hAnsi="Garamond"/>
                <w:sz w:val="24"/>
              </w:rPr>
              <w:t>GOVCONS</w:t>
            </w:r>
          </w:p>
        </w:tc>
        <w:tc>
          <w:tcPr>
            <w:tcW w:w="1559" w:type="dxa"/>
          </w:tcPr>
          <w:p w:rsidR="000D754A" w:rsidRPr="007571D8" w:rsidRDefault="000D754A" w:rsidP="002356A4">
            <w:pPr>
              <w:jc w:val="center"/>
              <w:rPr>
                <w:rFonts w:ascii="Garamond" w:hAnsi="Garamond"/>
                <w:sz w:val="24"/>
              </w:rPr>
            </w:pPr>
            <w:r w:rsidRPr="007571D8">
              <w:rPr>
                <w:rFonts w:ascii="Garamond" w:hAnsi="Garamond"/>
                <w:sz w:val="24"/>
              </w:rPr>
              <w:t>728</w:t>
            </w:r>
          </w:p>
        </w:tc>
        <w:tc>
          <w:tcPr>
            <w:tcW w:w="146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15.671</w:t>
            </w:r>
          </w:p>
        </w:tc>
        <w:tc>
          <w:tcPr>
            <w:tcW w:w="2342"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5.435</w:t>
            </w:r>
          </w:p>
        </w:tc>
        <w:tc>
          <w:tcPr>
            <w:tcW w:w="1475"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1.150</w:t>
            </w:r>
          </w:p>
        </w:tc>
        <w:tc>
          <w:tcPr>
            <w:tcW w:w="147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48.062</w:t>
            </w:r>
          </w:p>
        </w:tc>
      </w:tr>
      <w:tr w:rsidR="000D754A" w:rsidRPr="007571D8" w:rsidTr="002356A4">
        <w:tc>
          <w:tcPr>
            <w:tcW w:w="1596" w:type="dxa"/>
          </w:tcPr>
          <w:p w:rsidR="000D754A" w:rsidRPr="007571D8" w:rsidRDefault="000D754A" w:rsidP="002356A4">
            <w:pPr>
              <w:jc w:val="center"/>
              <w:rPr>
                <w:rFonts w:ascii="Garamond" w:hAnsi="Garamond"/>
                <w:sz w:val="24"/>
              </w:rPr>
            </w:pPr>
            <w:r>
              <w:rPr>
                <w:rFonts w:ascii="Garamond" w:hAnsi="Garamond"/>
                <w:sz w:val="24"/>
              </w:rPr>
              <w:t>GFCF</w:t>
            </w:r>
          </w:p>
        </w:tc>
        <w:tc>
          <w:tcPr>
            <w:tcW w:w="1559" w:type="dxa"/>
          </w:tcPr>
          <w:p w:rsidR="000D754A" w:rsidRPr="007571D8" w:rsidRDefault="000D754A" w:rsidP="002356A4">
            <w:pPr>
              <w:jc w:val="center"/>
              <w:rPr>
                <w:rFonts w:ascii="Garamond" w:hAnsi="Garamond"/>
                <w:sz w:val="24"/>
              </w:rPr>
            </w:pPr>
            <w:r w:rsidRPr="007571D8">
              <w:rPr>
                <w:rFonts w:ascii="Garamond" w:hAnsi="Garamond"/>
                <w:sz w:val="24"/>
              </w:rPr>
              <w:t>729</w:t>
            </w:r>
          </w:p>
        </w:tc>
        <w:tc>
          <w:tcPr>
            <w:tcW w:w="146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21.583</w:t>
            </w:r>
          </w:p>
        </w:tc>
        <w:tc>
          <w:tcPr>
            <w:tcW w:w="2342"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6.186</w:t>
            </w:r>
          </w:p>
        </w:tc>
        <w:tc>
          <w:tcPr>
            <w:tcW w:w="1475"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0.000</w:t>
            </w:r>
          </w:p>
        </w:tc>
        <w:tc>
          <w:tcPr>
            <w:tcW w:w="147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50.798</w:t>
            </w:r>
          </w:p>
        </w:tc>
      </w:tr>
      <w:tr w:rsidR="000D754A" w:rsidRPr="007571D8" w:rsidTr="002356A4">
        <w:tc>
          <w:tcPr>
            <w:tcW w:w="1596" w:type="dxa"/>
          </w:tcPr>
          <w:p w:rsidR="000D754A" w:rsidRPr="007571D8" w:rsidRDefault="000D754A" w:rsidP="002356A4">
            <w:pPr>
              <w:jc w:val="center"/>
              <w:rPr>
                <w:rFonts w:ascii="Garamond" w:hAnsi="Garamond"/>
                <w:sz w:val="24"/>
              </w:rPr>
            </w:pPr>
            <w:r>
              <w:rPr>
                <w:rFonts w:ascii="Garamond" w:hAnsi="Garamond"/>
                <w:sz w:val="24"/>
              </w:rPr>
              <w:t>EDU</w:t>
            </w:r>
          </w:p>
        </w:tc>
        <w:tc>
          <w:tcPr>
            <w:tcW w:w="1559" w:type="dxa"/>
          </w:tcPr>
          <w:p w:rsidR="000D754A" w:rsidRPr="007571D8" w:rsidRDefault="000D754A" w:rsidP="002356A4">
            <w:pPr>
              <w:jc w:val="center"/>
              <w:rPr>
                <w:rFonts w:ascii="Garamond" w:hAnsi="Garamond"/>
                <w:sz w:val="24"/>
              </w:rPr>
            </w:pPr>
            <w:r w:rsidRPr="007571D8">
              <w:rPr>
                <w:rFonts w:ascii="Garamond" w:hAnsi="Garamond"/>
                <w:sz w:val="24"/>
              </w:rPr>
              <w:t>662</w:t>
            </w:r>
          </w:p>
        </w:tc>
        <w:tc>
          <w:tcPr>
            <w:tcW w:w="146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193.701</w:t>
            </w:r>
          </w:p>
        </w:tc>
        <w:tc>
          <w:tcPr>
            <w:tcW w:w="2342"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62.196</w:t>
            </w:r>
          </w:p>
        </w:tc>
        <w:tc>
          <w:tcPr>
            <w:tcW w:w="1475"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30.858</w:t>
            </w:r>
          </w:p>
        </w:tc>
        <w:tc>
          <w:tcPr>
            <w:tcW w:w="147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332.421</w:t>
            </w:r>
          </w:p>
        </w:tc>
      </w:tr>
      <w:tr w:rsidR="000D754A" w:rsidRPr="007571D8" w:rsidTr="002356A4">
        <w:tc>
          <w:tcPr>
            <w:tcW w:w="1596" w:type="dxa"/>
          </w:tcPr>
          <w:p w:rsidR="000D754A" w:rsidRPr="007571D8" w:rsidRDefault="000D754A" w:rsidP="002356A4">
            <w:pPr>
              <w:jc w:val="center"/>
              <w:rPr>
                <w:rFonts w:ascii="Garamond" w:hAnsi="Garamond"/>
                <w:sz w:val="24"/>
              </w:rPr>
            </w:pPr>
            <w:r w:rsidRPr="00B61F73">
              <w:rPr>
                <w:rFonts w:ascii="Garamond" w:hAnsi="Garamond"/>
                <w:sz w:val="24"/>
              </w:rPr>
              <w:t>INFLATION</w:t>
            </w:r>
          </w:p>
        </w:tc>
        <w:tc>
          <w:tcPr>
            <w:tcW w:w="1559" w:type="dxa"/>
          </w:tcPr>
          <w:p w:rsidR="000D754A" w:rsidRPr="007571D8" w:rsidRDefault="000D754A" w:rsidP="002356A4">
            <w:pPr>
              <w:jc w:val="center"/>
              <w:rPr>
                <w:rFonts w:ascii="Garamond" w:hAnsi="Garamond"/>
                <w:sz w:val="24"/>
              </w:rPr>
            </w:pPr>
            <w:r w:rsidRPr="007571D8">
              <w:rPr>
                <w:rFonts w:ascii="Garamond" w:hAnsi="Garamond"/>
                <w:sz w:val="24"/>
              </w:rPr>
              <w:t>765</w:t>
            </w:r>
          </w:p>
        </w:tc>
        <w:tc>
          <w:tcPr>
            <w:tcW w:w="146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59.455</w:t>
            </w:r>
          </w:p>
        </w:tc>
        <w:tc>
          <w:tcPr>
            <w:tcW w:w="2342"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359.562</w:t>
            </w:r>
          </w:p>
        </w:tc>
        <w:tc>
          <w:tcPr>
            <w:tcW w:w="1475"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-5.903</w:t>
            </w:r>
          </w:p>
        </w:tc>
        <w:tc>
          <w:tcPr>
            <w:tcW w:w="147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6424.987</w:t>
            </w:r>
          </w:p>
        </w:tc>
      </w:tr>
      <w:tr w:rsidR="000D754A" w:rsidRPr="007571D8" w:rsidTr="002356A4">
        <w:tc>
          <w:tcPr>
            <w:tcW w:w="1596" w:type="dxa"/>
          </w:tcPr>
          <w:p w:rsidR="000D754A" w:rsidRPr="007571D8" w:rsidRDefault="000D754A" w:rsidP="002356A4">
            <w:pPr>
              <w:jc w:val="center"/>
              <w:rPr>
                <w:rFonts w:ascii="Garamond" w:hAnsi="Garamond"/>
                <w:sz w:val="24"/>
              </w:rPr>
            </w:pPr>
            <w:r>
              <w:rPr>
                <w:rFonts w:ascii="Garamond" w:hAnsi="Garamond"/>
                <w:sz w:val="24"/>
              </w:rPr>
              <w:t>FINDEV</w:t>
            </w:r>
          </w:p>
        </w:tc>
        <w:tc>
          <w:tcPr>
            <w:tcW w:w="1559" w:type="dxa"/>
          </w:tcPr>
          <w:p w:rsidR="000D754A" w:rsidRPr="007571D8" w:rsidRDefault="000D754A" w:rsidP="002356A4">
            <w:pPr>
              <w:jc w:val="center"/>
              <w:rPr>
                <w:rFonts w:ascii="Garamond" w:hAnsi="Garamond"/>
                <w:sz w:val="24"/>
              </w:rPr>
            </w:pPr>
            <w:r w:rsidRPr="007571D8">
              <w:rPr>
                <w:rFonts w:ascii="Garamond" w:hAnsi="Garamond"/>
                <w:sz w:val="24"/>
              </w:rPr>
              <w:t>739</w:t>
            </w:r>
          </w:p>
        </w:tc>
        <w:tc>
          <w:tcPr>
            <w:tcW w:w="146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45.603</w:t>
            </w:r>
          </w:p>
        </w:tc>
        <w:tc>
          <w:tcPr>
            <w:tcW w:w="2342"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37.257</w:t>
            </w:r>
          </w:p>
        </w:tc>
        <w:tc>
          <w:tcPr>
            <w:tcW w:w="1475" w:type="dxa"/>
            <w:vAlign w:val="center"/>
          </w:tcPr>
          <w:p w:rsidR="000D754A" w:rsidRPr="00B61F73" w:rsidRDefault="000D754A" w:rsidP="002356A4">
            <w:pPr>
              <w:jc w:val="center"/>
              <w:rPr>
                <w:rFonts w:ascii="Garamond" w:hAnsi="Garamond" w:cs="Calibri"/>
                <w:color w:val="000000"/>
                <w:sz w:val="24"/>
              </w:rPr>
            </w:pPr>
            <w:r>
              <w:rPr>
                <w:rFonts w:ascii="Garamond" w:hAnsi="Garamond" w:cs="Calibri"/>
                <w:color w:val="000000"/>
                <w:sz w:val="24"/>
              </w:rPr>
              <w:t>0</w:t>
            </w:r>
          </w:p>
        </w:tc>
        <w:tc>
          <w:tcPr>
            <w:tcW w:w="147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rPr>
              <w:t>100</w:t>
            </w:r>
          </w:p>
        </w:tc>
      </w:tr>
      <w:tr w:rsidR="000D754A" w:rsidRPr="007571D8" w:rsidTr="002356A4">
        <w:tc>
          <w:tcPr>
            <w:tcW w:w="1596" w:type="dxa"/>
          </w:tcPr>
          <w:p w:rsidR="000D754A" w:rsidRPr="007571D8" w:rsidRDefault="000D754A" w:rsidP="002356A4">
            <w:pPr>
              <w:jc w:val="center"/>
              <w:rPr>
                <w:rFonts w:ascii="Garamond" w:hAnsi="Garamond"/>
                <w:sz w:val="24"/>
                <w:lang w:val="es-ES"/>
              </w:rPr>
            </w:pPr>
            <w:r>
              <w:rPr>
                <w:rFonts w:ascii="Garamond" w:hAnsi="Garamond"/>
                <w:sz w:val="24"/>
                <w:lang w:val="es-ES"/>
              </w:rPr>
              <w:t>POLITY2</w:t>
            </w:r>
          </w:p>
        </w:tc>
        <w:tc>
          <w:tcPr>
            <w:tcW w:w="1559" w:type="dxa"/>
          </w:tcPr>
          <w:p w:rsidR="000D754A" w:rsidRPr="007571D8" w:rsidRDefault="000D754A" w:rsidP="002356A4">
            <w:pPr>
              <w:jc w:val="center"/>
              <w:rPr>
                <w:rFonts w:ascii="Garamond" w:hAnsi="Garamond"/>
                <w:sz w:val="24"/>
                <w:lang w:val="es-ES"/>
              </w:rPr>
            </w:pPr>
            <w:r w:rsidRPr="007571D8">
              <w:rPr>
                <w:rFonts w:ascii="Garamond" w:hAnsi="Garamond"/>
                <w:sz w:val="24"/>
                <w:lang w:val="es-ES"/>
              </w:rPr>
              <w:t>765</w:t>
            </w:r>
          </w:p>
        </w:tc>
        <w:tc>
          <w:tcPr>
            <w:tcW w:w="146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lang w:val="es-ES"/>
              </w:rPr>
              <w:t>3.339</w:t>
            </w:r>
          </w:p>
        </w:tc>
        <w:tc>
          <w:tcPr>
            <w:tcW w:w="2342"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lang w:val="es-ES"/>
              </w:rPr>
              <w:t>6.508</w:t>
            </w:r>
          </w:p>
        </w:tc>
        <w:tc>
          <w:tcPr>
            <w:tcW w:w="1475"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lang w:val="es-ES"/>
              </w:rPr>
              <w:t>-10</w:t>
            </w:r>
          </w:p>
        </w:tc>
        <w:tc>
          <w:tcPr>
            <w:tcW w:w="1478" w:type="dxa"/>
            <w:vAlign w:val="center"/>
          </w:tcPr>
          <w:p w:rsidR="000D754A" w:rsidRPr="00B61F73" w:rsidRDefault="000D754A" w:rsidP="002356A4">
            <w:pPr>
              <w:jc w:val="center"/>
              <w:rPr>
                <w:rFonts w:ascii="Garamond" w:hAnsi="Garamond" w:cs="Calibri"/>
                <w:color w:val="000000"/>
                <w:sz w:val="24"/>
              </w:rPr>
            </w:pPr>
            <w:r w:rsidRPr="00B61F73">
              <w:rPr>
                <w:rFonts w:ascii="Garamond" w:hAnsi="Garamond" w:cs="Calibri"/>
                <w:color w:val="000000"/>
                <w:sz w:val="24"/>
                <w:lang w:val="es-ES"/>
              </w:rPr>
              <w:t>10</w:t>
            </w:r>
          </w:p>
        </w:tc>
      </w:tr>
      <w:tr w:rsidR="000D754A" w:rsidRPr="007571D8" w:rsidTr="002356A4">
        <w:tc>
          <w:tcPr>
            <w:tcW w:w="1596" w:type="dxa"/>
          </w:tcPr>
          <w:p w:rsidR="000D754A" w:rsidRPr="007571D8" w:rsidRDefault="000D754A" w:rsidP="002356A4">
            <w:pPr>
              <w:jc w:val="center"/>
              <w:rPr>
                <w:rFonts w:ascii="Garamond" w:hAnsi="Garamond"/>
                <w:sz w:val="24"/>
                <w:lang w:val="es-ES"/>
              </w:rPr>
            </w:pPr>
            <w:r w:rsidRPr="00B61F73">
              <w:rPr>
                <w:rFonts w:ascii="Garamond" w:hAnsi="Garamond"/>
                <w:sz w:val="24"/>
                <w:lang w:val="es-ES"/>
              </w:rPr>
              <w:t>POP</w:t>
            </w:r>
          </w:p>
        </w:tc>
        <w:tc>
          <w:tcPr>
            <w:tcW w:w="1559" w:type="dxa"/>
          </w:tcPr>
          <w:p w:rsidR="000D754A" w:rsidRPr="007571D8" w:rsidRDefault="000D754A" w:rsidP="002356A4">
            <w:pPr>
              <w:jc w:val="center"/>
              <w:rPr>
                <w:rFonts w:ascii="Garamond" w:hAnsi="Garamond"/>
                <w:sz w:val="24"/>
                <w:lang w:val="es-ES"/>
              </w:rPr>
            </w:pPr>
            <w:r w:rsidRPr="007571D8">
              <w:rPr>
                <w:rFonts w:ascii="Garamond" w:hAnsi="Garamond"/>
                <w:sz w:val="24"/>
                <w:lang w:val="es-ES"/>
              </w:rPr>
              <w:t>785</w:t>
            </w:r>
          </w:p>
        </w:tc>
        <w:tc>
          <w:tcPr>
            <w:tcW w:w="1468" w:type="dxa"/>
          </w:tcPr>
          <w:p w:rsidR="000D754A" w:rsidRPr="007571D8" w:rsidRDefault="000D754A" w:rsidP="002356A4">
            <w:pPr>
              <w:jc w:val="center"/>
              <w:rPr>
                <w:rFonts w:ascii="Garamond" w:hAnsi="Garamond"/>
                <w:sz w:val="24"/>
                <w:lang w:val="es-ES"/>
              </w:rPr>
            </w:pPr>
            <w:r w:rsidRPr="007571D8">
              <w:rPr>
                <w:rFonts w:ascii="Garamond" w:hAnsi="Garamond"/>
                <w:sz w:val="24"/>
                <w:lang w:val="es-ES"/>
              </w:rPr>
              <w:t>3.31e+07</w:t>
            </w:r>
          </w:p>
        </w:tc>
        <w:tc>
          <w:tcPr>
            <w:tcW w:w="2342" w:type="dxa"/>
          </w:tcPr>
          <w:p w:rsidR="000D754A" w:rsidRPr="007571D8" w:rsidRDefault="000D754A" w:rsidP="002356A4">
            <w:pPr>
              <w:jc w:val="center"/>
              <w:rPr>
                <w:rFonts w:ascii="Garamond" w:hAnsi="Garamond"/>
                <w:sz w:val="24"/>
                <w:lang w:val="es-ES"/>
              </w:rPr>
            </w:pPr>
            <w:r w:rsidRPr="007571D8">
              <w:rPr>
                <w:rFonts w:ascii="Garamond" w:hAnsi="Garamond"/>
                <w:sz w:val="24"/>
                <w:lang w:val="es-ES"/>
              </w:rPr>
              <w:t>9.95e+07</w:t>
            </w:r>
          </w:p>
        </w:tc>
        <w:tc>
          <w:tcPr>
            <w:tcW w:w="1475" w:type="dxa"/>
          </w:tcPr>
          <w:p w:rsidR="000D754A" w:rsidRPr="007571D8" w:rsidRDefault="000D754A" w:rsidP="002356A4">
            <w:pPr>
              <w:jc w:val="center"/>
              <w:rPr>
                <w:rFonts w:ascii="Garamond" w:hAnsi="Garamond"/>
                <w:sz w:val="24"/>
                <w:lang w:val="es-ES"/>
              </w:rPr>
            </w:pPr>
            <w:r w:rsidRPr="007571D8">
              <w:rPr>
                <w:rFonts w:ascii="Garamond" w:hAnsi="Garamond"/>
                <w:sz w:val="24"/>
                <w:lang w:val="es-ES"/>
              </w:rPr>
              <w:t>321270.8</w:t>
            </w:r>
          </w:p>
        </w:tc>
        <w:tc>
          <w:tcPr>
            <w:tcW w:w="1478" w:type="dxa"/>
          </w:tcPr>
          <w:p w:rsidR="000D754A" w:rsidRPr="007571D8" w:rsidRDefault="000D754A" w:rsidP="002356A4">
            <w:pPr>
              <w:jc w:val="center"/>
              <w:rPr>
                <w:rFonts w:ascii="Garamond" w:hAnsi="Garamond"/>
                <w:sz w:val="24"/>
                <w:lang w:val="es-ES"/>
              </w:rPr>
            </w:pPr>
            <w:r w:rsidRPr="007571D8">
              <w:rPr>
                <w:rFonts w:ascii="Garamond" w:hAnsi="Garamond"/>
                <w:sz w:val="24"/>
                <w:lang w:val="es-ES"/>
              </w:rPr>
              <w:t>1.27e+09</w:t>
            </w:r>
          </w:p>
        </w:tc>
      </w:tr>
    </w:tbl>
    <w:p w:rsidR="000D754A" w:rsidRDefault="000D754A" w:rsidP="000D754A">
      <w:pPr>
        <w:spacing w:after="200" w:line="276" w:lineRule="auto"/>
        <w:jc w:val="left"/>
        <w:rPr>
          <w:rFonts w:ascii="Garamond" w:eastAsia="Calibri" w:hAnsi="Garamond" w:cs="Times New Roman"/>
          <w:b/>
          <w:sz w:val="24"/>
          <w:szCs w:val="24"/>
        </w:rPr>
      </w:pPr>
    </w:p>
    <w:p w:rsidR="000D754A" w:rsidRDefault="000D754A" w:rsidP="000D754A">
      <w:pPr>
        <w:rPr>
          <w:rFonts w:ascii="Garamond" w:eastAsia="Calibri" w:hAnsi="Garamond" w:cs="Times New Roman"/>
          <w:sz w:val="24"/>
          <w:szCs w:val="24"/>
        </w:rPr>
      </w:pPr>
      <w:r>
        <w:rPr>
          <w:rFonts w:ascii="Garamond" w:eastAsia="Calibri" w:hAnsi="Garamond" w:cs="Times New Roman"/>
          <w:b/>
          <w:sz w:val="24"/>
          <w:szCs w:val="24"/>
        </w:rPr>
        <w:t>Appendix 3</w:t>
      </w:r>
      <w:r w:rsidRPr="008E2B87">
        <w:rPr>
          <w:rFonts w:ascii="Garamond" w:eastAsia="Calibri" w:hAnsi="Garamond" w:cs="Times New Roman"/>
          <w:b/>
          <w:sz w:val="24"/>
          <w:szCs w:val="24"/>
        </w:rPr>
        <w:t xml:space="preserve">: </w:t>
      </w:r>
      <w:r w:rsidRPr="008E2B87">
        <w:rPr>
          <w:rFonts w:ascii="Garamond" w:eastAsia="Calibri" w:hAnsi="Garamond" w:cs="Times New Roman"/>
          <w:sz w:val="24"/>
          <w:szCs w:val="24"/>
        </w:rPr>
        <w:t xml:space="preserve">List of countries contained in the </w:t>
      </w:r>
      <w:r>
        <w:rPr>
          <w:rFonts w:ascii="Garamond" w:eastAsia="Calibri" w:hAnsi="Garamond" w:cs="Times New Roman"/>
          <w:sz w:val="24"/>
          <w:szCs w:val="24"/>
        </w:rPr>
        <w:t>full</w:t>
      </w:r>
      <w:r w:rsidRPr="008E2B87">
        <w:rPr>
          <w:rFonts w:ascii="Garamond" w:eastAsia="Calibri" w:hAnsi="Garamond" w:cs="Times New Roman"/>
          <w:sz w:val="24"/>
          <w:szCs w:val="24"/>
        </w:rPr>
        <w:t xml:space="preserve"> Sample</w:t>
      </w:r>
    </w:p>
    <w:p w:rsidR="000D754A" w:rsidRDefault="000D754A" w:rsidP="000D754A">
      <w:pPr>
        <w:jc w:val="left"/>
        <w:rPr>
          <w:rFonts w:ascii="Garamond" w:eastAsia="Calibri" w:hAnsi="Garamond" w:cs="Times New Roman"/>
          <w:sz w:val="24"/>
          <w:szCs w:val="24"/>
        </w:rPr>
      </w:pPr>
    </w:p>
    <w:tbl>
      <w:tblPr>
        <w:tblStyle w:val="TableGrid"/>
        <w:tblW w:w="0" w:type="auto"/>
        <w:tblLook w:val="04A0" w:firstRow="1" w:lastRow="0" w:firstColumn="1" w:lastColumn="0" w:noHBand="0" w:noVBand="1"/>
      </w:tblPr>
      <w:tblGrid>
        <w:gridCol w:w="1803"/>
        <w:gridCol w:w="1803"/>
        <w:gridCol w:w="1803"/>
        <w:gridCol w:w="1803"/>
        <w:gridCol w:w="1804"/>
      </w:tblGrid>
      <w:tr w:rsidR="000D754A" w:rsidRPr="00C55D54" w:rsidTr="002356A4">
        <w:tc>
          <w:tcPr>
            <w:tcW w:w="7212" w:type="dxa"/>
            <w:gridSpan w:val="4"/>
          </w:tcPr>
          <w:p w:rsidR="000D754A" w:rsidRPr="00C55D54" w:rsidRDefault="000D754A" w:rsidP="002356A4">
            <w:pPr>
              <w:jc w:val="center"/>
              <w:rPr>
                <w:rFonts w:ascii="Garamond" w:eastAsia="Calibri" w:hAnsi="Garamond" w:cs="Times New Roman"/>
                <w:b/>
                <w:sz w:val="24"/>
                <w:szCs w:val="24"/>
              </w:rPr>
            </w:pPr>
            <w:r w:rsidRPr="00C55D54">
              <w:rPr>
                <w:rFonts w:ascii="Garamond" w:eastAsia="Calibri" w:hAnsi="Garamond" w:cs="Times New Roman"/>
                <w:b/>
                <w:sz w:val="24"/>
                <w:szCs w:val="24"/>
              </w:rPr>
              <w:t>Full Sample</w:t>
            </w:r>
          </w:p>
        </w:tc>
        <w:tc>
          <w:tcPr>
            <w:tcW w:w="1804" w:type="dxa"/>
          </w:tcPr>
          <w:p w:rsidR="000D754A" w:rsidRPr="00C55D54" w:rsidRDefault="000D754A" w:rsidP="002356A4">
            <w:pPr>
              <w:jc w:val="center"/>
              <w:rPr>
                <w:rFonts w:ascii="Garamond" w:eastAsia="Calibri" w:hAnsi="Garamond" w:cs="Times New Roman"/>
                <w:b/>
                <w:sz w:val="24"/>
                <w:szCs w:val="24"/>
              </w:rPr>
            </w:pPr>
            <w:r>
              <w:rPr>
                <w:rFonts w:ascii="Garamond" w:eastAsia="Calibri" w:hAnsi="Garamond" w:cs="Times New Roman"/>
                <w:b/>
                <w:sz w:val="24"/>
                <w:szCs w:val="24"/>
              </w:rPr>
              <w:t>HICs</w:t>
            </w:r>
          </w:p>
        </w:tc>
      </w:tr>
      <w:tr w:rsidR="000D754A" w:rsidTr="002356A4">
        <w:tc>
          <w:tcPr>
            <w:tcW w:w="1803" w:type="dxa"/>
            <w:vAlign w:val="bottom"/>
          </w:tcPr>
          <w:p w:rsidR="000D754A" w:rsidRDefault="000D754A" w:rsidP="002356A4">
            <w:pPr>
              <w:jc w:val="center"/>
              <w:rPr>
                <w:rFonts w:ascii="Garamond" w:hAnsi="Garamond" w:cs="Calibri"/>
                <w:color w:val="000000"/>
                <w:sz w:val="24"/>
              </w:rPr>
            </w:pPr>
            <w:r>
              <w:rPr>
                <w:rFonts w:ascii="Garamond" w:hAnsi="Garamond" w:cs="Calibri"/>
                <w:color w:val="000000"/>
              </w:rPr>
              <w:t>Afghanistan</w:t>
            </w:r>
          </w:p>
        </w:tc>
        <w:tc>
          <w:tcPr>
            <w:tcW w:w="1803" w:type="dxa"/>
            <w:vAlign w:val="bottom"/>
          </w:tcPr>
          <w:p w:rsidR="000D754A" w:rsidRDefault="000D754A" w:rsidP="002356A4">
            <w:pPr>
              <w:jc w:val="center"/>
              <w:rPr>
                <w:rFonts w:ascii="Garamond" w:hAnsi="Garamond" w:cs="Calibri"/>
                <w:color w:val="000000"/>
                <w:sz w:val="24"/>
              </w:rPr>
            </w:pPr>
            <w:r>
              <w:rPr>
                <w:rFonts w:ascii="Garamond" w:hAnsi="Garamond" w:cs="Calibri"/>
                <w:color w:val="000000"/>
              </w:rPr>
              <w:t>Estonia</w:t>
            </w:r>
          </w:p>
        </w:tc>
        <w:tc>
          <w:tcPr>
            <w:tcW w:w="1803" w:type="dxa"/>
            <w:vAlign w:val="bottom"/>
          </w:tcPr>
          <w:p w:rsidR="000D754A" w:rsidRDefault="000D754A" w:rsidP="002356A4">
            <w:pPr>
              <w:jc w:val="center"/>
              <w:rPr>
                <w:rFonts w:ascii="Garamond" w:hAnsi="Garamond" w:cs="Calibri"/>
                <w:color w:val="000000"/>
                <w:sz w:val="24"/>
              </w:rPr>
            </w:pPr>
            <w:r>
              <w:rPr>
                <w:rFonts w:ascii="Garamond" w:hAnsi="Garamond" w:cs="Calibri"/>
                <w:color w:val="000000"/>
              </w:rPr>
              <w:t>Mali</w:t>
            </w:r>
          </w:p>
        </w:tc>
        <w:tc>
          <w:tcPr>
            <w:tcW w:w="1803" w:type="dxa"/>
            <w:vAlign w:val="bottom"/>
          </w:tcPr>
          <w:p w:rsidR="000D754A" w:rsidRDefault="000D754A" w:rsidP="002356A4">
            <w:pPr>
              <w:jc w:val="center"/>
              <w:rPr>
                <w:rFonts w:ascii="Garamond" w:hAnsi="Garamond" w:cs="Calibri"/>
                <w:color w:val="000000"/>
                <w:sz w:val="24"/>
              </w:rPr>
            </w:pPr>
            <w:r>
              <w:rPr>
                <w:rFonts w:ascii="Garamond" w:hAnsi="Garamond" w:cs="Calibri"/>
                <w:color w:val="000000"/>
              </w:rPr>
              <w:t>Sudan</w:t>
            </w:r>
          </w:p>
        </w:tc>
        <w:tc>
          <w:tcPr>
            <w:tcW w:w="1804" w:type="dxa"/>
            <w:vAlign w:val="bottom"/>
          </w:tcPr>
          <w:p w:rsidR="000D754A" w:rsidRDefault="000D754A" w:rsidP="002356A4">
            <w:pPr>
              <w:jc w:val="center"/>
              <w:rPr>
                <w:rFonts w:ascii="Garamond" w:hAnsi="Garamond" w:cs="Calibri"/>
                <w:color w:val="000000"/>
                <w:sz w:val="24"/>
              </w:rPr>
            </w:pPr>
            <w:r>
              <w:rPr>
                <w:rFonts w:ascii="Garamond" w:hAnsi="Garamond" w:cs="Calibri"/>
                <w:color w:val="000000"/>
              </w:rPr>
              <w:t>Australia</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Albania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Finland</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Mauritania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Swaziland</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Austria</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Algeria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France</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Mauritius</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Sweden</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Bahrain</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Angola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Gabon</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Mexico</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Switzerland</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Belgium</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Argentina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Gambia, The</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Moldova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Syria</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Canada</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Armenia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Georgia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Mongolia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Tajikistan</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Chile</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Australia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Germany</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Morocco</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Tanzania</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Croatia</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Austria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Ghana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Mozambique</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Thailand</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Cyprus</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Azerbaijan</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Greece</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Myanmar</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Togo</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Czech Republic</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Bahrain</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Guatemala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Namibia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Tunisia</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Denmark</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Bangladesh</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Guinea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Nepal</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Turkey</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Estonia</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Belarus</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Guinea-Bissau</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Netherlands</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Uganda</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Finland</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Belgium</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Guyana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New Zealand</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Ukraine</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France</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Benin</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Honduras</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Nicaragua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United States</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Germany</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Botswana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Hungary</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Niger</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Uruguay</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Greece</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Brazil</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India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Nigeria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Venezuela</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Hungary</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Bulgaria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Indonesia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Norway</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Zimbabwe</w:t>
            </w: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Ireland</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Burkina Faso</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Iran</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Oman</w:t>
            </w:r>
          </w:p>
        </w:tc>
        <w:tc>
          <w:tcPr>
            <w:tcW w:w="1803" w:type="dxa"/>
            <w:vAlign w:val="bottom"/>
          </w:tcPr>
          <w:p w:rsidR="000D754A" w:rsidRDefault="000D754A" w:rsidP="002356A4">
            <w:pPr>
              <w:jc w:val="center"/>
              <w:rPr>
                <w:rFonts w:ascii="Garamond" w:hAnsi="Garamond" w:cs="Calibri"/>
                <w:color w:val="000000"/>
                <w:sz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Israel</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Burundi</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Ireland</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Pakistan</w:t>
            </w:r>
          </w:p>
        </w:tc>
        <w:tc>
          <w:tcPr>
            <w:tcW w:w="1803" w:type="dxa"/>
            <w:vAlign w:val="bottom"/>
          </w:tcPr>
          <w:p w:rsidR="000D754A" w:rsidRDefault="000D754A" w:rsidP="002356A4">
            <w:pPr>
              <w:jc w:val="center"/>
              <w:rPr>
                <w:rFonts w:ascii="Garamond" w:hAnsi="Garamond" w:cs="Calibri"/>
                <w:color w:val="000000"/>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Italy</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Cabo Verde</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Israel</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Panama</w:t>
            </w:r>
          </w:p>
        </w:tc>
        <w:tc>
          <w:tcPr>
            <w:tcW w:w="1803" w:type="dxa"/>
            <w:vAlign w:val="bottom"/>
          </w:tcPr>
          <w:p w:rsidR="000D754A" w:rsidRDefault="000D754A" w:rsidP="002356A4">
            <w:pPr>
              <w:jc w:val="center"/>
              <w:rPr>
                <w:rFonts w:ascii="Garamond" w:hAnsi="Garamond" w:cs="Calibri"/>
                <w:color w:val="000000"/>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Japan</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Cameroon</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Italy</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Papua New Guinea</w:t>
            </w:r>
          </w:p>
        </w:tc>
        <w:tc>
          <w:tcPr>
            <w:tcW w:w="1803" w:type="dxa"/>
            <w:vAlign w:val="bottom"/>
          </w:tcPr>
          <w:p w:rsidR="000D754A" w:rsidRDefault="000D754A" w:rsidP="002356A4">
            <w:pPr>
              <w:jc w:val="center"/>
              <w:rPr>
                <w:rFonts w:ascii="Garamond" w:hAnsi="Garamond" w:cs="Calibri"/>
                <w:color w:val="000000"/>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Kuwait</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Canada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Jamaica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Paraguay</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Latvia</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Central African Republic</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Japan</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Peru</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Lithuania</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Chile</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Jordan</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Philippines</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Luxembourg</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Colombia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Kazakhstan</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Poland</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Netherlands</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Comoros</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Kenya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Portugal</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New Zealand</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Congo, Democratic Republic of the</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Kuwait</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Romania</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Norway</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Congo, Republic of</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Kyrgyz Republic</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Russia</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Oman</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Costa Rica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Lao P.D.R.</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Rwanda</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Poland</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Croatia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Latvia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Saudi Arabia</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Portugal</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Cyprus</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Lesotho</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Senegal</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Saudi Arabia</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Czech Republic</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Liberia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Serbia</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Slovak Republic</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lastRenderedPageBreak/>
              <w:t>Côte d'Ivoire</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Lithuania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Sierra Leone</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Slovenia</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Denmark</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Luxembourg</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Slovak Republic</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Spain</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Dominican Republic</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Macedonia, FYR</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Slovenia</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Sweden</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Ecuador</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Madagascar</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South Africa</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Switzerland</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Egypt</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Malawi</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Spain</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United States</w:t>
            </w:r>
          </w:p>
        </w:tc>
      </w:tr>
      <w:tr w:rsidR="000D754A" w:rsidTr="002356A4">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El Salvador</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Malaysia</w:t>
            </w:r>
          </w:p>
        </w:tc>
        <w:tc>
          <w:tcPr>
            <w:tcW w:w="1803" w:type="dxa"/>
            <w:vAlign w:val="bottom"/>
          </w:tcPr>
          <w:p w:rsidR="000D754A" w:rsidRDefault="000D754A" w:rsidP="002356A4">
            <w:pPr>
              <w:jc w:val="center"/>
              <w:rPr>
                <w:rFonts w:ascii="Garamond" w:hAnsi="Garamond" w:cs="Calibri"/>
                <w:color w:val="000000"/>
              </w:rPr>
            </w:pPr>
            <w:r>
              <w:rPr>
                <w:rFonts w:ascii="Garamond" w:hAnsi="Garamond" w:cs="Calibri"/>
                <w:color w:val="000000"/>
              </w:rPr>
              <w:t>Sri Lanka</w:t>
            </w:r>
          </w:p>
        </w:tc>
        <w:tc>
          <w:tcPr>
            <w:tcW w:w="1803" w:type="dxa"/>
          </w:tcPr>
          <w:p w:rsidR="000D754A" w:rsidRDefault="000D754A" w:rsidP="002356A4">
            <w:pPr>
              <w:jc w:val="left"/>
              <w:rPr>
                <w:rFonts w:ascii="Garamond" w:eastAsia="Calibri" w:hAnsi="Garamond" w:cs="Times New Roman"/>
                <w:sz w:val="24"/>
                <w:szCs w:val="24"/>
              </w:rPr>
            </w:pPr>
          </w:p>
        </w:tc>
        <w:tc>
          <w:tcPr>
            <w:tcW w:w="1804" w:type="dxa"/>
            <w:vAlign w:val="bottom"/>
          </w:tcPr>
          <w:p w:rsidR="000D754A" w:rsidRDefault="000D754A" w:rsidP="002356A4">
            <w:pPr>
              <w:jc w:val="center"/>
              <w:rPr>
                <w:rFonts w:ascii="Garamond" w:hAnsi="Garamond" w:cs="Calibri"/>
                <w:color w:val="000000"/>
              </w:rPr>
            </w:pPr>
            <w:r>
              <w:rPr>
                <w:rFonts w:ascii="Garamond" w:hAnsi="Garamond" w:cs="Calibri"/>
                <w:color w:val="000000"/>
              </w:rPr>
              <w:t>Uruguay</w:t>
            </w:r>
          </w:p>
        </w:tc>
      </w:tr>
    </w:tbl>
    <w:p w:rsidR="000D754A" w:rsidRDefault="000D754A" w:rsidP="000D754A">
      <w:pPr>
        <w:jc w:val="left"/>
        <w:rPr>
          <w:rFonts w:ascii="Garamond" w:eastAsia="Calibri" w:hAnsi="Garamond" w:cs="Times New Roman"/>
          <w:sz w:val="24"/>
          <w:szCs w:val="24"/>
        </w:rPr>
      </w:pPr>
    </w:p>
    <w:p w:rsidR="000B5173" w:rsidRDefault="000B5173">
      <w:bookmarkStart w:id="0" w:name="_GoBack"/>
      <w:bookmarkEnd w:id="0"/>
    </w:p>
    <w:sectPr w:rsidR="000B5173" w:rsidSect="00986F95">
      <w:pgSz w:w="11906" w:h="16838" w:code="9"/>
      <w:pgMar w:top="1701"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dvP6975">
    <w:altName w:val="Cambria"/>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754A"/>
    <w:rsid w:val="000B5173"/>
    <w:rsid w:val="000D754A"/>
    <w:rsid w:val="003D07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F80C96-5C1A-4143-8111-127CAFC08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754A"/>
    <w:pPr>
      <w:spacing w:after="0" w:line="240" w:lineRule="auto"/>
      <w:jc w:val="both"/>
    </w:pPr>
    <w:rPr>
      <w:rFonts w:ascii="Verdana" w:hAnsi="Verdana"/>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D754A"/>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
    <w:unhideWhenUsed/>
    <w:rsid w:val="000D75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ata.imf.org/?sk=07109577-E65D-4CE1-BB21-0CB3098FC504" TargetMode="External"/><Relationship Id="rId4" Type="http://schemas.openxmlformats.org/officeDocument/2006/relationships/hyperlink" Target="https://data.imf.org/?sk=07109577-E65D-4CE1-BB21-0CB3098FC5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1169</Words>
  <Characters>6668</Characters>
  <Application>Microsoft Office Word</Application>
  <DocSecurity>0</DocSecurity>
  <Lines>55</Lines>
  <Paragraphs>15</Paragraphs>
  <ScaleCrop>false</ScaleCrop>
  <Company/>
  <LinksUpToDate>false</LinksUpToDate>
  <CharactersWithSpaces>7822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Managed Support</dc:creator>
  <cp:keywords/>
  <dc:description/>
  <cp:lastModifiedBy>ACS Managed Support</cp:lastModifiedBy>
  <cp:revision>1</cp:revision>
  <dcterms:created xsi:type="dcterms:W3CDTF">2020-03-04T21:03:00Z</dcterms:created>
  <dcterms:modified xsi:type="dcterms:W3CDTF">2020-03-04T21:03:00Z</dcterms:modified>
</cp:coreProperties>
</file>