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>T</w:t>
      </w:r>
      <w:r>
        <w:rPr>
          <w:rFonts w:hint="eastAsia" w:ascii="Times New Roman" w:hAnsi="Times New Roman"/>
          <w:b/>
          <w:bCs/>
          <w:sz w:val="28"/>
          <w:szCs w:val="28"/>
        </w:rPr>
        <w:t>he aging behavior of biochar and its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/>
          <w:b/>
          <w:bCs/>
          <w:sz w:val="28"/>
          <w:szCs w:val="28"/>
        </w:rPr>
        <w:t>immobilizing</w:t>
      </w:r>
      <w:r>
        <w:rPr>
          <w:rFonts w:ascii="Times New Roman" w:hAnsi="Times New Roman"/>
          <w:b/>
          <w:bCs/>
          <w:sz w:val="28"/>
          <w:szCs w:val="28"/>
        </w:rPr>
        <w:t xml:space="preserve"> ability to </w:t>
      </w:r>
      <w:r>
        <w:rPr>
          <w:rFonts w:hint="eastAsia" w:ascii="Times New Roman" w:hAnsi="Times New Roman"/>
          <w:b/>
          <w:bCs/>
          <w:sz w:val="28"/>
          <w:szCs w:val="28"/>
        </w:rPr>
        <w:t>heavy metal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hint="eastAsia"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in</w:t>
      </w:r>
      <w:r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8"/>
          <w:szCs w:val="28"/>
          <w:highlight w:val="none"/>
        </w:rPr>
        <w:t>rhizosphere</w:t>
      </w:r>
    </w:p>
    <w:p>
      <w:pPr>
        <w:pStyle w:val="4"/>
        <w:widowControl/>
        <w:spacing w:before="312" w:beforeLines="100" w:after="312" w:afterLines="100" w:line="400" w:lineRule="exact"/>
        <w:jc w:val="center"/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Jie Wang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Lulu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Zha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Xiyang Zhang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, Yuting Pan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 xml:space="preserve">, Long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Zh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ang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Zhenguo Shen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ab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Yahua Chen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abc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>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 College of Life Sciences, Nanjing Agricultural University, Nanjing 210095,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11" w:hanging="210" w:hangingChars="10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b Jiangsu Collaborative Innovation Center for Solid Organic Waste Resource, Nanjing Agricultural University, Nanjing 210095,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11" w:hanging="210" w:hangingChars="10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c National Joint Local Engineering Research Center for Rural Land Resources Use and Consolidation, Nanjing Agricultural University, Nanjing 210095,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Corresponding author: Yahua Chen; E-mail: yahuachen@njau.edu.cn;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Tel: +86-25-84396391; Fax: +86-25-84396542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Formula</w:t>
      </w: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Eq.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50,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biochar </w:t>
      </w:r>
      <w:r>
        <w:rPr>
          <w:rFonts w:hint="eastAsia"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bookmarkStart w:id="0" w:name="_Hlk74386441"/>
      <w:r>
        <w:rPr>
          <w:rFonts w:ascii="Times New Roman" w:hAnsi="Times New Roman" w:cs="Times New Roman"/>
          <w:sz w:val="24"/>
          <w:szCs w:val="24"/>
          <w:vertAlign w:val="subscript"/>
        </w:rPr>
        <w:t>50, biochar</w:t>
      </w:r>
      <w:bookmarkEnd w:id="0"/>
      <w:r>
        <w:rPr>
          <w:rFonts w:hint="eastAsia" w:ascii="Times New Roman" w:hAnsi="Times New Roman" w:cs="Times New Roman"/>
          <w:sz w:val="24"/>
          <w:szCs w:val="24"/>
        </w:rPr>
        <w:t xml:space="preserve"> /</w:t>
      </w:r>
      <w:bookmarkStart w:id="1" w:name="_Hlk74386657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50, graphite</w:t>
      </w:r>
      <w:bookmarkEnd w:id="1"/>
      <w:r>
        <w:rPr>
          <w:rFonts w:hint="eastAsia" w:ascii="Times New Roman" w:hAnsi="Times New Roman" w:cs="Times New Roman"/>
          <w:sz w:val="24"/>
          <w:szCs w:val="24"/>
        </w:rPr>
        <w:t>×1</w:t>
      </w:r>
      <w:r>
        <w:rPr>
          <w:rFonts w:ascii="Times New Roman" w:hAnsi="Times New Roman" w:cs="Times New Roman"/>
          <w:sz w:val="24"/>
          <w:szCs w:val="24"/>
        </w:rPr>
        <w:t>00%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where T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50, biochar</w:t>
      </w:r>
      <w:r>
        <w:rPr>
          <w:rFonts w:ascii="Times New Roman" w:hAnsi="Times New Roman" w:cs="Times New Roman"/>
          <w:sz w:val="24"/>
          <w:szCs w:val="24"/>
        </w:rPr>
        <w:t xml:space="preserve"> and T 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50, graphite</w:t>
      </w:r>
      <w:r>
        <w:rPr>
          <w:rFonts w:ascii="Times New Roman" w:hAnsi="Times New Roman" w:cs="Times New Roman"/>
          <w:sz w:val="24"/>
          <w:szCs w:val="24"/>
        </w:rPr>
        <w:t xml:space="preserve"> are the temperature values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corresponding to 50% weight loss by oxidation of biochar and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graphite, respectively (Harvey et al., 2012).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50, graphite</w:t>
      </w:r>
      <w:r>
        <w:rPr>
          <w:rFonts w:ascii="Times New Roman" w:hAnsi="Times New Roman" w:cs="Times New Roman"/>
          <w:sz w:val="24"/>
          <w:szCs w:val="24"/>
        </w:rPr>
        <w:t xml:space="preserve"> is 844</w:t>
      </w:r>
      <w:r>
        <w:rPr>
          <w:rFonts w:hint="default" w:ascii="Times New Roman" w:hAnsi="Times New Roman" w:cs="Times New Roman"/>
          <w:sz w:val="24"/>
          <w:szCs w:val="24"/>
        </w:rPr>
        <w:t>℃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hint="eastAsia"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2016)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Langmuir model was used to describe the isotherms: Ce / Qe= Ce / </w:t>
      </w:r>
      <w:r>
        <w:rPr>
          <w:rFonts w:hint="eastAsia" w:ascii="Times New Roman" w:hAnsi="Times New Roman" w:cs="Times New Roman"/>
          <w:sz w:val="24"/>
          <w:szCs w:val="24"/>
        </w:rPr>
        <w:t>Q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+1 </w:t>
      </w:r>
      <w:r>
        <w:rPr>
          <w:rFonts w:hint="eastAsia"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</w:rPr>
        <w:t>) Eq.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where Ce and Qe are the same above, Qmax (mg/g) is the max adsorption per gram of biochar,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(min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 are the rate constants of Langmuir sorption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isotherm model (Quan et al., 2020).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eferences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hanging="420" w:hangingChars="2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Harvey, O. R., Kuo, L. J., Zimmerman, A. R., Louchouarn, P.,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Amonette, J. E., Herbert, B. E., 2012. An index-based approach to assessing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recalcitrance and soil carbon sequestration potential of engineered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black carbons (biochars). Environ. Sci. Technol. 46 (3), 1415−1421.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hanging="420" w:hangingChars="2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F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, Zhao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L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, Gao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B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</w:rPr>
        <w:t>Xue, X., Cao, X., 2016.</w:t>
      </w:r>
      <w:r>
        <w:rPr>
          <w:rFonts w:ascii="Times New Roman" w:hAnsi="Times New Roman" w:cs="Times New Roman"/>
        </w:rPr>
        <w:t xml:space="preserve"> The interfacial behavior between biochar and soil minerals and its effect on biochar stability. Environ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Sci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Techn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50(5): 2264-2271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hanging="420" w:hangingChars="2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Quan, G., Fan, Q., Cui, L., Zimmerman, A.R., Wang, H., Zhu, Z., Gao, B.,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Wu, L., Yan, J., 2020. Simulated photocatalytic aging of biochar in soil ecosystem: Insight into organic carbon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release, surface physicochemical properties and cadmium sorption, Environ. Res. 183, 109241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Figure</w:t>
      </w:r>
    </w:p>
    <w:p>
      <w:pPr>
        <w:ind w:leftChars="200"/>
        <w:jc w:val="center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jc w:val="center"/>
      </w:pPr>
    </w:p>
    <w:p>
      <w:pPr>
        <w:bidi w:val="0"/>
      </w:pPr>
      <w:r>
        <w:drawing>
          <wp:inline distT="0" distB="0" distL="114300" distR="114300">
            <wp:extent cx="4797425" cy="1963420"/>
            <wp:effectExtent l="0" t="0" r="317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742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Fig.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N2 adsorption-desorption isotherms of </w:t>
      </w:r>
      <w:r>
        <w:rPr>
          <w:rFonts w:hint="eastAsia" w:ascii="Times New Roman" w:hAnsi="Times New Roman" w:cs="Times New Roman"/>
          <w:sz w:val="21"/>
          <w:szCs w:val="21"/>
        </w:rPr>
        <w:t>RH BC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(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eastAsia" w:ascii="Times New Roman" w:hAnsi="Times New Roman" w:cs="Times New Roman"/>
          <w:sz w:val="21"/>
          <w:szCs w:val="21"/>
        </w:rPr>
        <w:t>) and Sl BC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(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</w:t>
      </w:r>
      <w:r>
        <w:rPr>
          <w:rFonts w:hint="eastAsia"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</w:rPr>
        <w:t xml:space="preserve"> before and after </w:t>
      </w:r>
      <w:r>
        <w:rPr>
          <w:rFonts w:hint="eastAsia" w:ascii="Times New Roman" w:hAnsi="Times New Roman" w:cs="Times New Roman"/>
          <w:sz w:val="21"/>
          <w:szCs w:val="21"/>
        </w:rPr>
        <w:t xml:space="preserve">aging. N-RA: aging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1"/>
          <w:szCs w:val="21"/>
        </w:rPr>
        <w:t xml:space="preserve">non-rhizosphere; RA: aging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1"/>
          <w:szCs w:val="21"/>
        </w:rPr>
        <w:t>rhizosphere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RH BC: rice husk biochar; Sl RH: sludge biochar.</w:t>
      </w:r>
    </w:p>
    <w:p>
      <w:pPr>
        <w:bidi w:val="0"/>
        <w:rPr>
          <w:rFonts w:hint="default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drawing>
          <wp:inline distT="0" distB="0" distL="0" distR="0">
            <wp:extent cx="2884805" cy="1619885"/>
            <wp:effectExtent l="0" t="0" r="10795" b="1079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Fig.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 xml:space="preserve"> Effect of wheat root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sz w:val="21"/>
          <w:szCs w:val="21"/>
        </w:rPr>
        <w:t xml:space="preserve"> and biochar on water dissolved nitrogen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1"/>
          <w:szCs w:val="21"/>
        </w:rPr>
        <w:t>The lower-case letters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represent significant differences among treatments (p &lt; 0.05). Error bars represent standard error (SE)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 RH BC: rice husk biochar; Sl BC: sludge biochar; Bulk soil: non-planting of wheat; Rhizosphere soil: planting of wheat (Simulated rhizosphere soil)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drawing>
          <wp:inline distT="0" distB="0" distL="114300" distR="114300">
            <wp:extent cx="4448810" cy="2773045"/>
            <wp:effectExtent l="0" t="0" r="1270" b="63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</w:rPr>
        <w:t>Fig.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3</w:t>
      </w:r>
      <w:bookmarkStart w:id="2" w:name="_GoBack"/>
      <w:bookmarkEnd w:id="2"/>
      <w:r>
        <w:rPr>
          <w:rFonts w:hint="eastAsia" w:ascii="Times New Roman" w:hAnsi="Times New Roman" w:cs="Times New Roman"/>
          <w:sz w:val="21"/>
          <w:szCs w:val="21"/>
        </w:rPr>
        <w:t xml:space="preserve"> The dry mass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(A), Cd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(B), Pb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(C) and Zn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 xml:space="preserve">(D) concentration of wheat in the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eastAsia" w:ascii="Times New Roman" w:hAnsi="Times New Roman" w:cs="Times New Roman"/>
          <w:sz w:val="21"/>
          <w:szCs w:val="21"/>
        </w:rPr>
        <w:t>ifferent treatment treatments.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The lower-case letters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represent significant differences among treatments (p &lt; 0.05). Error bars represent standard error (SE)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. RH BC: rice husk biochar; Sl BC: sludge biochar.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 xml:space="preserve">Table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Table S1 The R</w:t>
      </w:r>
      <w:r>
        <w:rPr>
          <w:rFonts w:hint="eastAsia" w:ascii="Times New Roman" w:hAnsi="Times New Roman" w:cs="Times New Roman"/>
          <w:szCs w:val="21"/>
          <w:vertAlign w:val="subscript"/>
        </w:rPr>
        <w:t>50</w:t>
      </w:r>
      <w:r>
        <w:rPr>
          <w:rFonts w:hint="eastAsia" w:ascii="Times New Roman" w:hAnsi="Times New Roman" w:cs="Times New Roman"/>
          <w:szCs w:val="21"/>
        </w:rPr>
        <w:t xml:space="preserve">% of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pristine and aged </w:t>
      </w:r>
      <w:r>
        <w:rPr>
          <w:rFonts w:hint="eastAsia" w:ascii="Times New Roman" w:hAnsi="Times New Roman" w:cs="Times New Roman"/>
          <w:szCs w:val="21"/>
        </w:rPr>
        <w:t>biochar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017"/>
        <w:gridCol w:w="1856"/>
        <w:gridCol w:w="9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821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  <w:r>
              <w:rPr>
                <w:rFonts w:hint="eastAsia" w:ascii="Times New Roman" w:hAnsi="Times New Roman" w:cs="Times New Roman"/>
                <w:szCs w:val="21"/>
              </w:rPr>
              <w:t>s</w:t>
            </w:r>
          </w:p>
        </w:tc>
        <w:tc>
          <w:tcPr>
            <w:tcW w:w="1017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50</w:t>
            </w:r>
            <w:r>
              <w:rPr>
                <w:rFonts w:hint="eastAsia" w:ascii="Times New Roman" w:hAnsi="Times New Roman" w:cs="Times New Roman"/>
                <w:szCs w:val="21"/>
              </w:rPr>
              <w:t>%</w:t>
            </w:r>
          </w:p>
        </w:tc>
        <w:tc>
          <w:tcPr>
            <w:tcW w:w="1856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  <w:r>
              <w:rPr>
                <w:rFonts w:hint="eastAsia" w:ascii="Times New Roman" w:hAnsi="Times New Roman" w:cs="Times New Roman"/>
                <w:szCs w:val="21"/>
              </w:rPr>
              <w:t>s</w:t>
            </w:r>
          </w:p>
        </w:tc>
        <w:tc>
          <w:tcPr>
            <w:tcW w:w="98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50</w:t>
            </w:r>
            <w:r>
              <w:rPr>
                <w:rFonts w:hint="eastAsia" w:ascii="Times New Roman" w:hAnsi="Times New Roman" w:cs="Times New Roman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821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Pristine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Sl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BC</w:t>
            </w:r>
          </w:p>
        </w:tc>
        <w:tc>
          <w:tcPr>
            <w:tcW w:w="1017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53.8</w:t>
            </w:r>
          </w:p>
        </w:tc>
        <w:tc>
          <w:tcPr>
            <w:tcW w:w="1856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Pristine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RH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BC </w:t>
            </w:r>
          </w:p>
        </w:tc>
        <w:tc>
          <w:tcPr>
            <w:tcW w:w="98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82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N-RA Sl BC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54.2</w:t>
            </w:r>
          </w:p>
        </w:tc>
        <w:tc>
          <w:tcPr>
            <w:tcW w:w="185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N-RA </w:t>
            </w:r>
            <w:r>
              <w:rPr>
                <w:rFonts w:ascii="Times New Roman" w:hAnsi="Times New Roman" w:cs="Times New Roman"/>
                <w:szCs w:val="21"/>
              </w:rPr>
              <w:t>RH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BC</w:t>
            </w:r>
          </w:p>
        </w:tc>
        <w:tc>
          <w:tcPr>
            <w:tcW w:w="982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82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RA-Sl BC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52.8</w:t>
            </w:r>
          </w:p>
        </w:tc>
        <w:tc>
          <w:tcPr>
            <w:tcW w:w="185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RA </w:t>
            </w:r>
            <w:r>
              <w:rPr>
                <w:rFonts w:ascii="Times New Roman" w:hAnsi="Times New Roman" w:cs="Times New Roman"/>
                <w:szCs w:val="21"/>
              </w:rPr>
              <w:t>RH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BC</w:t>
            </w:r>
          </w:p>
        </w:tc>
        <w:tc>
          <w:tcPr>
            <w:tcW w:w="982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64.6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Note: </w:t>
      </w:r>
      <w:r>
        <w:rPr>
          <w:rFonts w:hint="eastAsia" w:ascii="Times New Roman" w:hAnsi="Times New Roman" w:cs="Times New Roman"/>
          <w:sz w:val="21"/>
          <w:szCs w:val="21"/>
        </w:rPr>
        <w:t xml:space="preserve">N-RA: aging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1"/>
          <w:szCs w:val="21"/>
        </w:rPr>
        <w:t xml:space="preserve">non-rhizosphere; RA: aging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1"/>
          <w:szCs w:val="21"/>
        </w:rPr>
        <w:t>rhizosphere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RH BC: rice husk biochar; Sl BC: sludge biochar.</w:t>
      </w:r>
    </w:p>
    <w:tbl>
      <w:tblPr>
        <w:tblStyle w:val="6"/>
        <w:tblpPr w:leftFromText="180" w:rightFromText="180" w:vertAnchor="text" w:horzAnchor="page" w:tblpXSpec="center" w:tblpY="415"/>
        <w:tblOverlap w:val="never"/>
        <w:tblW w:w="7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249"/>
        <w:gridCol w:w="1066"/>
        <w:gridCol w:w="723"/>
        <w:gridCol w:w="1259"/>
        <w:gridCol w:w="1143"/>
        <w:gridCol w:w="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35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Biochar sample</w:t>
            </w:r>
          </w:p>
        </w:tc>
        <w:tc>
          <w:tcPr>
            <w:tcW w:w="303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Cd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2+</w:t>
            </w:r>
          </w:p>
        </w:tc>
        <w:tc>
          <w:tcPr>
            <w:tcW w:w="311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Pb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2+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535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4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 xml:space="preserve">max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(mg/g)</w:t>
            </w:r>
          </w:p>
        </w:tc>
        <w:tc>
          <w:tcPr>
            <w:tcW w:w="106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K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subscript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(L/mg)</w:t>
            </w:r>
          </w:p>
        </w:tc>
        <w:tc>
          <w:tcPr>
            <w:tcW w:w="72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2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 xml:space="preserve">max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(mg/g)</w:t>
            </w:r>
          </w:p>
        </w:tc>
        <w:tc>
          <w:tcPr>
            <w:tcW w:w="11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subscript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K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subscript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(L/mg)</w:t>
            </w:r>
          </w:p>
        </w:tc>
        <w:tc>
          <w:tcPr>
            <w:tcW w:w="7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53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Pristine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RH BC</w:t>
            </w:r>
          </w:p>
        </w:tc>
        <w:tc>
          <w:tcPr>
            <w:tcW w:w="124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9.87</w:t>
            </w:r>
          </w:p>
        </w:tc>
        <w:tc>
          <w:tcPr>
            <w:tcW w:w="1066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0.032</w:t>
            </w:r>
          </w:p>
        </w:tc>
        <w:tc>
          <w:tcPr>
            <w:tcW w:w="72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0.986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45.7</w:t>
            </w:r>
          </w:p>
        </w:tc>
        <w:tc>
          <w:tcPr>
            <w:tcW w:w="114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0.006</w:t>
            </w:r>
          </w:p>
        </w:tc>
        <w:tc>
          <w:tcPr>
            <w:tcW w:w="71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N-RA RH BC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9.11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0.037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0.971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75.7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RA-RH BC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14.43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0.986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140.0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Pristine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Sl BC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57.8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N-RA Sl BC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0.031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57.3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RA Sl BC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26.1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0.010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140.4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Table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</w:rPr>
        <w:t xml:space="preserve"> Parameters for Langmuir modelling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</w:rPr>
        <w:t xml:space="preserve">N-RA: aging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1"/>
          <w:szCs w:val="21"/>
        </w:rPr>
        <w:t xml:space="preserve">non-rhizosphere; RA: aging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1"/>
          <w:szCs w:val="21"/>
        </w:rPr>
        <w:t>rhizosphere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RH BC: rice husk biochar; Sl BC: sludge biochar.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E3FBA0"/>
    <w:multiLevelType w:val="singleLevel"/>
    <w:tmpl w:val="51E3FBA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E4FA47B"/>
    <w:multiLevelType w:val="multilevel"/>
    <w:tmpl w:val="5E4FA47B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140D3"/>
    <w:rsid w:val="00165E20"/>
    <w:rsid w:val="003859EA"/>
    <w:rsid w:val="00674024"/>
    <w:rsid w:val="006A59D0"/>
    <w:rsid w:val="009764A1"/>
    <w:rsid w:val="009B1DC3"/>
    <w:rsid w:val="00C01FCF"/>
    <w:rsid w:val="00C27FC8"/>
    <w:rsid w:val="00CA7078"/>
    <w:rsid w:val="00E205A3"/>
    <w:rsid w:val="00F60245"/>
    <w:rsid w:val="00FC1048"/>
    <w:rsid w:val="02B0072E"/>
    <w:rsid w:val="08171CB5"/>
    <w:rsid w:val="0CDB01E7"/>
    <w:rsid w:val="13BF12B2"/>
    <w:rsid w:val="16693E00"/>
    <w:rsid w:val="1C7F23EA"/>
    <w:rsid w:val="20AE620F"/>
    <w:rsid w:val="24620609"/>
    <w:rsid w:val="260E2A8A"/>
    <w:rsid w:val="296C21E8"/>
    <w:rsid w:val="2BCD3AE4"/>
    <w:rsid w:val="300F4F77"/>
    <w:rsid w:val="323720CF"/>
    <w:rsid w:val="32FE7CD0"/>
    <w:rsid w:val="37332E9E"/>
    <w:rsid w:val="46CD6192"/>
    <w:rsid w:val="54073105"/>
    <w:rsid w:val="5C822A45"/>
    <w:rsid w:val="605A3D8D"/>
    <w:rsid w:val="60E63CC5"/>
    <w:rsid w:val="642A111D"/>
    <w:rsid w:val="6C76615F"/>
    <w:rsid w:val="6D8140D3"/>
    <w:rsid w:val="78184BE4"/>
    <w:rsid w:val="7D38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laceholder Text"/>
    <w:basedOn w:val="7"/>
    <w:semiHidden/>
    <w:qFormat/>
    <w:uiPriority w:val="99"/>
    <w:rPr>
      <w:color w:val="808080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615</Words>
  <Characters>3216</Characters>
  <Lines>17</Lines>
  <Paragraphs>5</Paragraphs>
  <TotalTime>0</TotalTime>
  <ScaleCrop>false</ScaleCrop>
  <LinksUpToDate>false</LinksUpToDate>
  <CharactersWithSpaces>3740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2021-02-27T12:47:00Z</dcterms:created>
  <dc:creator>王杰</dc:creator>
  <cp:lastModifiedBy>Wj</cp:lastModifiedBy>
  <dcterms:modified xsi:type="dcterms:W3CDTF">2022-04-25T04:47:06Z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351354F365004210A1BD0C9AB7F9F421</vt:lpwstr>
  </property>
  <property fmtid="{D5CDD505-2E9C-101B-9397-08002B2CF9AE}" pid="4" name="commondata">
    <vt:lpwstr>eyJoZGlkIjoiMTZlYzgwMjI3YzU3ZmIzZGFkMWEyMGY4NjY5MGViOWYifQ==</vt:lpwstr>
  </property>
</Properties>
</file>