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9.png" ContentType="image/png"/>
  <Override PartName="/word/media/image13.png" ContentType="image/png"/>
  <Override PartName="/word/media/image8.png" ContentType="image/png"/>
  <Override PartName="/word/media/image12.png" ContentType="image/png"/>
  <Override PartName="/word/media/image7.png" ContentType="image/png"/>
  <Override PartName="/word/media/image11.png" ContentType="image/png"/>
  <Override PartName="/word/media/image6.png" ContentType="image/png"/>
  <Override PartName="/word/media/image10.png" ContentType="image/png"/>
  <Override PartName="/word/media/image5.png" ContentType="image/png"/>
  <Override PartName="/word/media/image22.wmf" ContentType="image/x-wmf"/>
  <Override PartName="/word/media/image4.png" ContentType="image/png"/>
  <Override PartName="/word/media/image21.png" ContentType="image/png"/>
  <Override PartName="/word/media/image19.png" ContentType="image/png"/>
  <Override PartName="/word/media/image1.png" ContentType="image/png"/>
  <Override PartName="/word/media/image3.png" ContentType="image/png"/>
  <Override PartName="/word/media/image20.png" ContentType="image/png"/>
  <Override PartName="/word/media/image18.png" ContentType="image/png"/>
  <Override PartName="/word/media/image17.png" ContentType="image/png"/>
  <Override PartName="/word/media/image16.png" ContentType="image/png"/>
  <Override PartName="/word/media/image15.png" ContentType="image/png"/>
  <Override PartName="/word/media/image14.png" ContentType="image/png"/>
  <Override PartName="/word/media/image2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8"/>
          <w:szCs w:val="28"/>
          <w:lang w:val="en-US" w:eastAsia="en-US" w:bidi="ar-SA"/>
        </w:rPr>
        <w:t>Methane hydrate nuclei in dynamic network of hydrogen bonds of supersaturated solution outside the region of hydrate stability: molecualar dynamics study</w:t>
      </w:r>
    </w:p>
    <w:p>
      <w:pPr>
        <w:pStyle w:val="Normal"/>
        <w:rPr>
          <w:rFonts w:ascii="Times New Roman" w:hAnsi="Times New Roman" w:eastAsia="Calibri" w:cs="Times New Roman"/>
          <w:b/>
          <w:b/>
          <w:bCs/>
          <w:color w:val="auto"/>
          <w:kern w:val="0"/>
          <w:sz w:val="22"/>
          <w:szCs w:val="22"/>
          <w:lang w:val="en-US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2"/>
          <w:szCs w:val="22"/>
          <w:lang w:val="en-US" w:eastAsia="en-US" w:bidi="ar-SA"/>
        </w:rPr>
      </w:r>
    </w:p>
    <w:p>
      <w:pPr>
        <w:pStyle w:val="Normal"/>
        <w:bidi w:val="0"/>
        <w:spacing w:lineRule="auto" w:line="360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b w:val="false"/>
          <w:bCs w:val="false"/>
          <w:color w:val="000000"/>
          <w:position w:val="0"/>
          <w:sz w:val="22"/>
          <w:sz w:val="22"/>
          <w:szCs w:val="22"/>
          <w:vertAlign w:val="baseline"/>
          <w:lang w:val="en-US"/>
        </w:rPr>
        <w:t>Vladimir R. Belosludov</w:t>
      </w:r>
      <w:r>
        <w:rPr>
          <w:rFonts w:cs="Times New Roman" w:ascii="Times New Roman" w:hAnsi="Times New Roman"/>
          <w:b w:val="false"/>
          <w:bCs w:val="false"/>
          <w:color w:val="auto"/>
          <w:sz w:val="22"/>
          <w:szCs w:val="22"/>
          <w:vertAlign w:val="superscript"/>
          <w:lang w:val="en-US"/>
        </w:rPr>
        <w:t>a,b</w:t>
      </w:r>
      <w:r>
        <w:rPr>
          <w:rFonts w:cs="Times New Roman" w:ascii="Times New Roman" w:hAnsi="Times New Roman"/>
          <w:b w:val="false"/>
          <w:bCs w:val="false"/>
          <w:color w:val="000000"/>
          <w:position w:val="0"/>
          <w:sz w:val="22"/>
          <w:sz w:val="22"/>
          <w:szCs w:val="22"/>
          <w:vertAlign w:val="baseline"/>
          <w:lang w:val="en-US"/>
        </w:rPr>
        <w:t>, Kirill V. Gets</w:t>
      </w:r>
      <w:r>
        <w:rPr>
          <w:rFonts w:cs="Times New Roman" w:ascii="Times New Roman" w:hAnsi="Times New Roman"/>
          <w:b w:val="false"/>
          <w:bCs w:val="false"/>
          <w:color w:val="auto"/>
          <w:sz w:val="22"/>
          <w:szCs w:val="22"/>
          <w:vertAlign w:val="superscript"/>
          <w:lang w:val="en-US"/>
        </w:rPr>
        <w:t>a,b,</w:t>
      </w:r>
      <w:r>
        <w:rPr>
          <w:rFonts w:cs="Times New Roman" w:ascii="Times New Roman" w:hAnsi="Times New Roman"/>
          <w:b w:val="false"/>
          <w:bCs w:val="false"/>
          <w:color w:val="auto"/>
          <w:position w:val="0"/>
          <w:sz w:val="22"/>
          <w:sz w:val="22"/>
          <w:szCs w:val="22"/>
          <w:vertAlign w:val="baseline"/>
          <w:lang w:val="en-US"/>
        </w:rPr>
        <w:t>*</w:t>
      </w:r>
      <w:r>
        <w:rPr>
          <w:rFonts w:cs="Times New Roman" w:ascii="Times New Roman" w:hAnsi="Times New Roman"/>
          <w:b w:val="false"/>
          <w:bCs w:val="false"/>
          <w:color w:val="000000"/>
          <w:position w:val="0"/>
          <w:sz w:val="22"/>
          <w:sz w:val="22"/>
          <w:szCs w:val="22"/>
          <w:vertAlign w:val="baseline"/>
          <w:lang w:val="en-US"/>
        </w:rPr>
        <w:t>, Ravil K. Zhdanov</w:t>
      </w:r>
      <w:r>
        <w:rPr>
          <w:rFonts w:cs="Times New Roman" w:ascii="Times New Roman" w:hAnsi="Times New Roman"/>
          <w:b w:val="false"/>
          <w:bCs w:val="false"/>
          <w:color w:val="auto"/>
          <w:sz w:val="22"/>
          <w:szCs w:val="22"/>
          <w:vertAlign w:val="superscript"/>
          <w:lang w:val="en-US"/>
        </w:rPr>
        <w:t>a,b</w:t>
      </w:r>
      <w:r>
        <w:rPr>
          <w:rFonts w:cs="Times New Roman" w:ascii="Times New Roman" w:hAnsi="Times New Roman"/>
          <w:b w:val="false"/>
          <w:bCs w:val="false"/>
          <w:color w:val="000000"/>
          <w:position w:val="0"/>
          <w:sz w:val="22"/>
          <w:sz w:val="22"/>
          <w:szCs w:val="22"/>
          <w:vertAlign w:val="baseline"/>
          <w:lang w:val="en-US"/>
        </w:rPr>
        <w:t>, Yulia Yu. Bozhko</w:t>
      </w:r>
      <w:r>
        <w:rPr>
          <w:rFonts w:cs="Times New Roman" w:ascii="Times New Roman" w:hAnsi="Times New Roman"/>
          <w:b w:val="false"/>
          <w:bCs w:val="false"/>
          <w:color w:val="auto"/>
          <w:sz w:val="22"/>
          <w:szCs w:val="22"/>
          <w:vertAlign w:val="superscript"/>
          <w:lang w:val="en-US"/>
        </w:rPr>
        <w:t>a,b</w:t>
      </w:r>
      <w:r>
        <w:rPr>
          <w:rFonts w:cs="Times New Roman" w:ascii="Times New Roman" w:hAnsi="Times New Roman"/>
          <w:b w:val="false"/>
          <w:bCs w:val="false"/>
          <w:color w:val="000000"/>
          <w:position w:val="0"/>
          <w:sz w:val="22"/>
          <w:sz w:val="22"/>
          <w:szCs w:val="22"/>
          <w:vertAlign w:val="baseline"/>
          <w:lang w:val="en-US"/>
        </w:rPr>
        <w:t xml:space="preserve">, </w:t>
        <w:br/>
        <w:t>Rodion V. Belosludov</w:t>
      </w:r>
      <w:r>
        <w:rPr>
          <w:rFonts w:cs="Times New Roman" w:ascii="Times New Roman" w:hAnsi="Times New Roman"/>
          <w:b w:val="false"/>
          <w:bCs w:val="false"/>
          <w:color w:val="auto"/>
          <w:sz w:val="22"/>
          <w:szCs w:val="22"/>
          <w:vertAlign w:val="superscript"/>
          <w:lang w:val="en-US"/>
        </w:rPr>
        <w:t xml:space="preserve">c </w:t>
      </w:r>
      <w:r>
        <w:rPr>
          <w:rFonts w:cs="Times New Roman" w:ascii="Times New Roman" w:hAnsi="Times New Roman"/>
          <w:b w:val="false"/>
          <w:bCs w:val="false"/>
          <w:color w:val="000000"/>
          <w:position w:val="0"/>
          <w:sz w:val="22"/>
          <w:sz w:val="22"/>
          <w:szCs w:val="22"/>
          <w:vertAlign w:val="baseline"/>
          <w:lang w:val="en-US"/>
        </w:rPr>
        <w:t xml:space="preserve">, Li-Jen </w:t>
      </w:r>
      <w:r>
        <w:rPr>
          <w:rFonts w:cs="Times New Roman" w:ascii="Times New Roman" w:hAnsi="Times New Roman"/>
          <w:b w:val="false"/>
          <w:bCs w:val="false"/>
          <w:color w:val="000000"/>
          <w:position w:val="0"/>
          <w:sz w:val="22"/>
          <w:sz w:val="22"/>
          <w:szCs w:val="22"/>
          <w:shd w:fill="auto" w:val="clear"/>
          <w:vertAlign w:val="baseline"/>
          <w:lang w:val="en-US"/>
        </w:rPr>
        <w:t>Chen</w:t>
      </w:r>
      <w:r>
        <w:rPr>
          <w:rFonts w:cs="Times New Roman" w:ascii="Times New Roman" w:hAnsi="Times New Roman"/>
          <w:b w:val="false"/>
          <w:bCs w:val="false"/>
          <w:color w:val="000000"/>
          <w:sz w:val="22"/>
          <w:szCs w:val="22"/>
          <w:shd w:fill="auto" w:val="clear"/>
          <w:vertAlign w:val="superscript"/>
          <w:lang w:val="en-US"/>
        </w:rPr>
        <w:t>d</w:t>
      </w:r>
      <w:r>
        <w:rPr>
          <w:rFonts w:cs="Times New Roman" w:ascii="Times New Roman" w:hAnsi="Times New Roman"/>
          <w:b w:val="false"/>
          <w:bCs/>
          <w:color w:val="000000"/>
          <w:position w:val="0"/>
          <w:sz w:val="22"/>
          <w:sz w:val="22"/>
          <w:szCs w:val="22"/>
          <w:shd w:fill="auto" w:val="clear"/>
          <w:vertAlign w:val="baseline"/>
          <w:lang w:val="en-US"/>
        </w:rPr>
        <w:t>, Yoshiyuki Kawazoe</w:t>
      </w:r>
      <w:r>
        <w:rPr>
          <w:rFonts w:cs="Times New Roman" w:ascii="Times New Roman" w:hAnsi="Times New Roman"/>
          <w:b w:val="false"/>
          <w:bCs/>
          <w:color w:val="000000"/>
          <w:sz w:val="22"/>
          <w:szCs w:val="22"/>
          <w:shd w:fill="auto" w:val="clear"/>
          <w:vertAlign w:val="superscript"/>
          <w:lang w:val="en-US"/>
        </w:rPr>
        <w:t>e,f,g</w:t>
      </w:r>
    </w:p>
    <w:p>
      <w:pPr>
        <w:pStyle w:val="Normal"/>
        <w:bidi w:val="0"/>
        <w:spacing w:lineRule="auto" w:line="240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i/>
          <w:iCs/>
          <w:color w:val="auto"/>
          <w:sz w:val="22"/>
          <w:szCs w:val="22"/>
          <w:vertAlign w:val="superscript"/>
          <w:lang w:val="en-US"/>
        </w:rPr>
        <w:t>a</w:t>
      </w:r>
      <w:r>
        <w:rPr>
          <w:rFonts w:cs="Times New Roman" w:ascii="Times New Roman" w:hAnsi="Times New Roman"/>
          <w:i/>
          <w:iCs/>
          <w:color w:val="auto"/>
          <w:sz w:val="22"/>
          <w:szCs w:val="22"/>
          <w:lang w:val="en-US"/>
        </w:rPr>
        <w:t>Nikolaev Institute of Inorganic Chemistry, Siberian Branch, Russian Academy of Sciences, Novosibirsk, 630090 Russia</w:t>
      </w:r>
    </w:p>
    <w:p>
      <w:pPr>
        <w:pStyle w:val="Normal"/>
        <w:bidi w:val="0"/>
        <w:spacing w:lineRule="auto" w:line="240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i/>
          <w:iCs/>
          <w:color w:val="auto"/>
          <w:sz w:val="22"/>
          <w:szCs w:val="22"/>
          <w:vertAlign w:val="superscript"/>
          <w:lang w:val="en-US"/>
        </w:rPr>
        <w:t>b</w:t>
      </w:r>
      <w:r>
        <w:rPr>
          <w:rFonts w:cs="Times New Roman" w:ascii="Times New Roman" w:hAnsi="Times New Roman"/>
          <w:i/>
          <w:iCs/>
          <w:color w:val="auto"/>
          <w:sz w:val="22"/>
          <w:szCs w:val="22"/>
          <w:lang w:val="en-US"/>
        </w:rPr>
        <w:t>Novosibirsk State University, Novosibirsk, 630090 Russia</w:t>
      </w:r>
    </w:p>
    <w:p>
      <w:pPr>
        <w:pStyle w:val="Normal"/>
        <w:bidi w:val="0"/>
        <w:spacing w:lineRule="auto" w:line="240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i/>
          <w:iCs/>
          <w:color w:val="auto"/>
          <w:sz w:val="22"/>
          <w:szCs w:val="22"/>
          <w:vertAlign w:val="superscript"/>
          <w:lang w:val="en-US"/>
        </w:rPr>
        <w:t>c</w:t>
      </w:r>
      <w:r>
        <w:rPr>
          <w:rFonts w:cs="Times New Roman" w:ascii="Times New Roman" w:hAnsi="Times New Roman"/>
          <w:i/>
          <w:iCs/>
          <w:color w:val="auto"/>
          <w:sz w:val="22"/>
          <w:szCs w:val="22"/>
          <w:lang w:val="en-US"/>
        </w:rPr>
        <w:t>Institute for Materials Research, Tohoku University, 980-8577 Sendai, Japan</w:t>
      </w:r>
    </w:p>
    <w:p>
      <w:pPr>
        <w:pStyle w:val="Normal"/>
        <w:bidi w:val="0"/>
        <w:spacing w:lineRule="auto" w:line="240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i/>
          <w:iCs/>
          <w:color w:val="auto"/>
          <w:sz w:val="22"/>
          <w:szCs w:val="22"/>
          <w:vertAlign w:val="superscript"/>
          <w:lang w:val="en-US"/>
        </w:rPr>
        <w:t>d</w:t>
      </w:r>
      <w:r>
        <w:rPr>
          <w:rFonts w:cs="Times New Roman" w:ascii="Times New Roman" w:hAnsi="Times New Roman"/>
          <w:i/>
          <w:iCs/>
          <w:color w:val="auto"/>
          <w:sz w:val="22"/>
          <w:szCs w:val="22"/>
          <w:lang w:val="en-US"/>
        </w:rPr>
        <w:t>Department of Chemical Engineering, National Taiwan University, 10617 Taipei, Taiwan</w:t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i/>
          <w:sz w:val="22"/>
          <w:szCs w:val="22"/>
          <w:shd w:fill="auto" w:val="clear"/>
          <w:vertAlign w:val="superscript"/>
          <w:lang w:val="en-US"/>
        </w:rPr>
        <w:t>e</w:t>
      </w:r>
      <w:r>
        <w:rPr>
          <w:rFonts w:cs="Times New Roman"/>
          <w:i/>
          <w:sz w:val="22"/>
          <w:szCs w:val="22"/>
          <w:shd w:fill="auto" w:val="clear"/>
          <w:lang w:val="en-US"/>
        </w:rPr>
        <w:t>New Industry Creation Hatchery Center, Tohoku University, 980-8579, Sendai, Japan</w:t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i/>
          <w:iCs/>
          <w:sz w:val="22"/>
          <w:szCs w:val="22"/>
          <w:shd w:fill="auto" w:val="clear"/>
          <w:vertAlign w:val="superscript"/>
          <w:lang w:val="en-US"/>
        </w:rPr>
        <w:t>f</w:t>
      </w:r>
      <w:r>
        <w:rPr>
          <w:rFonts w:cs="Times New Roman"/>
          <w:i/>
          <w:iCs/>
          <w:sz w:val="22"/>
          <w:szCs w:val="22"/>
          <w:shd w:fill="auto" w:val="clear"/>
          <w:lang w:val="en-US"/>
        </w:rPr>
        <w:t>Department of Physics and Nanotechnology, SRM Institute of Science and</w:t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i/>
          <w:iCs/>
          <w:sz w:val="22"/>
          <w:szCs w:val="22"/>
          <w:shd w:fill="auto" w:val="clear"/>
          <w:lang w:val="en-US"/>
        </w:rPr>
        <w:t>Technology, 603203, Chennai, Tamil Nadu, India</w:t>
      </w:r>
    </w:p>
    <w:p>
      <w:pPr>
        <w:pStyle w:val="Normal"/>
        <w:bidi w:val="0"/>
        <w:spacing w:lineRule="auto" w:line="240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i/>
          <w:iCs/>
          <w:color w:val="000000"/>
          <w:sz w:val="22"/>
          <w:szCs w:val="22"/>
          <w:shd w:fill="auto" w:val="clear"/>
          <w:vertAlign w:val="superscript"/>
          <w:lang w:val="en-US"/>
        </w:rPr>
        <w:t>g</w:t>
      </w:r>
      <w:r>
        <w:rPr>
          <w:rFonts w:cs="AdvTT6120e2aa" w:ascii="Times New Roman" w:hAnsi="Times New Roman"/>
          <w:i/>
          <w:iCs/>
          <w:color w:val="000000"/>
          <w:sz w:val="22"/>
          <w:szCs w:val="22"/>
          <w:shd w:fill="auto" w:val="clear"/>
          <w:lang w:val="en-US"/>
        </w:rPr>
        <w:t xml:space="preserve">Suranaree University of Technology, 30000, Nakhon Ratchasima, Thailand </w:t>
      </w:r>
    </w:p>
    <w:p>
      <w:pPr>
        <w:pStyle w:val="Normal"/>
        <w:bidi w:val="0"/>
        <w:spacing w:lineRule="auto" w:line="240"/>
        <w:jc w:val="center"/>
        <w:rPr>
          <w:rFonts w:ascii="Times New Roman" w:hAnsi="Times New Roman" w:cs="AdvTT6120e2aa"/>
          <w:i/>
          <w:i/>
          <w:iCs/>
          <w:color w:val="000000"/>
          <w:shd w:fill="auto" w:val="clear"/>
          <w:lang w:val="en-US"/>
        </w:rPr>
      </w:pPr>
      <w:r>
        <w:rPr>
          <w:rFonts w:cs="AdvTT6120e2aa" w:ascii="Times New Roman" w:hAnsi="Times New Roman"/>
          <w:i/>
          <w:iCs/>
          <w:color w:val="000000"/>
          <w:shd w:fill="auto" w:val="clear"/>
          <w:lang w:val="en-US"/>
        </w:rPr>
      </w:r>
    </w:p>
    <w:p>
      <w:pPr>
        <w:pStyle w:val="Normal"/>
        <w:bidi w:val="0"/>
        <w:spacing w:lineRule="auto" w:line="240"/>
        <w:jc w:val="left"/>
        <w:rPr>
          <w:b w:val="false"/>
          <w:b w:val="false"/>
          <w:bCs w:val="false"/>
          <w:sz w:val="20"/>
          <w:szCs w:val="20"/>
        </w:rPr>
      </w:pPr>
      <w:r>
        <w:rPr>
          <w:rFonts w:eastAsia="Calibri" w:cs="Times New Roman" w:ascii="Times New Roman" w:hAnsi="Times New Roman"/>
          <w:b w:val="false"/>
          <w:bCs w:val="false"/>
          <w:i/>
          <w:iCs/>
          <w:color w:val="auto"/>
          <w:kern w:val="0"/>
          <w:sz w:val="20"/>
          <w:szCs w:val="20"/>
          <w:lang w:val="en-US" w:eastAsia="en-US" w:bidi="ar-SA"/>
        </w:rPr>
        <w:t>*e-mail: gets@niic.nsc.ru</w:t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 xml:space="preserve">1. </w:t>
      </w:r>
      <w:r>
        <w:rPr>
          <w:u w:val="single"/>
        </w:rPr>
        <w:t>Pre-nucleation: spatial distribution of cavities</w:t>
      </w:r>
    </w:p>
    <w:tbl>
      <w:tblPr>
        <w:tblW w:w="99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" name="Image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2" name="Image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3" name="Image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1500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1512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1558 ps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4" name="Image1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5" name="Image1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6" name="Image1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3104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3552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4150 ps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7" name="Image1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8" name="Image1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9" name="Image1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1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4160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4482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4483 ps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0" name="Image1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1" name="Image1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1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2" name="Image1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4651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5452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5979 ps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3" name="Image2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2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4" name="Image2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5" name="Image2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2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6090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6520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6878 ps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6" name="Image2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7" name="Image2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2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both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8" name="Image2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6944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7345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7689 ps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19" name="Image2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2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20" name="Image2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2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/>
              <w:drawing>
                <wp:inline distT="0" distB="0" distL="0" distR="0">
                  <wp:extent cx="2110740" cy="2111375"/>
                  <wp:effectExtent l="0" t="0" r="0" b="0"/>
                  <wp:docPr id="21" name="Image2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2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11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8365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9357 ps</w:t>
            </w:r>
          </w:p>
        </w:tc>
        <w:tc>
          <w:tcPr>
            <w:tcW w:w="3324" w:type="dxa"/>
            <w:tcBorders/>
          </w:tcPr>
          <w:p>
            <w:pPr>
              <w:pStyle w:val="Style16"/>
              <w:widowControl w:val="false"/>
              <w:bidi w:val="0"/>
              <w:jc w:val="center"/>
              <w:rPr>
                <w:lang w:val="en-US"/>
              </w:rPr>
            </w:pPr>
            <w:r>
              <w:rPr>
                <w:lang w:val="en-US"/>
              </w:rPr>
              <w:t>t = 8365 ps</w:t>
            </w:r>
          </w:p>
        </w:tc>
      </w:tr>
    </w:tbl>
    <w:p>
      <w:pPr>
        <w:pStyle w:val="Normal"/>
        <w:bidi w:val="0"/>
        <w:jc w:val="both"/>
        <w:rPr>
          <w:lang w:val="en-US"/>
        </w:rPr>
      </w:pP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Figure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S1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. Spatial distribution of small and large cavities. </w:t>
      </w:r>
    </w:p>
    <w:p>
      <w:pPr>
        <w:pStyle w:val="Normal"/>
        <w:bidi w:val="0"/>
        <w:jc w:val="both"/>
        <w:rPr>
          <w:lang w:val="en-US"/>
        </w:rPr>
      </w:pPr>
      <w:r>
        <w:rPr>
          <w:lang w:val="en-US"/>
        </w:rPr>
      </w:r>
    </w:p>
    <w:p>
      <w:pPr>
        <w:pStyle w:val="Normal"/>
        <w:bidi w:val="0"/>
        <w:jc w:val="both"/>
        <w:rPr>
          <w:color w:val="auto"/>
          <w:lang w:val="ru-RU"/>
        </w:rPr>
      </w:pPr>
      <w:r>
        <w:rPr>
          <w:color w:val="auto"/>
          <w:lang w:val="ru-RU"/>
        </w:rPr>
        <w:t xml:space="preserve">2. </w:t>
      </w:r>
      <w:r>
        <w:rPr>
          <w:color w:val="auto"/>
          <w:u w:val="single"/>
          <w:lang w:val="ru-RU"/>
        </w:rPr>
        <w:t>Pre-nucleation: gas-oxygen RDF</w:t>
      </w:r>
    </w:p>
    <w:p>
      <w:pPr>
        <w:pStyle w:val="Normal"/>
        <w:bidi w:val="0"/>
        <w:jc w:val="both"/>
        <w:rPr>
          <w:color w:val="auto"/>
          <w:lang w:val="ru-RU"/>
        </w:rPr>
      </w:pPr>
      <w:r>
        <w:rPr>
          <w:color w:val="auto"/>
          <w:lang w:val="ru-RU"/>
        </w:rPr>
      </w:r>
    </w:p>
    <w:p>
      <w:pPr>
        <w:pStyle w:val="Normal"/>
        <w:bidi w:val="0"/>
        <w:jc w:val="center"/>
        <w:rPr>
          <w:color w:val="auto"/>
        </w:rPr>
      </w:pPr>
      <w:r>
        <w:rPr/>
        <w:drawing>
          <wp:inline distT="0" distB="0" distL="0" distR="0">
            <wp:extent cx="2705100" cy="1981200"/>
            <wp:effectExtent l="0" t="0" r="0" b="0"/>
            <wp:docPr id="2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bidi w:val="0"/>
        <w:jc w:val="both"/>
        <w:rPr>
          <w:color w:val="auto"/>
        </w:rPr>
      </w:pP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Figure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S2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>. Unnormed by number of G-O pairs Methane-oxygen (eigen F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vertAlign w:val="subscript"/>
          <w:lang w:val="en-US" w:eastAsia="zh-CN" w:bidi="hi-IN"/>
        </w:rPr>
        <w:t>3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&lt; 0.025) RDF of 0.6 methane solution with 0.01 Å step in comparison to bulk hydrate data at t = 0.5 ns under the same conditions. </w:t>
      </w:r>
      <w:r>
        <w:rPr>
          <w:rFonts w:eastAsia="Noto Serif CJK SC" w:cs="Times New Roman" w:ascii="Times New Roman" w:hAnsi="Times New Roman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Dotted lines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show the dependence for all water molecules, </w:t>
      </w:r>
      <w:r>
        <w:rPr>
          <w:rFonts w:eastAsia="Noto Serif CJK SC" w:cs="Times New Roman" w:ascii="Times New Roman" w:hAnsi="Times New Roman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solid lines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– for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HOWMs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>.</w:t>
      </w:r>
    </w:p>
    <w:p>
      <w:pPr>
        <w:pStyle w:val="Normal"/>
        <w:bidi w:val="0"/>
        <w:jc w:val="both"/>
        <w:rPr>
          <w:color w:val="auto"/>
          <w:lang w:val="ru-RU"/>
        </w:rPr>
      </w:pPr>
      <w:r>
        <w:rPr>
          <w:color w:val="auto"/>
          <w:lang w:val="ru-RU"/>
        </w:rPr>
      </w:r>
    </w:p>
    <w:p>
      <w:pPr>
        <w:pStyle w:val="Normal"/>
        <w:bidi w:val="0"/>
        <w:jc w:val="both"/>
        <w:rPr>
          <w:color w:val="auto"/>
        </w:rPr>
      </w:pP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Figure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S2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shows the density unnormalized methane–oxygen RDF for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HOWMs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and all water molecules for solution and bulk hydrate. Values of this distribution grow proportionally to the number of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HOWMs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. Growth of peak with a maximum of 4 Å indicates an increase in the number of water molecules surrounding methane molecules both for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HOW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sub-system and for whole H-bond network. However the </w:t>
      </w:r>
      <w:r>
        <w:rPr>
          <w:rFonts w:eastAsia="Noto Serif CJK SC" w:cs="Noto Sans Devanagari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most significant relative growth is observed for </w:t>
      </w:r>
      <w:r>
        <w:rPr>
          <w:rFonts w:eastAsia="Noto Serif CJK SC" w:cs="Noto Sans Devanagari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HOWMs</w:t>
      </w:r>
      <w:r>
        <w:rPr>
          <w:rFonts w:eastAsia="Noto Serif CJK SC" w:cs="Noto Sans Devanagari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(2 times). Whole network undergoes a change of the order of 15-20 % that corresponds to the ratio of </w:t>
      </w:r>
      <w:r>
        <w:rPr>
          <w:rFonts w:eastAsia="Noto Serif CJK SC" w:cs="Noto Sans Devanagari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HOWMs</w:t>
      </w:r>
      <w:r>
        <w:rPr>
          <w:rFonts w:eastAsia="Noto Serif CJK SC" w:cs="Noto Sans Devanagari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. 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An increase indicates a gradual transition from an amorphous environment to a crystalline one. The main change in the structure of the solution and </w:t>
      </w:r>
      <w:r>
        <w:rPr>
          <w:rFonts w:eastAsia="Noto Serif CJK SC" w:cs="Times New Roman" w:ascii="Times New Roman" w:hAnsi="Times New Roman"/>
          <w:b/>
          <w:bCs/>
          <w:color w:val="auto"/>
          <w:kern w:val="2"/>
          <w:sz w:val="24"/>
          <w:szCs w:val="24"/>
          <w:u w:val="none"/>
          <w:lang w:val="en-US" w:eastAsia="zh-CN" w:bidi="hi-IN"/>
        </w:rPr>
        <w:t>HOW</w:t>
      </w:r>
      <w:r>
        <w:rPr>
          <w:rFonts w:eastAsia="Noto Serif CJK SC" w:cs="Times New Roman" w:ascii="Times New Roman" w:hAnsi="Times New Roman"/>
          <w:color w:val="auto"/>
          <w:kern w:val="2"/>
          <w:sz w:val="24"/>
          <w:szCs w:val="24"/>
          <w:u w:val="none"/>
          <w:lang w:val="en-US" w:eastAsia="zh-CN" w:bidi="hi-IN"/>
        </w:rPr>
        <w:t xml:space="preserve"> sub-system takes place before the start of stable hydrate formation</w:t>
      </w:r>
      <w:r>
        <w:rPr>
          <w:rFonts w:eastAsia="Noto Serif CJK SC" w:cs="Times New Roman" w:ascii="Times New Roman" w:hAnsi="Times New Roman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  <w:t>.</w:t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oto Serif CJK SC" w:cs="Times New Roman" w:ascii="Times New Roman" w:hAnsi="Times New Roman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r>
    </w:p>
    <w:p>
      <w:pPr>
        <w:pStyle w:val="Normal"/>
        <w:bidi w:val="0"/>
        <w:jc w:val="both"/>
        <w:rPr>
          <w:u w:val="single"/>
        </w:rPr>
      </w:pPr>
      <w:r>
        <w:rPr>
          <w:u w:val="single"/>
        </w:rPr>
        <w:t>3. Methane hydrate growth visualization</w:t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oto Serif CJK SC" w:cs="Times New Roman" w:ascii="Times New Roman" w:hAnsi="Times New Roman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/>
        <w:t xml:space="preserve">Supplementary </w:t>
      </w:r>
      <w:r>
        <w:rPr>
          <w:rFonts w:eastAsia="Noto Serif CJK SC" w:cs="Noto Sans Devanagari"/>
          <w:color w:val="auto"/>
          <w:kern w:val="2"/>
          <w:sz w:val="24"/>
          <w:szCs w:val="24"/>
          <w:lang w:val="en-US" w:eastAsia="zh-CN" w:bidi="hi-IN"/>
        </w:rPr>
        <w:t>v</w:t>
      </w:r>
      <w:r>
        <w:rPr/>
        <w:t xml:space="preserve">ideo </w:t>
      </w:r>
      <w:r>
        <w:rPr>
          <w:b/>
          <w:bCs/>
        </w:rPr>
        <w:t>S1</w:t>
      </w:r>
      <w:r>
        <w:rPr/>
        <w:t xml:space="preserve">. </w:t>
      </w:r>
      <w:r>
        <w:rPr>
          <w:rFonts w:eastAsia="Noto Serif CJK SC" w:cs="Times New Roman" w:ascii="Times New Roman" w:hAnsi="Times New Roman"/>
          <w:color w:val="000000"/>
          <w:kern w:val="2"/>
          <w:sz w:val="24"/>
          <w:szCs w:val="24"/>
          <w:u w:val="none"/>
          <w:shd w:fill="auto" w:val="clear"/>
          <w:lang w:val="en-US" w:eastAsia="zh-CN" w:bidi="hi-IN"/>
        </w:rPr>
        <w:t>Evolution of methane+water solution at concentration of 0.2 (3.36 mol%) during 100 ns of modeling. Positions of water molecules, methane molecules and H-bond are smoothed over 1 ns for clearance.</w:t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oto Serif CJK SC" w:cs="Times New Roman" w:ascii="Times New Roman" w:hAnsi="Times New Roman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/>
        <w:t xml:space="preserve">Supplementary </w:t>
      </w:r>
      <w:r>
        <w:rPr>
          <w:rFonts w:eastAsia="Noto Serif CJK SC" w:cs="Noto Sans Devanagari"/>
          <w:color w:val="auto"/>
          <w:kern w:val="2"/>
          <w:sz w:val="24"/>
          <w:szCs w:val="24"/>
          <w:lang w:val="en-US" w:eastAsia="zh-CN" w:bidi="hi-IN"/>
        </w:rPr>
        <w:t>v</w:t>
      </w:r>
      <w:r>
        <w:rPr/>
        <w:t xml:space="preserve">ideo </w:t>
      </w:r>
      <w:r>
        <w:rPr>
          <w:b/>
          <w:bCs/>
        </w:rPr>
        <w:t>S2</w:t>
      </w:r>
      <w:r>
        <w:rPr/>
        <w:t xml:space="preserve">. </w:t>
      </w:r>
      <w:r>
        <w:rPr>
          <w:rFonts w:eastAsia="Noto Serif CJK SC" w:cs="Times New Roman" w:ascii="Times New Roman" w:hAnsi="Times New Roman"/>
          <w:color w:val="000000"/>
          <w:kern w:val="2"/>
          <w:sz w:val="24"/>
          <w:szCs w:val="24"/>
          <w:u w:val="none"/>
          <w:shd w:fill="auto" w:val="clear"/>
          <w:lang w:val="en-US" w:eastAsia="zh-CN" w:bidi="hi-IN"/>
        </w:rPr>
        <w:t>Evolution of methane+water solution at concentration of 0.4 (6.5 mol%) during 100 ns of modeling. Positions of water molecules, methane molecules and H-bond are smoothed over 1 ns for clearance.</w:t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oto Serif CJK SC" w:cs="Times New Roman" w:ascii="Times New Roman" w:hAnsi="Times New Roman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/>
        <w:t xml:space="preserve">Supplementary </w:t>
      </w:r>
      <w:r>
        <w:rPr>
          <w:rFonts w:eastAsia="Noto Serif CJK SC" w:cs="Noto Sans Devanagari"/>
          <w:color w:val="auto"/>
          <w:kern w:val="2"/>
          <w:sz w:val="24"/>
          <w:szCs w:val="24"/>
          <w:lang w:val="en-US" w:eastAsia="zh-CN" w:bidi="hi-IN"/>
        </w:rPr>
        <w:t>v</w:t>
      </w:r>
      <w:r>
        <w:rPr/>
        <w:t xml:space="preserve">ideo </w:t>
      </w:r>
      <w:r>
        <w:rPr>
          <w:b/>
          <w:bCs/>
        </w:rPr>
        <w:t>S3</w:t>
      </w:r>
      <w:r>
        <w:rPr/>
        <w:t xml:space="preserve">. </w:t>
      </w:r>
      <w:r>
        <w:rPr>
          <w:rFonts w:eastAsia="Noto Serif CJK SC" w:cs="Times New Roman" w:ascii="Times New Roman" w:hAnsi="Times New Roman"/>
          <w:color w:val="000000"/>
          <w:kern w:val="2"/>
          <w:sz w:val="24"/>
          <w:szCs w:val="24"/>
          <w:u w:val="none"/>
          <w:shd w:fill="auto" w:val="clear"/>
          <w:lang w:val="en-US" w:eastAsia="zh-CN" w:bidi="hi-IN"/>
        </w:rPr>
        <w:t>Evolution of methane+water solution at concentration of 0.6 (9.45 mol%) during 100 ns of modeling. Positions of water molecules, methane molecules and H-bond are smoothed over 1 ns for clearance.</w:t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oto Serif CJK SC" w:cs="Times New Roman" w:ascii="Times New Roman" w:hAnsi="Times New Roman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/>
        <w:t xml:space="preserve">Supplementary </w:t>
      </w:r>
      <w:r>
        <w:rPr>
          <w:rFonts w:eastAsia="Noto Serif CJK SC" w:cs="Noto Sans Devanagari"/>
          <w:color w:val="auto"/>
          <w:kern w:val="2"/>
          <w:sz w:val="24"/>
          <w:szCs w:val="24"/>
          <w:lang w:val="en-US" w:eastAsia="zh-CN" w:bidi="hi-IN"/>
        </w:rPr>
        <w:t>v</w:t>
      </w:r>
      <w:r>
        <w:rPr/>
        <w:t xml:space="preserve">ideo </w:t>
      </w:r>
      <w:r>
        <w:rPr>
          <w:b/>
          <w:bCs/>
        </w:rPr>
        <w:t>S4</w:t>
      </w:r>
      <w:r>
        <w:rPr/>
        <w:t xml:space="preserve">. </w:t>
      </w:r>
      <w:r>
        <w:rPr>
          <w:rFonts w:eastAsia="Noto Serif CJK SC" w:cs="Times New Roman" w:ascii="Times New Roman" w:hAnsi="Times New Roman"/>
          <w:color w:val="000000"/>
          <w:kern w:val="2"/>
          <w:sz w:val="24"/>
          <w:szCs w:val="24"/>
          <w:u w:val="none"/>
          <w:shd w:fill="auto" w:val="clear"/>
          <w:lang w:val="en-US" w:eastAsia="zh-CN" w:bidi="hi-IN"/>
        </w:rPr>
        <w:t>Evolution of methane+water solution at concentration of 0.8 (12.2 mol%) during 100 ns of modeling. Positions of water molecules, methane molecules and H-bond are smoothed over 1 ns for clearance.</w:t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oto Serif CJK SC" w:cs="Times New Roman" w:ascii="Times New Roman" w:hAnsi="Times New Roman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r>
    </w:p>
    <w:p>
      <w:pPr>
        <w:pStyle w:val="Normal"/>
        <w:bidi w:val="0"/>
        <w:jc w:val="both"/>
        <w:rPr>
          <w:rFonts w:ascii="Times New Roman" w:hAnsi="Times New Roman" w:eastAsia="Noto Serif CJK SC" w:cs="Times New Roman"/>
          <w:b w:val="false"/>
          <w:b w:val="false"/>
          <w:bCs w:val="false"/>
          <w:kern w:val="2"/>
          <w:sz w:val="24"/>
          <w:szCs w:val="24"/>
          <w:u w:val="none"/>
          <w:lang w:val="en-US" w:eastAsia="zh-CN" w:bidi="hi-IN"/>
        </w:rPr>
      </w:pPr>
      <w:r>
        <w:rPr/>
        <w:t xml:space="preserve">Supplementary </w:t>
      </w:r>
      <w:r>
        <w:rPr>
          <w:rFonts w:eastAsia="Noto Serif CJK SC" w:cs="Noto Sans Devanagari"/>
          <w:color w:val="auto"/>
          <w:kern w:val="2"/>
          <w:sz w:val="24"/>
          <w:szCs w:val="24"/>
          <w:lang w:val="en-US" w:eastAsia="zh-CN" w:bidi="hi-IN"/>
        </w:rPr>
        <w:t>v</w:t>
      </w:r>
      <w:r>
        <w:rPr/>
        <w:t xml:space="preserve">ideo </w:t>
      </w:r>
      <w:r>
        <w:rPr>
          <w:b/>
          <w:bCs/>
        </w:rPr>
        <w:t>S5</w:t>
      </w:r>
      <w:r>
        <w:rPr/>
        <w:t xml:space="preserve">. </w:t>
      </w:r>
      <w:r>
        <w:rPr>
          <w:rFonts w:eastAsia="Noto Serif CJK SC" w:cs="Times New Roman" w:ascii="Times New Roman" w:hAnsi="Times New Roman"/>
          <w:color w:val="000000"/>
          <w:kern w:val="2"/>
          <w:sz w:val="24"/>
          <w:szCs w:val="24"/>
          <w:u w:val="none"/>
          <w:shd w:fill="auto" w:val="clear"/>
          <w:lang w:val="en-US" w:eastAsia="zh-CN" w:bidi="hi-IN"/>
        </w:rPr>
        <w:t>Evolution of methane+water solution at concentration of 1.0 (14.8 mol%) during 100 ns of modeling. Positions of water molecules, methane molecules and H-bond are smoothed over 1 ns for clearance.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  <w:lang w:val="zxx" w:eastAsia="zxx" w:bidi="zxx"/>
    </w:rPr>
  </w:style>
  <w:style w:type="paragraph" w:styleId="Style14">
    <w:name w:val="Заголовок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Style15">
    <w:name w:val="Указатель"/>
    <w:basedOn w:val="Normal"/>
    <w:qFormat/>
    <w:pPr>
      <w:suppressLineNumbers/>
    </w:pPr>
    <w:rPr>
      <w:rFonts w:cs="Noto Sans Devanagari"/>
      <w:lang w:val="zxx" w:eastAsia="zxx" w:bidi="zxx"/>
    </w:rPr>
  </w:style>
  <w:style w:type="paragraph" w:styleId="Style16">
    <w:name w:val="Содержимое таблицы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image" Target="media/image22.wmf"/><Relationship Id="rId24" Type="http://schemas.openxmlformats.org/officeDocument/2006/relationships/fontTable" Target="fontTable.xml"/><Relationship Id="rId2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33</TotalTime>
  <Application>LibreOffice/7.2.5.2.0$Linux_X86_64 LibreOffice_project/20$Build-2</Application>
  <AppVersion>15.0000</AppVersion>
  <Pages>4</Pages>
  <Words>565</Words>
  <Characters>2966</Characters>
  <CharactersWithSpaces>3491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2022-04-18T16:07:23Z</dcterms:created>
  <dc:creator/>
  <dc:description/>
  <dc:language>en-US</dc:language>
  <cp:lastModifiedBy/>
  <dcterms:modified xsi:type="dcterms:W3CDTF">2022-05-16T11:13:35Z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