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036E38" w14:textId="77777777" w:rsidR="00874718" w:rsidRPr="00D035DB" w:rsidRDefault="00874718" w:rsidP="00874718">
      <w:pPr>
        <w:pStyle w:val="Heading1"/>
        <w:jc w:val="left"/>
        <w:rPr>
          <w:rFonts w:ascii="Times New Roman" w:eastAsia="Times New Roman" w:hAnsi="Times New Roman" w:cs="Times New Roman"/>
        </w:rPr>
      </w:pPr>
      <w:r w:rsidRPr="00D035DB">
        <w:rPr>
          <w:rFonts w:ascii="Times New Roman" w:eastAsia="Times New Roman" w:hAnsi="Times New Roman" w:cs="Times New Roman"/>
        </w:rPr>
        <w:t>Supplementary</w:t>
      </w:r>
    </w:p>
    <w:p w14:paraId="36A851EE" w14:textId="77777777" w:rsidR="00874718" w:rsidRPr="00D035DB" w:rsidRDefault="00874718" w:rsidP="00874718">
      <w:pPr>
        <w:jc w:val="left"/>
      </w:pPr>
      <w:r w:rsidRPr="00D035DB">
        <w:rPr>
          <w:noProof/>
        </w:rPr>
        <w:drawing>
          <wp:inline distT="114300" distB="114300" distL="114300" distR="114300" wp14:anchorId="4DD121F9" wp14:editId="6B112EA3">
            <wp:extent cx="5943600" cy="1943100"/>
            <wp:effectExtent l="0" t="0" r="0" b="0"/>
            <wp:docPr id="2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
                    <a:srcRect/>
                    <a:stretch>
                      <a:fillRect/>
                    </a:stretch>
                  </pic:blipFill>
                  <pic:spPr>
                    <a:xfrm>
                      <a:off x="0" y="0"/>
                      <a:ext cx="5943600" cy="1943100"/>
                    </a:xfrm>
                    <a:prstGeom prst="rect">
                      <a:avLst/>
                    </a:prstGeom>
                    <a:ln/>
                  </pic:spPr>
                </pic:pic>
              </a:graphicData>
            </a:graphic>
          </wp:inline>
        </w:drawing>
      </w:r>
    </w:p>
    <w:p w14:paraId="725BED67" w14:textId="77777777" w:rsidR="00874718" w:rsidRPr="00D035DB" w:rsidRDefault="00874718" w:rsidP="00874718">
      <w:pPr>
        <w:spacing w:line="240" w:lineRule="auto"/>
        <w:jc w:val="left"/>
      </w:pPr>
      <w:r w:rsidRPr="00D035DB">
        <w:t>Figure S1. The CALIPSO observation on Jan 16. The left panel is the depolarization ratio showing the plume at 30 km with small depolarization and the plume at 20 km with large depolarization. The right panel shows the backscatter coefficient.</w:t>
      </w:r>
    </w:p>
    <w:p w14:paraId="4BAF6F5E" w14:textId="77777777" w:rsidR="00874718" w:rsidRPr="00D035DB" w:rsidRDefault="00874718" w:rsidP="00874718">
      <w:pPr>
        <w:spacing w:line="240" w:lineRule="auto"/>
        <w:jc w:val="left"/>
      </w:pPr>
    </w:p>
    <w:p w14:paraId="2450592B" w14:textId="77777777" w:rsidR="00874718" w:rsidRPr="00D035DB" w:rsidRDefault="00874718" w:rsidP="00874718">
      <w:pPr>
        <w:jc w:val="left"/>
      </w:pPr>
      <w:r w:rsidRPr="00D035DB">
        <w:rPr>
          <w:noProof/>
        </w:rPr>
        <w:drawing>
          <wp:inline distT="114300" distB="114300" distL="114300" distR="114300" wp14:anchorId="0D37139C" wp14:editId="14F80CD5">
            <wp:extent cx="5943600" cy="2705100"/>
            <wp:effectExtent l="0" t="0" r="0" b="0"/>
            <wp:docPr id="3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
                    <a:srcRect/>
                    <a:stretch>
                      <a:fillRect/>
                    </a:stretch>
                  </pic:blipFill>
                  <pic:spPr>
                    <a:xfrm>
                      <a:off x="0" y="0"/>
                      <a:ext cx="5943600" cy="2705100"/>
                    </a:xfrm>
                    <a:prstGeom prst="rect">
                      <a:avLst/>
                    </a:prstGeom>
                    <a:ln/>
                  </pic:spPr>
                </pic:pic>
              </a:graphicData>
            </a:graphic>
          </wp:inline>
        </w:drawing>
      </w:r>
    </w:p>
    <w:p w14:paraId="39798F4D" w14:textId="77777777" w:rsidR="00874718" w:rsidRPr="00D035DB" w:rsidRDefault="00874718" w:rsidP="00874718">
      <w:pPr>
        <w:spacing w:line="240" w:lineRule="auto"/>
        <w:jc w:val="left"/>
      </w:pPr>
      <w:r w:rsidRPr="00D035DB">
        <w:t>Figure S2. Zonal average H</w:t>
      </w:r>
      <w:r w:rsidRPr="00D035DB">
        <w:rPr>
          <w:vertAlign w:val="subscript"/>
        </w:rPr>
        <w:t>2</w:t>
      </w:r>
      <w:r w:rsidRPr="00D035DB">
        <w:t>O from MLS v4 data on March 1 (a) and the SO</w:t>
      </w:r>
      <w:r w:rsidRPr="00D035DB">
        <w:rPr>
          <w:vertAlign w:val="subscript"/>
        </w:rPr>
        <w:t>2</w:t>
      </w:r>
      <w:r w:rsidRPr="00D035DB">
        <w:t>_H</w:t>
      </w:r>
      <w:r w:rsidRPr="00D035DB">
        <w:rPr>
          <w:vertAlign w:val="subscript"/>
        </w:rPr>
        <w:t>2</w:t>
      </w:r>
      <w:r w:rsidRPr="00D035DB">
        <w:t>O case with Brewer-Dobson circulation (vectors) superimposed on March 1 (b). The simulation shows a positive bias in the background because WACCM6 generally has a wet bias in the stratosphere compared to MLS</w:t>
      </w:r>
      <w:r>
        <w:fldChar w:fldCharType="begin"/>
      </w:r>
      <w:r>
        <w:instrText xml:space="preserve"> ADDIN ZOTERO_ITEM CSL_CITATION {"citationID":"FCYvv4BY","properties":{"formattedCitation":"\\super 33\\nosupersub{}","plainCitation":"33","noteIndex":0},"citationItems":[{"id":357,"uris":["http://zotero.org/users/5867811/items/4RAZJRNV"],"itemData":{"id":357,"type":"article-journal","abstract":"Abstract The Whole Atmosphere Community Climate Model version 6 (WACCM6) is a major update of the whole atmosphere modeling capability in the Community Earth System Model (CESM), featuring enhanced physical, chemical and aerosol parameterizations. This work describes WACCM6 and some of the important features of the model. WACCM6 can reproduce many modes of variability and trends in the middle atmosphere, including the quasi-biennial oscillation, stratospheric sudden warmings, and the evolution of Southern Hemisphere springtime ozone depletion over the twentieth century. WACCM6 can also reproduce the climate and temperature trends of the 20th century throughout the atmospheric column. The representation of the climate has improved in WACCM6, relative to WACCM4. In addition, there are improvements in high-latitude climate variability at the surface and sea ice extent in WACCM6 over the lower top version of the model (CAM6) that comes from the extended vertical domain and expanded aerosol chemistry in WACCM6, highlighting the importance of the stratosphere and tropospheric chemistry for high-latitude climate variability.","container-title":"Journal of Geophysical Research: Atmospheres","DOI":"10.1029/2019JD030943","ISSN":"2169-897X","issue":"23","journalAbbreviation":"Journal of Geophysical Research: Atmospheres","note":"publisher: John Wiley &amp; Sons, Ltd","page":"12380-12403","title":"The Whole Atmosphere Community Climate Model Version 6 (WACCM6)","volume":"124","author":[{"family":"Gettelman","given":"A."},{"family":"Mills","given":"M. J."},{"family":"Kinnison","given":"D. E."},{"family":"Garcia","given":"R. R."},{"family":"Smith","given":"A. K."},{"family":"Marsh","given":"D. R."},{"family":"Tilmes","given":"S."},{"family":"Vitt","given":"F."},{"family":"Bardeen","given":"C. G."},{"family":"McInerny","given":"J."},{"family":"Liu","given":"H.-L."},{"family":"Solomon","given":"S. C."},{"family":"Polvani","given":"L. M."},{"family":"Emmons","given":"L. K."},{"family":"Lamarque","given":"J.-F."},{"family":"Richter","given":"J. H."},{"family":"Glanville","given":"A. S."},{"family":"Bacmeister","given":"J. T."},{"family":"Phillips","given":"A. S."},{"family":"Neale","given":"R. B."},{"family":"Simpson","given":"I. R."},{"family":"DuVivier","given":"A. K."},{"family":"Hodzic","given":"A."},{"family":"Randel","given":"W. J."}],"issued":{"date-parts":[["2019",12,16]]}}}],"schema":"https://github.com/citation-style-language/schema/raw/master/csl-citation.json"} </w:instrText>
      </w:r>
      <w:r>
        <w:fldChar w:fldCharType="separate"/>
      </w:r>
      <w:r w:rsidRPr="00710731">
        <w:rPr>
          <w:vertAlign w:val="superscript"/>
        </w:rPr>
        <w:t>33</w:t>
      </w:r>
      <w:r>
        <w:fldChar w:fldCharType="end"/>
      </w:r>
      <w:r w:rsidRPr="00D035DB">
        <w:t>.</w:t>
      </w:r>
    </w:p>
    <w:p w14:paraId="077B5E29" w14:textId="77777777" w:rsidR="00874718" w:rsidRPr="00D035DB" w:rsidRDefault="00874718" w:rsidP="00874718">
      <w:pPr>
        <w:spacing w:line="240" w:lineRule="auto"/>
        <w:jc w:val="left"/>
      </w:pPr>
    </w:p>
    <w:p w14:paraId="22D7EE90" w14:textId="77777777" w:rsidR="00874718" w:rsidRPr="00D035DB" w:rsidRDefault="00874718" w:rsidP="00874718">
      <w:pPr>
        <w:spacing w:line="240" w:lineRule="auto"/>
        <w:jc w:val="left"/>
      </w:pPr>
    </w:p>
    <w:p w14:paraId="50E7CF78" w14:textId="77777777" w:rsidR="00874718" w:rsidRPr="00D035DB" w:rsidRDefault="00874718" w:rsidP="00874718">
      <w:pPr>
        <w:spacing w:line="240" w:lineRule="auto"/>
        <w:jc w:val="center"/>
        <w:rPr>
          <w:b/>
        </w:rPr>
      </w:pPr>
      <w:r w:rsidRPr="00D035DB">
        <w:rPr>
          <w:b/>
          <w:noProof/>
        </w:rPr>
        <w:lastRenderedPageBreak/>
        <w:drawing>
          <wp:inline distT="114300" distB="114300" distL="114300" distR="114300" wp14:anchorId="0B1113F6" wp14:editId="293769E8">
            <wp:extent cx="3500438" cy="3067489"/>
            <wp:effectExtent l="0" t="0" r="0" b="0"/>
            <wp:docPr id="2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
                    <a:srcRect/>
                    <a:stretch>
                      <a:fillRect/>
                    </a:stretch>
                  </pic:blipFill>
                  <pic:spPr>
                    <a:xfrm>
                      <a:off x="0" y="0"/>
                      <a:ext cx="3500438" cy="3067489"/>
                    </a:xfrm>
                    <a:prstGeom prst="rect">
                      <a:avLst/>
                    </a:prstGeom>
                    <a:ln/>
                  </pic:spPr>
                </pic:pic>
              </a:graphicData>
            </a:graphic>
          </wp:inline>
        </w:drawing>
      </w:r>
      <w:r w:rsidRPr="00D035DB">
        <w:rPr>
          <w:b/>
        </w:rPr>
        <w:t xml:space="preserve"> </w:t>
      </w:r>
    </w:p>
    <w:p w14:paraId="680F2188" w14:textId="77777777" w:rsidR="00874718" w:rsidRPr="00D035DB" w:rsidRDefault="00874718" w:rsidP="00874718">
      <w:pPr>
        <w:spacing w:line="276" w:lineRule="auto"/>
      </w:pPr>
      <w:r w:rsidRPr="00D035DB">
        <w:t>Figure S3. The black line is the saturated H</w:t>
      </w:r>
      <w:r w:rsidRPr="00D035DB">
        <w:rPr>
          <w:vertAlign w:val="subscript"/>
        </w:rPr>
        <w:t>2</w:t>
      </w:r>
      <w:r w:rsidRPr="00D035DB">
        <w:t>O mixing ratio near HTHH on Jan 15 based on the model nudged GEOS5 temperature profile and the temperature profile at the Fiji radiosonde station using the vapor pressure equation of Goff &amp; Gratch</w:t>
      </w:r>
      <w:r>
        <w:fldChar w:fldCharType="begin"/>
      </w:r>
      <w:r>
        <w:instrText xml:space="preserve"> ADDIN ZOTERO_ITEM CSL_CITATION {"citationID":"hSfCzD6G","properties":{"formattedCitation":"\\super 41\\nosupersub{}","plainCitation":"41","noteIndex":0},"citationItems":[{"id":387,"uris":["http://zotero.org/users/5867811/items/LKU9GSPQ"],"itemData":{"id":387,"type":"article-journal","container-title":"Heating, Piping and Air Conditioning","journalAbbreviation":"Heating, Piping and Air Conditioning","page":"125-136","title":"Low Pressure Properties of H2O From-120F to 212F","volume":"18","author":[{"family":"Goff","given":"JA"},{"family":"Gratch","given":"S"}],"issued":{"date-parts":[["1946"]]}}}],"schema":"https://github.com/citation-style-language/schema/raw/master/csl-citation.json"} </w:instrText>
      </w:r>
      <w:r>
        <w:fldChar w:fldCharType="separate"/>
      </w:r>
      <w:r w:rsidRPr="000218CC">
        <w:rPr>
          <w:vertAlign w:val="superscript"/>
        </w:rPr>
        <w:t>41</w:t>
      </w:r>
      <w:r>
        <w:fldChar w:fldCharType="end"/>
      </w:r>
      <w:r w:rsidRPr="00D035DB">
        <w:t>. The blue line is the mixing ratio of H</w:t>
      </w:r>
      <w:r w:rsidRPr="00D035DB">
        <w:rPr>
          <w:vertAlign w:val="subscript"/>
        </w:rPr>
        <w:t>2</w:t>
      </w:r>
      <w:r w:rsidRPr="00D035DB">
        <w:t>O injection assuming all H</w:t>
      </w:r>
      <w:r w:rsidRPr="00D035DB">
        <w:rPr>
          <w:vertAlign w:val="subscript"/>
        </w:rPr>
        <w:t>2</w:t>
      </w:r>
      <w:r w:rsidRPr="00D035DB">
        <w:t xml:space="preserve">O is in the vapor phase in the H2O_SO2 case near HTHH on Jan 15. ​​The figure shows water vapor is saturated </w:t>
      </w:r>
      <w:r>
        <w:t>at pressures above</w:t>
      </w:r>
      <w:r w:rsidRPr="00D035DB">
        <w:t xml:space="preserve"> 15 hPa where ice forms.</w:t>
      </w:r>
    </w:p>
    <w:p w14:paraId="278650AC" w14:textId="77777777" w:rsidR="00874718" w:rsidRPr="00D035DB" w:rsidRDefault="00874718" w:rsidP="00874718">
      <w:pPr>
        <w:spacing w:line="240" w:lineRule="auto"/>
        <w:jc w:val="left"/>
      </w:pPr>
    </w:p>
    <w:p w14:paraId="66D1B065" w14:textId="77777777" w:rsidR="00874718" w:rsidRPr="00D035DB" w:rsidRDefault="00874718" w:rsidP="00874718">
      <w:pPr>
        <w:spacing w:line="240" w:lineRule="auto"/>
        <w:jc w:val="left"/>
      </w:pPr>
    </w:p>
    <w:p w14:paraId="156911B3" w14:textId="77777777" w:rsidR="00874718" w:rsidRPr="00D035DB" w:rsidRDefault="00874718" w:rsidP="00874718">
      <w:pPr>
        <w:spacing w:line="240" w:lineRule="auto"/>
        <w:jc w:val="left"/>
      </w:pPr>
      <w:r w:rsidRPr="00D035DB">
        <w:rPr>
          <w:noProof/>
        </w:rPr>
        <w:drawing>
          <wp:inline distT="114300" distB="114300" distL="114300" distR="114300" wp14:anchorId="4DE6C332" wp14:editId="28DB2DCE">
            <wp:extent cx="5943600" cy="1854200"/>
            <wp:effectExtent l="0" t="0" r="0" b="0"/>
            <wp:docPr id="3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943600" cy="1854200"/>
                    </a:xfrm>
                    <a:prstGeom prst="rect">
                      <a:avLst/>
                    </a:prstGeom>
                    <a:ln/>
                  </pic:spPr>
                </pic:pic>
              </a:graphicData>
            </a:graphic>
          </wp:inline>
        </w:drawing>
      </w:r>
    </w:p>
    <w:p w14:paraId="7AD8AEEE" w14:textId="77777777" w:rsidR="00874718" w:rsidRPr="00D035DB" w:rsidRDefault="00874718" w:rsidP="00874718">
      <w:pPr>
        <w:spacing w:line="240" w:lineRule="auto"/>
        <w:jc w:val="left"/>
      </w:pPr>
      <w:r w:rsidRPr="00D035DB">
        <w:t>Figure S4. The OH concentration at 35 hPa after the eruption: the left panel without water injection shows the OH gets depleted in the SO</w:t>
      </w:r>
      <w:r w:rsidRPr="00D035DB">
        <w:rPr>
          <w:vertAlign w:val="subscript"/>
        </w:rPr>
        <w:t>2</w:t>
      </w:r>
      <w:r w:rsidRPr="00D035DB">
        <w:t xml:space="preserve"> plume. The right panel with water injection shows H</w:t>
      </w:r>
      <w:r w:rsidRPr="00D035DB">
        <w:rPr>
          <w:vertAlign w:val="subscript"/>
        </w:rPr>
        <w:t>2</w:t>
      </w:r>
      <w:r w:rsidRPr="00D035DB">
        <w:t>O converting to OH rapidly inside the plume.</w:t>
      </w:r>
    </w:p>
    <w:p w14:paraId="65BBD56C" w14:textId="77777777" w:rsidR="00874718" w:rsidRPr="00D035DB" w:rsidRDefault="00874718" w:rsidP="00874718">
      <w:pPr>
        <w:spacing w:line="240" w:lineRule="auto"/>
        <w:jc w:val="left"/>
      </w:pPr>
    </w:p>
    <w:p w14:paraId="71F77EE7" w14:textId="77777777" w:rsidR="00874718" w:rsidRPr="00D035DB" w:rsidRDefault="00874718" w:rsidP="00874718">
      <w:pPr>
        <w:spacing w:line="240" w:lineRule="auto"/>
        <w:jc w:val="left"/>
      </w:pPr>
    </w:p>
    <w:p w14:paraId="3ECC489F" w14:textId="77777777" w:rsidR="00874718" w:rsidRPr="00D035DB" w:rsidRDefault="00874718" w:rsidP="00874718">
      <w:pPr>
        <w:spacing w:line="240" w:lineRule="auto"/>
        <w:jc w:val="left"/>
      </w:pPr>
      <w:r w:rsidRPr="00D035DB">
        <w:rPr>
          <w:noProof/>
        </w:rPr>
        <w:lastRenderedPageBreak/>
        <w:drawing>
          <wp:inline distT="114300" distB="114300" distL="114300" distR="114300" wp14:anchorId="7B790D1A" wp14:editId="6DF89368">
            <wp:extent cx="5552698" cy="5614988"/>
            <wp:effectExtent l="0" t="0" r="0" b="0"/>
            <wp:docPr id="2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8"/>
                    <a:srcRect/>
                    <a:stretch>
                      <a:fillRect/>
                    </a:stretch>
                  </pic:blipFill>
                  <pic:spPr>
                    <a:xfrm>
                      <a:off x="0" y="0"/>
                      <a:ext cx="5552698" cy="5614988"/>
                    </a:xfrm>
                    <a:prstGeom prst="rect">
                      <a:avLst/>
                    </a:prstGeom>
                    <a:ln/>
                  </pic:spPr>
                </pic:pic>
              </a:graphicData>
            </a:graphic>
          </wp:inline>
        </w:drawing>
      </w:r>
    </w:p>
    <w:p w14:paraId="3E0ADA66" w14:textId="77777777" w:rsidR="00874718" w:rsidRPr="00D035DB" w:rsidRDefault="00874718" w:rsidP="00874718">
      <w:pPr>
        <w:spacing w:line="240" w:lineRule="auto"/>
        <w:jc w:val="left"/>
      </w:pPr>
      <w:r w:rsidRPr="00D035DB">
        <w:t>Figure S5. Top and middle: CALIOP backscatter coefficient at 532 nm compared with the simulation on Jan 17 ~ 16 UTC along CALIOP track. Simulated aerosol backscatter is calculated using the simulated visible extinction coefficient divided by the extinction-to-backscatter ratio (value = 55) for volcanic sulfate suggested by the Wyoming balloon particle counter data calculation two years after the Mt. Pinatubo eruption in 1993 (value ~ 50)</w:t>
      </w:r>
      <w:r>
        <w:fldChar w:fldCharType="begin"/>
      </w:r>
      <w:r>
        <w:instrText xml:space="preserve"> ADDIN ZOTERO_ITEM CSL_CITATION {"citationID":"CQjnuURP","properties":{"formattedCitation":"\\super 42,43\\nosupersub{}","plainCitation":"42,43","noteIndex":0},"citationItems":[{"id":256,"uris":["http://zotero.org/users/5867811/items/ZN58EAJ8"],"itemData":{"id":256,"type":"article-journal","abstract":"Size distributions of the stratospheric sulfuric acid aerosol derived from balloonborne particle counter measurements from Laramie, Wyoming, are used to calculate ratios of particle extinction, mass, and surface area to particle backscatter, and the wavelength dependences of particle backscatter and extinction. These ratios may then be used to infer particle extinction, mass, and area from midlatitude lidar data in the spectral range 355 nm to 1064 nm for the time period 1991 to 1999. The conversions are defined in four height intervals from the tropopause to 30 km with a time resolution of four months. Results of conversions from earlier studies are included to span the time period 1979 to 1999. The eruptions of El Chichón (1982) and Pinatubo (1991) strongly influence these conversions. Extended background levels are observed prior to El Chichón and since about 1997.","container-title":"Geophysical Research Letters","DOI":"10.1029/2002GL015609","ISSN":"0094-8276","issue":"19","journalAbbreviation":"Geophysical Research Letters","note":"number-of-pages: 35-4\npublisher: John Wiley &amp; Sons, Ltd","page":"35-1","title":"Lidar backscatter to extinction, mass and area conversions for stratospheric aerosols based on midlatitude balloonborne size distribution measurements","volume":"29","author":[{"family":"Jäger","given":"Horst"},{"family":"Deshler","given":"Terry"}],"issued":{"date-parts":[["2002",10,1]]}}},{"id":258,"uris":["http://zotero.org/users/5867811/items/5H5DLNDZ"],"itemData":{"id":258,"type":"article-journal","container-title":"Geophys. Res. Lett","issue":"7","journalAbbreviation":"Geophys. Res. Lett","page":"1382","title":"Correction to “Lidar backscatter to extinction, mass and area conversions for stratospheric aerosols based on midlatitude balloonborne size distribution measurements”","volume":"30","author":[{"family":"Jäger","given":"Horst"},{"family":"Deshler","given":"Terry"}],"issued":{"date-parts":[["2003"]]}}}],"schema":"https://github.com/citation-style-language/schema/raw/master/csl-citation.json"} </w:instrText>
      </w:r>
      <w:r>
        <w:fldChar w:fldCharType="separate"/>
      </w:r>
      <w:r w:rsidRPr="000218CC">
        <w:rPr>
          <w:vertAlign w:val="superscript"/>
        </w:rPr>
        <w:t>42,43</w:t>
      </w:r>
      <w:r>
        <w:fldChar w:fldCharType="end"/>
      </w:r>
      <w:r w:rsidRPr="00D035DB">
        <w:t xml:space="preserve"> and CALIOP lidar ratio retrievals for sulfate-rich aerosol layer (value = 60)</w:t>
      </w:r>
      <w:r>
        <w:fldChar w:fldCharType="begin"/>
      </w:r>
      <w:r>
        <w:instrText xml:space="preserve"> ADDIN ZOTERO_ITEM CSL_CITATION {"citationID":"hhyGDoIj","properties":{"formattedCitation":"\\super 44\\nosupersub{}","plainCitation":"44","noteIndex":0},"citationItems":[{"id":367,"uris":["http://zotero.org/users/5867811/items/7SYN4IW3"],"itemData":{"id":367,"type":"article-journal","container-title":"Atmospheric Chemistry and Physics","ISSN":"1680-7316","issue":"13","journalAbbreviation":"Atmospheric Chemistry and Physics","note":"publisher: Copernicus GmbH","page":"8599-8618","title":"Lidar ratios of stratospheric volcanic ash and sulfate aerosols retrieved from CALIOP measurements","volume":"17","author":[{"family":"Prata","given":"Andrew T"},{"family":"Young","given":"Stuart A"},{"family":"Siems","given":"Steven T"},{"family":"Manton","given":"Michael J"}],"issued":{"date-parts":[["2017"]]}}}],"schema":"https://github.com/citation-style-language/schema/raw/master/csl-citation.json"} </w:instrText>
      </w:r>
      <w:r>
        <w:fldChar w:fldCharType="separate"/>
      </w:r>
      <w:r w:rsidRPr="000218CC">
        <w:rPr>
          <w:vertAlign w:val="superscript"/>
        </w:rPr>
        <w:t>44</w:t>
      </w:r>
      <w:r>
        <w:fldChar w:fldCharType="end"/>
      </w:r>
      <w:r w:rsidRPr="00D035DB">
        <w:t>. Bottom: CALIOP depolarization ratio shows low depolarization for both plumes, but the lower plume shows a small segment of high depolarization near 23 km and 20˚S.</w:t>
      </w:r>
    </w:p>
    <w:p w14:paraId="41693E57" w14:textId="77777777" w:rsidR="00874718" w:rsidRPr="00D035DB" w:rsidRDefault="00874718" w:rsidP="00874718">
      <w:pPr>
        <w:spacing w:line="240" w:lineRule="auto"/>
        <w:jc w:val="left"/>
      </w:pPr>
    </w:p>
    <w:p w14:paraId="7D896DC9" w14:textId="77777777" w:rsidR="00874718" w:rsidRPr="00D035DB" w:rsidRDefault="00874718" w:rsidP="00874718">
      <w:pPr>
        <w:spacing w:line="240" w:lineRule="auto"/>
        <w:jc w:val="left"/>
      </w:pPr>
    </w:p>
    <w:p w14:paraId="1C45C496" w14:textId="77777777" w:rsidR="00874718" w:rsidRPr="00D035DB" w:rsidRDefault="00874718" w:rsidP="00874718">
      <w:pPr>
        <w:spacing w:line="240" w:lineRule="auto"/>
        <w:jc w:val="left"/>
      </w:pPr>
      <w:r w:rsidRPr="00D035DB">
        <w:rPr>
          <w:noProof/>
        </w:rPr>
        <w:lastRenderedPageBreak/>
        <w:drawing>
          <wp:inline distT="114300" distB="114300" distL="114300" distR="114300" wp14:anchorId="743BEB73" wp14:editId="39C47F8E">
            <wp:extent cx="5943600" cy="3505200"/>
            <wp:effectExtent l="0" t="0" r="0" b="0"/>
            <wp:docPr id="2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943600" cy="3505200"/>
                    </a:xfrm>
                    <a:prstGeom prst="rect">
                      <a:avLst/>
                    </a:prstGeom>
                    <a:ln/>
                  </pic:spPr>
                </pic:pic>
              </a:graphicData>
            </a:graphic>
          </wp:inline>
        </w:drawing>
      </w:r>
    </w:p>
    <w:p w14:paraId="3B937F0A" w14:textId="77777777" w:rsidR="00874718" w:rsidRPr="00D035DB" w:rsidRDefault="00874718" w:rsidP="00874718">
      <w:pPr>
        <w:spacing w:line="240" w:lineRule="auto"/>
        <w:jc w:val="left"/>
      </w:pPr>
      <w:r w:rsidRPr="00D035DB">
        <w:t>Figure S6. The effective radius and weight percentage of sulfate aerosol (SO4</w:t>
      </w:r>
      <w:r w:rsidRPr="00D035DB">
        <w:rPr>
          <w:vertAlign w:val="superscript"/>
        </w:rPr>
        <w:t>2-</w:t>
      </w:r>
      <w:r w:rsidRPr="00D035DB">
        <w:t>: (SO4</w:t>
      </w:r>
      <w:r w:rsidRPr="00D035DB">
        <w:rPr>
          <w:vertAlign w:val="superscript"/>
        </w:rPr>
        <w:t>2-</w:t>
      </w:r>
      <w:r w:rsidRPr="00D035DB">
        <w:t>+H</w:t>
      </w:r>
      <w:r w:rsidRPr="00D035DB">
        <w:rPr>
          <w:vertAlign w:val="subscript"/>
        </w:rPr>
        <w:t>2</w:t>
      </w:r>
      <w:r w:rsidRPr="00D035DB">
        <w:t>O) inside the particle) comparisons between the SO2_H2O case and the SO2only case on February 7 at 36 hPa.</w:t>
      </w:r>
    </w:p>
    <w:p w14:paraId="247D8697" w14:textId="77777777" w:rsidR="00874718" w:rsidRPr="00D035DB" w:rsidRDefault="00874718" w:rsidP="00874718">
      <w:pPr>
        <w:spacing w:line="240" w:lineRule="auto"/>
        <w:jc w:val="left"/>
      </w:pPr>
      <w:r w:rsidRPr="00D035DB">
        <w:t xml:space="preserve"> </w:t>
      </w:r>
    </w:p>
    <w:p w14:paraId="7EA10E2B" w14:textId="77777777" w:rsidR="00874718" w:rsidRPr="00D035DB" w:rsidRDefault="00874718" w:rsidP="00874718">
      <w:pPr>
        <w:spacing w:line="240" w:lineRule="auto"/>
        <w:jc w:val="left"/>
      </w:pPr>
    </w:p>
    <w:p w14:paraId="03A9741F" w14:textId="77777777" w:rsidR="00874718" w:rsidRPr="00D035DB" w:rsidRDefault="00874718" w:rsidP="00874718">
      <w:pPr>
        <w:spacing w:line="240" w:lineRule="auto"/>
        <w:jc w:val="left"/>
      </w:pPr>
      <w:r w:rsidRPr="00D035DB">
        <w:rPr>
          <w:noProof/>
        </w:rPr>
        <w:drawing>
          <wp:inline distT="114300" distB="114300" distL="114300" distR="114300" wp14:anchorId="425E5044" wp14:editId="373A06D6">
            <wp:extent cx="5943600" cy="3835400"/>
            <wp:effectExtent l="0" t="0" r="0" b="0"/>
            <wp:docPr id="3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5943600" cy="3835400"/>
                    </a:xfrm>
                    <a:prstGeom prst="rect">
                      <a:avLst/>
                    </a:prstGeom>
                    <a:ln/>
                  </pic:spPr>
                </pic:pic>
              </a:graphicData>
            </a:graphic>
          </wp:inline>
        </w:drawing>
      </w:r>
    </w:p>
    <w:p w14:paraId="16D87D57" w14:textId="77777777" w:rsidR="00874718" w:rsidRPr="00D035DB" w:rsidRDefault="00874718" w:rsidP="00874718">
      <w:pPr>
        <w:spacing w:line="240" w:lineRule="auto"/>
        <w:jc w:val="left"/>
      </w:pPr>
      <w:r w:rsidRPr="00D035DB">
        <w:lastRenderedPageBreak/>
        <w:t>Figure S7. One of the OMPS-LP extinction profiles on March 2 compares with the S</w:t>
      </w:r>
      <w:r>
        <w:t>O2_H2</w:t>
      </w:r>
      <w:r w:rsidRPr="00D035DB">
        <w:t>O simulation for the same sampling. They show a consistent vertical extension above 20 km. OMPS data near the tropical tropopause (black line) may be affected by tropical cirrus clouds. They both show that volcanic sulfate extends from 40˚S to 10˚N, but the simulation has smaller extinction values in the northern hemisphere.</w:t>
      </w:r>
    </w:p>
    <w:p w14:paraId="0A4D2F4D" w14:textId="77777777" w:rsidR="00874718" w:rsidRPr="00D035DB" w:rsidRDefault="00874718" w:rsidP="00874718">
      <w:pPr>
        <w:spacing w:line="240" w:lineRule="auto"/>
        <w:jc w:val="left"/>
      </w:pPr>
    </w:p>
    <w:p w14:paraId="4E1C5565" w14:textId="77777777" w:rsidR="00874718" w:rsidRDefault="00874718">
      <w:bookmarkStart w:id="0" w:name="_GoBack"/>
      <w:bookmarkEnd w:id="0"/>
    </w:p>
    <w:sectPr w:rsidR="00874718" w:rsidSect="00502A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718"/>
    <w:rsid w:val="00502A31"/>
    <w:rsid w:val="00874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A39C4"/>
  <w15:chartTrackingRefBased/>
  <w15:docId w15:val="{8998A45E-5BED-B143-B5EF-9DA7548FB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4718"/>
    <w:pPr>
      <w:spacing w:line="480" w:lineRule="auto"/>
      <w:jc w:val="both"/>
    </w:pPr>
    <w:rPr>
      <w:rFonts w:ascii="Times New Roman" w:eastAsia="Times New Roman" w:hAnsi="Times New Roman" w:cs="Times New Roman"/>
    </w:rPr>
  </w:style>
  <w:style w:type="paragraph" w:styleId="Heading1">
    <w:name w:val="heading 1"/>
    <w:basedOn w:val="Normal"/>
    <w:next w:val="Normal"/>
    <w:link w:val="Heading1Char"/>
    <w:uiPriority w:val="9"/>
    <w:qFormat/>
    <w:rsid w:val="0087471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71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1392</Words>
  <Characters>7935</Characters>
  <Application>Microsoft Office Word</Application>
  <DocSecurity>0</DocSecurity>
  <Lines>66</Lines>
  <Paragraphs>18</Paragraphs>
  <ScaleCrop>false</ScaleCrop>
  <Company/>
  <LinksUpToDate>false</LinksUpToDate>
  <CharactersWithSpaces>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2022-05-12T16:24:00Z</dcterms:created>
  <dcterms:modified xsi:type="dcterms:W3CDTF">2022-05-12T16:24:00Z</dcterms:modified>
</cp:coreProperties>
</file>