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681D" w:rsidRPr="00420CEF" w:rsidRDefault="003717D1" w:rsidP="00C3681D">
      <w:pPr>
        <w:pBdr>
          <w:top w:val="nil"/>
          <w:left w:val="nil"/>
          <w:bottom w:val="nil"/>
          <w:right w:val="nil"/>
          <w:between w:val="nil"/>
        </w:pBdr>
        <w:spacing w:before="720" w:after="360" w:line="480" w:lineRule="auto"/>
        <w:jc w:val="center"/>
        <w:rPr>
          <w:rFonts w:ascii="Times New Roman" w:eastAsia="Times New Roman" w:hAnsi="Times New Roman" w:cs="Times New Roman"/>
          <w:color w:val="000000"/>
          <w:sz w:val="44"/>
          <w:szCs w:val="44"/>
        </w:rPr>
      </w:pPr>
      <w:r w:rsidRPr="003717D1">
        <w:rPr>
          <w:rFonts w:ascii="Times New Roman" w:eastAsia="Times New Roman" w:hAnsi="Times New Roman" w:cs="Times New Roman"/>
          <w:color w:val="000000"/>
          <w:sz w:val="44"/>
          <w:szCs w:val="44"/>
        </w:rPr>
        <w:t>Understanding 2D MoSe</w:t>
      </w:r>
      <w:r w:rsidRPr="003717D1">
        <w:rPr>
          <w:rFonts w:ascii="Times New Roman" w:eastAsia="Times New Roman" w:hAnsi="Times New Roman" w:cs="Times New Roman"/>
          <w:color w:val="000000"/>
          <w:sz w:val="44"/>
          <w:szCs w:val="44"/>
          <w:vertAlign w:val="subscript"/>
        </w:rPr>
        <w:t>2</w:t>
      </w:r>
      <w:r w:rsidRPr="003717D1">
        <w:rPr>
          <w:rFonts w:ascii="Times New Roman" w:eastAsia="Times New Roman" w:hAnsi="Times New Roman" w:cs="Times New Roman"/>
          <w:color w:val="000000"/>
          <w:sz w:val="44"/>
          <w:szCs w:val="44"/>
        </w:rPr>
        <w:t xml:space="preserve"> grown by CVD</w:t>
      </w:r>
    </w:p>
    <w:p w:rsidR="00C3681D" w:rsidRPr="001F616A" w:rsidRDefault="00C3681D" w:rsidP="00C3681D">
      <w:pPr>
        <w:pBdr>
          <w:top w:val="nil"/>
          <w:left w:val="nil"/>
          <w:bottom w:val="nil"/>
          <w:right w:val="nil"/>
          <w:between w:val="nil"/>
        </w:pBdr>
        <w:spacing w:after="240" w:line="480" w:lineRule="auto"/>
        <w:jc w:val="center"/>
        <w:rPr>
          <w:i/>
          <w:color w:val="000000"/>
          <w:lang w:val="pt-PT"/>
        </w:rPr>
      </w:pPr>
      <w:r w:rsidRPr="001F616A">
        <w:rPr>
          <w:i/>
          <w:color w:val="000000"/>
          <w:lang w:val="pt-PT"/>
        </w:rPr>
        <w:t>João Fernandes</w:t>
      </w:r>
      <w:r>
        <w:rPr>
          <w:i/>
          <w:color w:val="000000"/>
          <w:vertAlign w:val="superscript"/>
          <w:lang w:val="pt-PT"/>
        </w:rPr>
        <w:t>1</w:t>
      </w:r>
      <w:r w:rsidRPr="001F616A">
        <w:rPr>
          <w:i/>
          <w:color w:val="000000"/>
          <w:lang w:val="pt-PT"/>
        </w:rPr>
        <w:t>, Justyna Grzonka</w:t>
      </w:r>
      <w:r>
        <w:rPr>
          <w:i/>
          <w:color w:val="000000"/>
          <w:vertAlign w:val="superscript"/>
          <w:lang w:val="pt-PT"/>
        </w:rPr>
        <w:t>1</w:t>
      </w:r>
      <w:r w:rsidRPr="001F616A">
        <w:rPr>
          <w:i/>
          <w:color w:val="000000"/>
          <w:lang w:val="pt-PT"/>
        </w:rPr>
        <w:t>, João Rodrigues</w:t>
      </w:r>
      <w:r>
        <w:rPr>
          <w:i/>
          <w:color w:val="000000"/>
          <w:vertAlign w:val="superscript"/>
          <w:lang w:val="pt-PT"/>
        </w:rPr>
        <w:t>1</w:t>
      </w:r>
      <w:r>
        <w:rPr>
          <w:i/>
          <w:color w:val="000000"/>
          <w:lang w:val="pt-PT"/>
        </w:rPr>
        <w:t>, J</w:t>
      </w:r>
      <w:r w:rsidRPr="001F616A">
        <w:rPr>
          <w:i/>
          <w:color w:val="000000"/>
          <w:lang w:val="pt-PT"/>
        </w:rPr>
        <w:t>oão Santos</w:t>
      </w:r>
      <w:r>
        <w:rPr>
          <w:i/>
          <w:color w:val="000000"/>
          <w:vertAlign w:val="superscript"/>
          <w:lang w:val="pt-PT"/>
        </w:rPr>
        <w:t>1</w:t>
      </w:r>
      <w:r w:rsidRPr="001F616A">
        <w:rPr>
          <w:i/>
          <w:color w:val="000000"/>
          <w:lang w:val="pt-PT"/>
        </w:rPr>
        <w:t>, Oleksandr Bondarchuk</w:t>
      </w:r>
      <w:r>
        <w:rPr>
          <w:color w:val="000000"/>
          <w:vertAlign w:val="superscript"/>
          <w:lang w:val="pt-PT"/>
        </w:rPr>
        <w:t>1</w:t>
      </w:r>
      <w:r w:rsidRPr="001F616A">
        <w:rPr>
          <w:color w:val="000000"/>
          <w:lang w:val="pt-PT"/>
        </w:rPr>
        <w:t xml:space="preserve">, </w:t>
      </w:r>
      <w:r w:rsidRPr="001F616A">
        <w:rPr>
          <w:i/>
          <w:color w:val="000000"/>
          <w:lang w:val="pt-PT"/>
        </w:rPr>
        <w:t>Paulo Ferreira</w:t>
      </w:r>
      <w:r>
        <w:rPr>
          <w:i/>
          <w:color w:val="000000"/>
          <w:vertAlign w:val="superscript"/>
          <w:lang w:val="pt-PT"/>
        </w:rPr>
        <w:t>1,2,3</w:t>
      </w:r>
      <w:r w:rsidRPr="001F616A">
        <w:rPr>
          <w:i/>
          <w:color w:val="000000"/>
          <w:lang w:val="pt-PT"/>
        </w:rPr>
        <w:t>, Pedro Alpuim</w:t>
      </w:r>
      <w:r>
        <w:rPr>
          <w:i/>
          <w:color w:val="000000"/>
          <w:vertAlign w:val="superscript"/>
          <w:lang w:val="pt-PT"/>
        </w:rPr>
        <w:t>1,4</w:t>
      </w:r>
      <w:r w:rsidRPr="001F616A">
        <w:rPr>
          <w:i/>
          <w:color w:val="000000"/>
          <w:lang w:val="pt-PT"/>
        </w:rPr>
        <w:t>, Andrea Capasso</w:t>
      </w:r>
      <w:r>
        <w:rPr>
          <w:i/>
          <w:color w:val="000000"/>
          <w:vertAlign w:val="superscript"/>
          <w:lang w:val="pt-PT"/>
        </w:rPr>
        <w:t>1</w:t>
      </w:r>
      <w:r w:rsidRPr="001F616A">
        <w:rPr>
          <w:i/>
          <w:color w:val="000000"/>
          <w:vertAlign w:val="superscript"/>
          <w:lang w:val="pt-PT"/>
        </w:rPr>
        <w:t>,*</w:t>
      </w:r>
      <w:r w:rsidRPr="00A21016">
        <w:rPr>
          <w:color w:val="FFFFFF" w:themeColor="background1"/>
          <w:vertAlign w:val="superscript"/>
        </w:rPr>
        <w:footnoteReference w:id="1"/>
      </w:r>
    </w:p>
    <w:p w:rsidR="00C3681D" w:rsidRDefault="00C3681D" w:rsidP="00C3681D">
      <w:pPr>
        <w:pBdr>
          <w:top w:val="nil"/>
          <w:left w:val="nil"/>
          <w:bottom w:val="nil"/>
          <w:right w:val="nil"/>
          <w:between w:val="nil"/>
        </w:pBdr>
        <w:spacing w:line="480" w:lineRule="auto"/>
        <w:jc w:val="center"/>
        <w:rPr>
          <w:color w:val="000000"/>
        </w:rPr>
      </w:pPr>
      <w:r w:rsidRPr="00A21016">
        <w:rPr>
          <w:color w:val="000000"/>
          <w:vertAlign w:val="superscript"/>
        </w:rPr>
        <w:t>1</w:t>
      </w:r>
      <w:r>
        <w:rPr>
          <w:color w:val="000000"/>
        </w:rPr>
        <w:t xml:space="preserve"> International Iberian Nanotechnology Laboratory, 4715-330 Braga, Portugal</w:t>
      </w:r>
    </w:p>
    <w:p w:rsidR="00C3681D" w:rsidRDefault="00C3681D" w:rsidP="00C3681D">
      <w:pPr>
        <w:pBdr>
          <w:top w:val="nil"/>
          <w:left w:val="nil"/>
          <w:bottom w:val="nil"/>
          <w:right w:val="nil"/>
          <w:between w:val="nil"/>
        </w:pBdr>
        <w:spacing w:line="480" w:lineRule="auto"/>
        <w:jc w:val="center"/>
        <w:rPr>
          <w:color w:val="000000"/>
        </w:rPr>
      </w:pPr>
      <w:r>
        <w:rPr>
          <w:i/>
          <w:color w:val="000000"/>
          <w:vertAlign w:val="superscript"/>
        </w:rPr>
        <w:t xml:space="preserve">2 </w:t>
      </w:r>
      <w:r>
        <w:rPr>
          <w:color w:val="000000"/>
        </w:rPr>
        <w:t>Mechanical Engineering Department and IDMEC, Instituto Superior Técnico, University of Lisbon, Av. Rovisco Pais, 1049-001 Lisboa, Portugal</w:t>
      </w:r>
    </w:p>
    <w:p w:rsidR="00C3681D" w:rsidRDefault="00C3681D" w:rsidP="00C3681D">
      <w:pPr>
        <w:jc w:val="center"/>
        <w:rPr>
          <w:color w:val="000000"/>
        </w:rPr>
      </w:pPr>
      <w:r>
        <w:rPr>
          <w:i/>
          <w:color w:val="000000"/>
          <w:vertAlign w:val="superscript"/>
        </w:rPr>
        <w:t xml:space="preserve">3 </w:t>
      </w:r>
      <w:r>
        <w:rPr>
          <w:color w:val="000000"/>
        </w:rPr>
        <w:t>Materials Science and Engineering Program, University of Texas at Austin, Austin, TX 78712, USA</w:t>
      </w:r>
    </w:p>
    <w:p w:rsidR="00C3681D" w:rsidRDefault="00C3681D" w:rsidP="00C3681D">
      <w:pPr>
        <w:pBdr>
          <w:top w:val="nil"/>
          <w:left w:val="nil"/>
          <w:bottom w:val="nil"/>
          <w:right w:val="nil"/>
          <w:between w:val="nil"/>
        </w:pBdr>
        <w:spacing w:line="480" w:lineRule="auto"/>
        <w:jc w:val="center"/>
        <w:rPr>
          <w:color w:val="000000"/>
          <w:lang w:val="pt-PT"/>
        </w:rPr>
      </w:pPr>
      <w:r w:rsidRPr="00A21016">
        <w:rPr>
          <w:color w:val="000000"/>
          <w:vertAlign w:val="superscript"/>
          <w:lang w:val="pt-PT"/>
        </w:rPr>
        <w:t>4</w:t>
      </w:r>
      <w:r w:rsidRPr="00A21016">
        <w:rPr>
          <w:color w:val="000000"/>
          <w:lang w:val="pt-PT"/>
        </w:rPr>
        <w:t xml:space="preserve"> Centro de Física das Universidades do Minho e do Porto, Universidade do Minho, 4710-057 Braga, Portugal</w:t>
      </w:r>
    </w:p>
    <w:p w:rsidR="00CA75F5" w:rsidRPr="00C3681D" w:rsidRDefault="00CC780C" w:rsidP="00C3681D">
      <w:pPr>
        <w:pBdr>
          <w:top w:val="nil"/>
          <w:left w:val="nil"/>
          <w:bottom w:val="nil"/>
          <w:right w:val="nil"/>
          <w:between w:val="nil"/>
        </w:pBdr>
        <w:spacing w:line="480" w:lineRule="auto"/>
        <w:jc w:val="center"/>
        <w:rPr>
          <w:b/>
          <w:color w:val="000000"/>
          <w:sz w:val="40"/>
          <w:szCs w:val="40"/>
          <w:lang w:val="pt-PT"/>
        </w:rPr>
      </w:pPr>
      <w:r w:rsidRPr="00C3681D">
        <w:rPr>
          <w:b/>
          <w:color w:val="000000"/>
          <w:sz w:val="40"/>
          <w:szCs w:val="40"/>
          <w:lang w:val="pt-PT"/>
        </w:rPr>
        <w:t>Supporting Information</w:t>
      </w:r>
    </w:p>
    <w:p w:rsidR="00CA75F5" w:rsidRPr="00C3681D" w:rsidRDefault="00CC780C">
      <w:pPr>
        <w:rPr>
          <w:lang w:val="pt-PT"/>
        </w:rPr>
      </w:pPr>
      <w:r w:rsidRPr="00C3681D">
        <w:rPr>
          <w:lang w:val="pt-PT"/>
        </w:rPr>
        <w:br w:type="page"/>
      </w:r>
    </w:p>
    <w:p w:rsidR="00CA75F5" w:rsidRDefault="00CC780C">
      <w:pPr>
        <w:keepNext/>
        <w:pBdr>
          <w:top w:val="nil"/>
          <w:left w:val="nil"/>
          <w:bottom w:val="nil"/>
          <w:right w:val="nil"/>
          <w:between w:val="nil"/>
        </w:pBdr>
        <w:spacing w:after="0"/>
        <w:jc w:val="center"/>
      </w:pPr>
      <w:r>
        <w:rPr>
          <w:noProof/>
          <w:lang w:val="en-GB"/>
        </w:rPr>
        <w:lastRenderedPageBreak/>
        <w:drawing>
          <wp:inline distT="0" distB="0" distL="0" distR="0">
            <wp:extent cx="5760000" cy="4600800"/>
            <wp:effectExtent l="0" t="0" r="0" b="0"/>
            <wp:docPr id="1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rotWithShape="1">
                    <a:blip r:embed="rId8"/>
                    <a:srcRect l="1058" t="6423" r="4730" b="1902"/>
                    <a:stretch/>
                  </pic:blipFill>
                  <pic:spPr bwMode="auto">
                    <a:xfrm>
                      <a:off x="0" y="0"/>
                      <a:ext cx="5760000" cy="4600800"/>
                    </a:xfrm>
                    <a:prstGeom prst="rect">
                      <a:avLst/>
                    </a:prstGeom>
                    <a:ln>
                      <a:noFill/>
                    </a:ln>
                    <a:extLst>
                      <a:ext uri="{53640926-AAD7-44D8-BBD7-CCE9431645EC}">
                        <a14:shadowObscured xmlns:a14="http://schemas.microsoft.com/office/drawing/2010/main"/>
                      </a:ext>
                    </a:extLst>
                  </pic:spPr>
                </pic:pic>
              </a:graphicData>
            </a:graphic>
          </wp:inline>
        </w:drawing>
      </w:r>
    </w:p>
    <w:p w:rsidR="00CA75F5" w:rsidRDefault="00CC780C">
      <w:pPr>
        <w:pBdr>
          <w:top w:val="nil"/>
          <w:left w:val="nil"/>
          <w:bottom w:val="nil"/>
          <w:right w:val="nil"/>
          <w:between w:val="nil"/>
        </w:pBdr>
        <w:spacing w:line="240" w:lineRule="auto"/>
        <w:rPr>
          <w:i/>
          <w:color w:val="000000"/>
          <w:sz w:val="18"/>
          <w:szCs w:val="18"/>
        </w:rPr>
      </w:pPr>
      <w:r>
        <w:rPr>
          <w:i/>
          <w:color w:val="000000"/>
          <w:sz w:val="18"/>
          <w:szCs w:val="18"/>
        </w:rPr>
        <w:t>Figure S</w:t>
      </w:r>
      <w:r w:rsidR="00014F7A">
        <w:rPr>
          <w:i/>
          <w:color w:val="000000"/>
          <w:sz w:val="18"/>
          <w:szCs w:val="18"/>
        </w:rPr>
        <w:t>1</w:t>
      </w:r>
      <w:r>
        <w:rPr>
          <w:i/>
          <w:color w:val="000000"/>
          <w:sz w:val="18"/>
          <w:szCs w:val="18"/>
        </w:rPr>
        <w:t>: a) Uneven deposition of MoO</w:t>
      </w:r>
      <w:r>
        <w:rPr>
          <w:i/>
          <w:color w:val="000000"/>
          <w:sz w:val="18"/>
          <w:szCs w:val="18"/>
          <w:vertAlign w:val="subscript"/>
        </w:rPr>
        <w:t>3</w:t>
      </w:r>
      <w:r>
        <w:rPr>
          <w:i/>
          <w:color w:val="000000"/>
          <w:sz w:val="18"/>
          <w:szCs w:val="18"/>
        </w:rPr>
        <w:t xml:space="preserve"> by a process carried out without H</w:t>
      </w:r>
      <w:r>
        <w:rPr>
          <w:i/>
          <w:color w:val="000000"/>
          <w:sz w:val="18"/>
          <w:szCs w:val="18"/>
          <w:vertAlign w:val="subscript"/>
        </w:rPr>
        <w:t>2</w:t>
      </w:r>
      <w:r>
        <w:rPr>
          <w:i/>
          <w:color w:val="000000"/>
          <w:sz w:val="18"/>
          <w:szCs w:val="18"/>
        </w:rPr>
        <w:t>. b) 2D MoSe</w:t>
      </w:r>
      <w:r>
        <w:rPr>
          <w:i/>
          <w:color w:val="000000"/>
          <w:sz w:val="18"/>
          <w:szCs w:val="18"/>
          <w:vertAlign w:val="subscript"/>
        </w:rPr>
        <w:t>2</w:t>
      </w:r>
      <w:r>
        <w:rPr>
          <w:i/>
          <w:color w:val="000000"/>
          <w:sz w:val="18"/>
          <w:szCs w:val="18"/>
        </w:rPr>
        <w:t xml:space="preserve"> deposition by a process carried out with 10 </w:t>
      </w:r>
      <w:r w:rsidRPr="00D72F87">
        <w:rPr>
          <w:i/>
          <w:color w:val="000000"/>
          <w:sz w:val="18"/>
          <w:szCs w:val="18"/>
        </w:rPr>
        <w:t>sccm of H</w:t>
      </w:r>
      <w:r w:rsidRPr="00D72F87">
        <w:rPr>
          <w:i/>
          <w:color w:val="000000"/>
          <w:sz w:val="18"/>
          <w:szCs w:val="18"/>
          <w:vertAlign w:val="subscript"/>
        </w:rPr>
        <w:t>2</w:t>
      </w:r>
      <w:r w:rsidRPr="00D72F87">
        <w:rPr>
          <w:i/>
          <w:color w:val="000000"/>
          <w:sz w:val="18"/>
          <w:szCs w:val="18"/>
        </w:rPr>
        <w:t>. c) Raman spectra of the samples, showing the presence of Mo oxide with no H</w:t>
      </w:r>
      <w:r w:rsidRPr="00D72F87">
        <w:rPr>
          <w:i/>
          <w:color w:val="000000"/>
          <w:sz w:val="18"/>
          <w:szCs w:val="18"/>
          <w:vertAlign w:val="subscript"/>
        </w:rPr>
        <w:t>2</w:t>
      </w:r>
      <w:r w:rsidRPr="00D72F87">
        <w:rPr>
          <w:i/>
          <w:color w:val="000000"/>
          <w:sz w:val="18"/>
          <w:szCs w:val="18"/>
        </w:rPr>
        <w:t xml:space="preserve"> </w:t>
      </w:r>
      <w:r w:rsidR="00D72F87" w:rsidRPr="00D72F87">
        <w:rPr>
          <w:sz w:val="18"/>
          <w:szCs w:val="18"/>
          <w:vertAlign w:val="superscript"/>
        </w:rPr>
        <w:fldChar w:fldCharType="begin" w:fldLock="1"/>
      </w:r>
      <w:r w:rsidR="00D72F87">
        <w:rPr>
          <w:sz w:val="18"/>
          <w:szCs w:val="18"/>
          <w:vertAlign w:val="superscript"/>
        </w:rPr>
        <w:instrText>ADDIN CSL_CITATION {"citationItems":[{"id":"ITEM-1","itemData":{"DOI":"10.1007/S11249-011-9774-X","ISSN":"1573-2711","abstract":"Molybdenum disulfide (MoS2) and molybdenum trioxide are investigated using Raman spectroscopy with emphasis on the application to tribological systems. The Raman vibrational modes were investigated for excitation wavelengths at 632.8 and 488 nm using both micro-crystalline MoS2 powder and natural MoS2 crystals. Differences are noted in the Raman spectra for these two different wavelengths, which are attributed to resonance effects due to overlap of the 632.8 nm source with electronic absorption bands. In addition, significant laser intensity effects are found that result in laser-induced transformation of MoS2 to MoO3. Finally, the transformation to molybdenum trioxide is explored as a function of temperature and atmosphere, revealing an apparent transformation at 375 K in the presence of oxygen. Overall, Raman spectroscopy is an useful tool for tribological study of MoS2 coatings, including the role of molybdenum trioxide transformations, although careful attention must be given to the laser excitation parameters (both wavelength and intensity) when interpreting Raman spectra.","author":[{"dropping-particle":"","family":"Windom","given":"Bret C.","non-dropping-particle":"","parse-names":false,"suffix":""},{"dropping-particle":"","family":"Sawyer","given":"W. G.","non-dropping-particle":"","parse-names":false,"suffix":""},{"dropping-particle":"","family":"Hahn","given":"David W.","non-dropping-particle":"","parse-names":false,"suffix":""}],"container-title":"Tribology Letters 2011 42:3","id":"ITEM-1","issue":"3","issued":{"date-parts":[["2011","3"]]},"page":"301-310","publisher":"Springer","title":"A Raman Spectroscopic Study of MoS2 and MoO3: Applications to Tribological Systems","type":"article-journal","volume":"42"},"uris":["http://www.mendeley.com/documents/?uuid=6e711250-8bac-3b76-83df-abd81a4dab26","http://www.mendeley.com/documents/?uuid=06ab63ee-a4da-4691-a4fd-c87e1e5523fb","http://www.mendeley.com/documents/?uuid=7ff6cd5a-3ca3-49cf-92a1-3a30a6195ca2"]}],"mendeley":{"formattedCitation":"&lt;sup&gt;1&lt;/sup&gt;","plainTextFormattedCitation":"1","previouslyFormattedCitation":"&lt;sup&gt;1&lt;/sup&gt;"},"properties":{"noteIndex":0},"schema":"https://github.com/citation-style-language/schema/raw/master/csl-citation.json"}</w:instrText>
      </w:r>
      <w:r w:rsidR="00D72F87" w:rsidRPr="00D72F87">
        <w:rPr>
          <w:sz w:val="18"/>
          <w:szCs w:val="18"/>
          <w:vertAlign w:val="superscript"/>
        </w:rPr>
        <w:fldChar w:fldCharType="separate"/>
      </w:r>
      <w:r w:rsidR="00D72F87" w:rsidRPr="00D72F87">
        <w:rPr>
          <w:noProof/>
          <w:sz w:val="18"/>
          <w:szCs w:val="18"/>
          <w:vertAlign w:val="superscript"/>
        </w:rPr>
        <w:t>1</w:t>
      </w:r>
      <w:r w:rsidR="00D72F87" w:rsidRPr="00D72F87">
        <w:rPr>
          <w:sz w:val="18"/>
          <w:szCs w:val="18"/>
          <w:vertAlign w:val="superscript"/>
        </w:rPr>
        <w:fldChar w:fldCharType="end"/>
      </w:r>
      <w:r w:rsidR="00D72F87" w:rsidRPr="00D72F87">
        <w:rPr>
          <w:sz w:val="18"/>
          <w:szCs w:val="18"/>
        </w:rPr>
        <w:t xml:space="preserve">. </w:t>
      </w:r>
      <w:r w:rsidRPr="00D72F87">
        <w:rPr>
          <w:i/>
          <w:color w:val="000000"/>
          <w:sz w:val="18"/>
          <w:szCs w:val="18"/>
        </w:rPr>
        <w:t xml:space="preserve"> With the introduction of H</w:t>
      </w:r>
      <w:r w:rsidRPr="00D72F87">
        <w:rPr>
          <w:i/>
          <w:color w:val="000000"/>
          <w:sz w:val="18"/>
          <w:szCs w:val="18"/>
          <w:vertAlign w:val="subscript"/>
        </w:rPr>
        <w:t>2</w:t>
      </w:r>
      <w:r w:rsidRPr="00D72F87">
        <w:rPr>
          <w:i/>
          <w:color w:val="000000"/>
          <w:sz w:val="18"/>
          <w:szCs w:val="18"/>
        </w:rPr>
        <w:t xml:space="preserve"> no oxide peaks</w:t>
      </w:r>
      <w:r>
        <w:rPr>
          <w:i/>
          <w:color w:val="000000"/>
          <w:sz w:val="18"/>
          <w:szCs w:val="18"/>
        </w:rPr>
        <w:t xml:space="preserve"> were detected (red plot).</w:t>
      </w:r>
    </w:p>
    <w:p w:rsidR="00CA75F5" w:rsidRDefault="00CC780C">
      <w:r>
        <w:t>In order to ascertain the role of H</w:t>
      </w:r>
      <w:r>
        <w:rPr>
          <w:vertAlign w:val="subscript"/>
        </w:rPr>
        <w:t>2</w:t>
      </w:r>
      <w:r>
        <w:t xml:space="preserve"> during MoSe</w:t>
      </w:r>
      <w:r>
        <w:rPr>
          <w:vertAlign w:val="subscript"/>
        </w:rPr>
        <w:t>2</w:t>
      </w:r>
      <w:r>
        <w:t xml:space="preserve"> growth, two 2PS samples were grown with different H</w:t>
      </w:r>
      <w:r>
        <w:rPr>
          <w:vertAlign w:val="subscript"/>
        </w:rPr>
        <w:t>2</w:t>
      </w:r>
      <w:r>
        <w:t xml:space="preserve"> carrier gas flows: i) 0 sccm of H</w:t>
      </w:r>
      <w:r>
        <w:rPr>
          <w:vertAlign w:val="subscript"/>
        </w:rPr>
        <w:t>2</w:t>
      </w:r>
      <w:r>
        <w:t xml:space="preserve"> (only 150 sccm of Ar, Figure S</w:t>
      </w:r>
      <w:r w:rsidR="00021F00">
        <w:t>1</w:t>
      </w:r>
      <w:r>
        <w:t>a), ii) 10 sccm of H</w:t>
      </w:r>
      <w:r>
        <w:rPr>
          <w:vertAlign w:val="subscript"/>
        </w:rPr>
        <w:t>2</w:t>
      </w:r>
      <w:r>
        <w:t xml:space="preserve"> (mixed with 150 sccm of Ar, Figure S</w:t>
      </w:r>
      <w:r w:rsidR="00021F00">
        <w:t>1</w:t>
      </w:r>
      <w:r>
        <w:t>b). The other CVD parameters were kept as described in the Experimental section. The absence of H</w:t>
      </w:r>
      <w:r>
        <w:rPr>
          <w:vertAlign w:val="subscript"/>
        </w:rPr>
        <w:t>2</w:t>
      </w:r>
      <w:r>
        <w:t xml:space="preserve"> appears to hinder the reduction of the MoO</w:t>
      </w:r>
      <w:r>
        <w:rPr>
          <w:vertAlign w:val="subscript"/>
        </w:rPr>
        <w:t>3</w:t>
      </w:r>
      <w:r>
        <w:t xml:space="preserve"> vapor and in turn the selenization of Mo by the Se vapor.</w:t>
      </w:r>
      <w:r>
        <w:br w:type="page"/>
      </w:r>
    </w:p>
    <w:p w:rsidR="00CA75F5" w:rsidRDefault="00CC780C" w:rsidP="001377D0">
      <w:pPr>
        <w:keepNext/>
        <w:pBdr>
          <w:top w:val="nil"/>
          <w:left w:val="nil"/>
          <w:bottom w:val="nil"/>
          <w:right w:val="nil"/>
          <w:between w:val="nil"/>
        </w:pBdr>
        <w:spacing w:after="0"/>
        <w:jc w:val="center"/>
      </w:pPr>
      <w:r>
        <w:rPr>
          <w:b/>
          <w:noProof/>
          <w:lang w:val="en-GB"/>
        </w:rPr>
        <w:lastRenderedPageBreak/>
        <w:drawing>
          <wp:inline distT="0" distB="0" distL="0" distR="0">
            <wp:extent cx="5760000" cy="2538000"/>
            <wp:effectExtent l="0" t="0" r="0" b="0"/>
            <wp:docPr id="20" name="image4.png" descr="Uma imagem com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Uma imagem com texto&#10;&#10;Descrição gerada automaticamente"/>
                    <pic:cNvPicPr preferRelativeResize="0"/>
                  </pic:nvPicPr>
                  <pic:blipFill>
                    <a:blip r:embed="rId9"/>
                    <a:srcRect l="1445" t="5587" r="7154" b="979"/>
                    <a:stretch>
                      <a:fillRect/>
                    </a:stretch>
                  </pic:blipFill>
                  <pic:spPr>
                    <a:xfrm>
                      <a:off x="0" y="0"/>
                      <a:ext cx="5760000" cy="2538000"/>
                    </a:xfrm>
                    <a:prstGeom prst="rect">
                      <a:avLst/>
                    </a:prstGeom>
                    <a:ln/>
                  </pic:spPr>
                </pic:pic>
              </a:graphicData>
            </a:graphic>
          </wp:inline>
        </w:drawing>
      </w:r>
    </w:p>
    <w:p w:rsidR="00CA75F5" w:rsidRPr="00D72F87" w:rsidRDefault="00CC780C">
      <w:pPr>
        <w:pBdr>
          <w:top w:val="nil"/>
          <w:left w:val="nil"/>
          <w:bottom w:val="nil"/>
          <w:right w:val="nil"/>
          <w:between w:val="nil"/>
        </w:pBdr>
        <w:spacing w:line="240" w:lineRule="auto"/>
        <w:rPr>
          <w:i/>
          <w:color w:val="000000"/>
          <w:sz w:val="18"/>
          <w:szCs w:val="18"/>
        </w:rPr>
      </w:pPr>
      <w:r>
        <w:rPr>
          <w:i/>
          <w:color w:val="000000"/>
          <w:sz w:val="18"/>
          <w:szCs w:val="18"/>
        </w:rPr>
        <w:t>Figure S</w:t>
      </w:r>
      <w:r w:rsidR="00014F7A">
        <w:rPr>
          <w:i/>
          <w:color w:val="000000"/>
          <w:sz w:val="18"/>
          <w:szCs w:val="18"/>
        </w:rPr>
        <w:t>2</w:t>
      </w:r>
      <w:r>
        <w:rPr>
          <w:i/>
          <w:color w:val="000000"/>
          <w:sz w:val="18"/>
          <w:szCs w:val="18"/>
        </w:rPr>
        <w:t>: a) Optical image of a samples grown with the Se precursor at 320ºC. The presence of H</w:t>
      </w:r>
      <w:r>
        <w:rPr>
          <w:i/>
          <w:color w:val="000000"/>
          <w:sz w:val="18"/>
          <w:szCs w:val="18"/>
          <w:vertAlign w:val="subscript"/>
        </w:rPr>
        <w:t>2</w:t>
      </w:r>
      <w:r>
        <w:rPr>
          <w:i/>
          <w:color w:val="000000"/>
          <w:sz w:val="18"/>
          <w:szCs w:val="18"/>
        </w:rPr>
        <w:t xml:space="preserve"> during the process allows the reduction of MoO</w:t>
      </w:r>
      <w:r>
        <w:rPr>
          <w:i/>
          <w:color w:val="000000"/>
          <w:sz w:val="18"/>
          <w:szCs w:val="18"/>
          <w:vertAlign w:val="subscript"/>
        </w:rPr>
        <w:t>3</w:t>
      </w:r>
      <w:r>
        <w:rPr>
          <w:i/>
          <w:color w:val="000000"/>
          <w:sz w:val="18"/>
          <w:szCs w:val="18"/>
        </w:rPr>
        <w:t xml:space="preserve"> to MoO</w:t>
      </w:r>
      <w:r>
        <w:rPr>
          <w:i/>
          <w:color w:val="000000"/>
          <w:sz w:val="18"/>
          <w:szCs w:val="18"/>
          <w:vertAlign w:val="subscript"/>
        </w:rPr>
        <w:t>2</w:t>
      </w:r>
      <w:r>
        <w:rPr>
          <w:i/>
          <w:color w:val="000000"/>
          <w:sz w:val="18"/>
          <w:szCs w:val="18"/>
        </w:rPr>
        <w:t>, but the Se powder is at a too low temperature for the selenization to occur, leading to the deposition of MoO</w:t>
      </w:r>
      <w:r>
        <w:rPr>
          <w:i/>
          <w:color w:val="000000"/>
          <w:sz w:val="18"/>
          <w:szCs w:val="18"/>
          <w:vertAlign w:val="subscript"/>
        </w:rPr>
        <w:t>2</w:t>
      </w:r>
      <w:r>
        <w:rPr>
          <w:i/>
          <w:color w:val="000000"/>
          <w:sz w:val="18"/>
          <w:szCs w:val="18"/>
        </w:rPr>
        <w:t xml:space="preserve">. b) Raman spectra confirming showing the </w:t>
      </w:r>
      <w:r w:rsidRPr="00D72F87">
        <w:rPr>
          <w:i/>
          <w:color w:val="000000"/>
          <w:sz w:val="18"/>
          <w:szCs w:val="18"/>
        </w:rPr>
        <w:t>characteristics peaks of MoO</w:t>
      </w:r>
      <w:r w:rsidRPr="00D72F87">
        <w:rPr>
          <w:i/>
          <w:color w:val="000000"/>
          <w:sz w:val="18"/>
          <w:szCs w:val="18"/>
          <w:vertAlign w:val="subscript"/>
        </w:rPr>
        <w:t>2</w:t>
      </w:r>
      <w:r w:rsidR="00D72F87" w:rsidRPr="00D72F87">
        <w:rPr>
          <w:i/>
          <w:color w:val="000000"/>
          <w:sz w:val="18"/>
          <w:szCs w:val="18"/>
        </w:rPr>
        <w:t xml:space="preserve"> </w:t>
      </w:r>
      <w:r w:rsidR="00D72F87" w:rsidRPr="00D72F87">
        <w:rPr>
          <w:sz w:val="18"/>
          <w:szCs w:val="18"/>
        </w:rPr>
        <w:fldChar w:fldCharType="begin" w:fldLock="1"/>
      </w:r>
      <w:r w:rsidR="00D72F87">
        <w:rPr>
          <w:sz w:val="18"/>
          <w:szCs w:val="18"/>
        </w:rPr>
        <w:instrText>ADDIN CSL_CITATION {"citationItems":[{"id":"ITEM-1","itemData":{"DOI":"10.20964/2017.05.51","abstract":"Molybdenum oxides is of great technological interest due to their outstanding optical, electronic and catalytic properties. In this work, molybdenum dioxide (MoO2) thin films were deposited onto Si wafers and stainless steel substrates at different substrate temperatures. The growth of the films was achieved by using a vertical metal organic chemical vapor deposition reactor working in pulsed injection mode. A powder of molybdenum hexacarbonyl mixed in a toluene solution was used as precursor. An effective pulsed injection system to supply the precursor, usually used for fuel injection in internal combustion devices, delivers a precise amount of liquid precursor to the reactor through injectors, whose pulse intervals (injection frequency) are controlled by a computer-driven system. The use of a liquid solution as precursor along with the experimental parameters provide thermodynamically favorable conditions to fabricate a thin solid film, homogenously deposited onto the whole substrate. The MoO2 film structure and morphology were studied by X-ray diffraction, Raman scattering spectroscopy and scanning electron microscopy. Moreover, a comparative study was undertaken whereby the catalytic activity of stainless steel substrate for hydrogen evolution reaction was related to that of MoO2 thin film.","author":[{"dropping-particle":"","family":"Narro-García","given":"R.","non-dropping-particle":"","parse-names":false,"suffix":""},{"dropping-particle":"","family":"Méndez","given":"N.","non-dropping-particle":"","parse-names":false,"suffix":""},{"dropping-particle":"","family":"Apátiga","given":"L. M.","non-dropping-particle":"","parse-names":false,"suffix":""},{"dropping-particle":"","family":"Flores-De los Ríos","given":"J. P.","non-dropping-particle":"","parse-names":false,"suffix":""},{"dropping-particle":"","family":"Nava-Dino","given":"C. G.","non-dropping-particle":"","parse-names":false,"suffix":""},{"dropping-particle":"","family":"Quintero-Torres","given":"R.","non-dropping-particle":"","parse-names":false,"suffix":""}],"container-title":"International Journal of Electrochemical Science","id":"ITEM-1","issue":"5","issued":{"date-parts":[["2017","5"]]},"page":"3907-3915","publisher":"Electrochemical Science Group","title":"Effect of the substrate temperature on the structural and morphological properties of MoO2 thin films obtained by pulsed injection MOCVD","type":"article-journal","volume":"12"},"uris":["http://www.mendeley.com/documents/?uuid=fee182d8-d6b2-3818-b281-0d69f7c8eeda","http://www.mendeley.com/documents/?uuid=c460319e-39c8-4198-b449-1240b4cda17b","http://www.mendeley.com/documents/?uuid=22acf23e-c719-44b4-97ec-7e857dd9b9fd"]}],"mendeley":{"formattedCitation":"&lt;sup&gt;2&lt;/sup&gt;","plainTextFormattedCitation":"2","previouslyFormattedCitation":"&lt;sup&gt;2&lt;/sup&gt;"},"properties":{"noteIndex":0},"schema":"https://github.com/citation-style-language/schema/raw/master/csl-citation.json"}</w:instrText>
      </w:r>
      <w:r w:rsidR="00D72F87" w:rsidRPr="00D72F87">
        <w:rPr>
          <w:sz w:val="18"/>
          <w:szCs w:val="18"/>
        </w:rPr>
        <w:fldChar w:fldCharType="separate"/>
      </w:r>
      <w:r w:rsidR="00D72F87" w:rsidRPr="00D72F87">
        <w:rPr>
          <w:noProof/>
          <w:sz w:val="18"/>
          <w:szCs w:val="18"/>
          <w:vertAlign w:val="superscript"/>
        </w:rPr>
        <w:t>2</w:t>
      </w:r>
      <w:r w:rsidR="00D72F87" w:rsidRPr="00D72F87">
        <w:rPr>
          <w:sz w:val="18"/>
          <w:szCs w:val="18"/>
        </w:rPr>
        <w:fldChar w:fldCharType="end"/>
      </w:r>
      <w:r w:rsidR="00D72F87" w:rsidRPr="00D72F87">
        <w:rPr>
          <w:sz w:val="18"/>
          <w:szCs w:val="18"/>
        </w:rPr>
        <w:t>.</w:t>
      </w:r>
    </w:p>
    <w:p w:rsidR="00DE4724" w:rsidRDefault="00CC780C" w:rsidP="00257B17">
      <w:bookmarkStart w:id="0" w:name="_heading=h.30j0zll" w:colFirst="0" w:colLast="0"/>
      <w:bookmarkEnd w:id="0"/>
      <w:r w:rsidRPr="006E7020">
        <w:t>In order to ascertain the role of the Se precursor temperature, a specific 2PS experiment was performed. The Se powder was kept at 320º (by placing it 45 cm upstream from the growth region). The other CVD parameters were kept as described in the Experimental section.</w:t>
      </w:r>
      <w:r w:rsidR="00DE4724">
        <w:br w:type="page"/>
      </w:r>
    </w:p>
    <w:p w:rsidR="00014F7A" w:rsidRPr="00C3681D" w:rsidRDefault="00014F7A" w:rsidP="00014F7A">
      <w:pPr>
        <w:pBdr>
          <w:top w:val="nil"/>
          <w:left w:val="nil"/>
          <w:bottom w:val="nil"/>
          <w:right w:val="nil"/>
          <w:between w:val="nil"/>
        </w:pBdr>
        <w:spacing w:after="0"/>
        <w:jc w:val="center"/>
        <w:rPr>
          <w:lang w:val="pt-PT"/>
        </w:rPr>
      </w:pPr>
      <w:r>
        <w:rPr>
          <w:noProof/>
          <w:lang w:val="en-GB"/>
        </w:rPr>
        <w:lastRenderedPageBreak/>
        <w:drawing>
          <wp:inline distT="0" distB="0" distL="0" distR="0" wp14:anchorId="5D67095C" wp14:editId="54DEF5AC">
            <wp:extent cx="6120000" cy="2450005"/>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610"/>
                    <a:stretch/>
                  </pic:blipFill>
                  <pic:spPr bwMode="auto">
                    <a:xfrm>
                      <a:off x="0" y="0"/>
                      <a:ext cx="6120000" cy="2450005"/>
                    </a:xfrm>
                    <a:prstGeom prst="rect">
                      <a:avLst/>
                    </a:prstGeom>
                    <a:noFill/>
                    <a:ln>
                      <a:noFill/>
                    </a:ln>
                    <a:extLst>
                      <a:ext uri="{53640926-AAD7-44D8-BBD7-CCE9431645EC}">
                        <a14:shadowObscured xmlns:a14="http://schemas.microsoft.com/office/drawing/2010/main"/>
                      </a:ext>
                    </a:extLst>
                  </pic:spPr>
                </pic:pic>
              </a:graphicData>
            </a:graphic>
          </wp:inline>
        </w:drawing>
      </w:r>
    </w:p>
    <w:p w:rsidR="00014F7A" w:rsidRDefault="00014F7A" w:rsidP="00014F7A">
      <w:pPr>
        <w:pBdr>
          <w:top w:val="nil"/>
          <w:left w:val="nil"/>
          <w:bottom w:val="nil"/>
          <w:right w:val="nil"/>
          <w:between w:val="nil"/>
        </w:pBdr>
        <w:spacing w:line="240" w:lineRule="auto"/>
        <w:rPr>
          <w:i/>
          <w:color w:val="000000"/>
          <w:sz w:val="18"/>
          <w:szCs w:val="18"/>
        </w:rPr>
      </w:pPr>
      <w:r>
        <w:rPr>
          <w:i/>
          <w:color w:val="000000"/>
          <w:sz w:val="18"/>
          <w:szCs w:val="18"/>
        </w:rPr>
        <w:t xml:space="preserve">Figure S3: a) HAADF STEM image of grain boundary in monolayer and bilayer regions (2PS sample). (b) Magnified HAADF STEM image from the white dashed box area in a) showing the mirror twin boundary (MTB) with characteristic 4- and 8-member rings. c) Simulated image and d) atomic model of the </w:t>
      </w:r>
      <w:r w:rsidR="00257B17">
        <w:rPr>
          <w:i/>
          <w:color w:val="000000"/>
          <w:sz w:val="18"/>
          <w:szCs w:val="18"/>
        </w:rPr>
        <w:t>mirror twin boundary (</w:t>
      </w:r>
      <w:r>
        <w:rPr>
          <w:i/>
          <w:color w:val="000000"/>
          <w:sz w:val="18"/>
          <w:szCs w:val="18"/>
        </w:rPr>
        <w:t>Mo atoms in purple and Se atoms in green).</w:t>
      </w:r>
    </w:p>
    <w:p w:rsidR="00D72F87" w:rsidRDefault="00014F7A">
      <w:r>
        <w:t>Figure S3a shows a HAADF STEM image of mirror twin boundary (MTB) buried within a multilayer MoS</w:t>
      </w:r>
      <w:r>
        <w:rPr>
          <w:vertAlign w:val="subscript"/>
        </w:rPr>
        <w:t>2</w:t>
      </w:r>
      <w:r>
        <w:t xml:space="preserve"> region (2PS sample). MTBs are created when the lattice is rotated in-plane by 60 degree, MTBs are joined by edge sharing 4- and 8-member rings. For the 4-member ring structure the Mo atoms retain 6-fold coordination whereas the Se atoms change from 3-fold to 4-fold </w:t>
      </w:r>
      <w:r>
        <w:t>coordination</w:t>
      </w:r>
      <w:r w:rsidR="00D72F87">
        <w:t xml:space="preserve"> </w:t>
      </w:r>
      <w:r w:rsidR="00D72F87" w:rsidRPr="006B5E2D">
        <w:fldChar w:fldCharType="begin" w:fldLock="1"/>
      </w:r>
      <w:r w:rsidR="00D72F87">
        <w:instrText>ADDIN CSL_CITATION {"citationItems":[{"id":"ITEM-1","itemData":{"DOI":"10.1039/C8NR04486D","ISSN":"2040-3364","abstract":"When secondary domains nucleate and grow on the surface of monolayer MoS 2 , they can extend across grain boundaries in the underlying monolayer MoS 2 and form overlapping sections.","author":[{"dropping-particle":"","family":"Zhou","given":"Si","non-dropping-particle":"","parse-names":false,"suffix":""},{"dropping-particle":"","family":"Wang","given":"Shanshan","non-dropping-particle":"","parse-names":false,"suffix":""},{"dropping-particle":"","family":"Shi","given":"Zhe","non-dropping-particle":"","parse-names":false,"suffix":""},{"dropping-particle":"","family":"Sawada","given":"Hidetaka","non-dropping-particle":"","parse-names":false,"suffix":""},{"dropping-particle":"","family":"Kirkland","given":"Angus I.","non-dropping-particle":"","parse-names":false,"suffix":""},{"dropping-particle":"","family":"Li","given":"Ju","non-dropping-particle":"","parse-names":false,"suffix":""},{"dropping-particle":"","family":"Warner","given":"Jamie H.","non-dropping-particle":"","parse-names":false,"suffix":""}],"container-title":"Nanoscale","id":"ITEM-1","issue":"35","issued":{"date-parts":[["2018"]]},"page":"16692-16702","title":"Atomically sharp interlayer stacking shifts at anti-phase grain boundaries in overlapping MoS 2 secondary layers","type":"article-journal","volume":"10"},"uris":["http://www.mendeley.com/documents/?uuid=9ba5483e-530c-425c-ba47-a0365baac0aa"]}],"mendeley":{"formattedCitation":"&lt;sup&gt;3&lt;/sup&gt;","plainTextFormattedCitation":"3","previouslyFormattedCitation":"&lt;sup&gt;3&lt;/sup&gt;"},"properties":{"noteIndex":0},"schema":"https://github.com/citation-style-language/schema/raw/master/csl-citation.json"}</w:instrText>
      </w:r>
      <w:r w:rsidR="00D72F87" w:rsidRPr="006B5E2D">
        <w:fldChar w:fldCharType="separate"/>
      </w:r>
      <w:r w:rsidR="00D72F87" w:rsidRPr="00D72F87">
        <w:rPr>
          <w:noProof/>
          <w:vertAlign w:val="superscript"/>
        </w:rPr>
        <w:t>3</w:t>
      </w:r>
      <w:r w:rsidR="00D72F87" w:rsidRPr="006B5E2D">
        <w:fldChar w:fldCharType="end"/>
      </w:r>
      <w:r>
        <w:t>. In Figure S</w:t>
      </w:r>
      <w:r w:rsidR="00021F00">
        <w:t>3</w:t>
      </w:r>
      <w:r>
        <w:t>b , a higher magnification view of MTB taken from the white dashed box area in Figure S</w:t>
      </w:r>
      <w:r w:rsidR="00021F00">
        <w:t>3</w:t>
      </w:r>
      <w:r>
        <w:t>a reveals the 4-member rings (indicated with white arrow) and one 8-member ring in the bottom part (indicated with a red arrow). The experimental results correspond well with the multi-slice simulation HAADF STEM image of MTB (Figure S</w:t>
      </w:r>
      <w:r w:rsidR="00021F00">
        <w:t>3</w:t>
      </w:r>
      <w:r>
        <w:t>c) and its atomic model (Figure S</w:t>
      </w:r>
      <w:r w:rsidR="00021F00">
        <w:t>3</w:t>
      </w:r>
      <w:r>
        <w:t>d). The MTBs enhances the in-plane electric conductivity and quench the local photoluminescence. In bilayer films MTBs lead to the formation of 2D stacking faults namely 3R stacking.</w:t>
      </w:r>
      <w:bookmarkStart w:id="1" w:name="_GoBack"/>
      <w:bookmarkEnd w:id="1"/>
      <w:r w:rsidR="00D72F87">
        <w:br w:type="page"/>
      </w:r>
    </w:p>
    <w:p w:rsidR="00D72F87" w:rsidRDefault="00D72F87" w:rsidP="00D72F87">
      <w:pPr>
        <w:pBdr>
          <w:top w:val="nil"/>
          <w:left w:val="nil"/>
          <w:bottom w:val="nil"/>
          <w:right w:val="nil"/>
          <w:between w:val="nil"/>
        </w:pBdr>
        <w:spacing w:after="0" w:line="480" w:lineRule="auto"/>
        <w:ind w:left="360" w:hanging="360"/>
        <w:rPr>
          <w:b/>
          <w:color w:val="000000"/>
        </w:rPr>
      </w:pPr>
      <w:r>
        <w:rPr>
          <w:b/>
          <w:color w:val="000000"/>
        </w:rPr>
        <w:lastRenderedPageBreak/>
        <w:t>References</w:t>
      </w:r>
    </w:p>
    <w:p w:rsidR="00D72F87" w:rsidRPr="00D72F87" w:rsidRDefault="00D72F87" w:rsidP="00D72F87">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Pr="00D72F87">
        <w:rPr>
          <w:noProof/>
        </w:rPr>
        <w:t xml:space="preserve">(1) </w:t>
      </w:r>
      <w:r w:rsidRPr="00D72F87">
        <w:rPr>
          <w:noProof/>
        </w:rPr>
        <w:tab/>
        <w:t xml:space="preserve">Windom, B. C.; Sawyer, W. G.; Hahn, D. W. A Raman Spectroscopic Study of MoS2 and MoO3: Applications to Tribological Systems. </w:t>
      </w:r>
      <w:r w:rsidRPr="00D72F87">
        <w:rPr>
          <w:i/>
          <w:iCs/>
          <w:noProof/>
        </w:rPr>
        <w:t>Tribol. Lett. 2011 423</w:t>
      </w:r>
      <w:r w:rsidRPr="00D72F87">
        <w:rPr>
          <w:noProof/>
        </w:rPr>
        <w:t xml:space="preserve"> </w:t>
      </w:r>
      <w:r w:rsidRPr="00D72F87">
        <w:rPr>
          <w:b/>
          <w:bCs/>
          <w:noProof/>
        </w:rPr>
        <w:t>2011</w:t>
      </w:r>
      <w:r w:rsidRPr="00D72F87">
        <w:rPr>
          <w:noProof/>
        </w:rPr>
        <w:t xml:space="preserve">, </w:t>
      </w:r>
      <w:r w:rsidRPr="00D72F87">
        <w:rPr>
          <w:i/>
          <w:iCs/>
          <w:noProof/>
        </w:rPr>
        <w:t>42</w:t>
      </w:r>
      <w:r w:rsidRPr="00D72F87">
        <w:rPr>
          <w:noProof/>
        </w:rPr>
        <w:t xml:space="preserve"> (3), 301–310. https://doi.org/10.1007/S11249-011-9774-X.</w:t>
      </w:r>
    </w:p>
    <w:p w:rsidR="00D72F87" w:rsidRPr="00D72F87" w:rsidRDefault="00D72F87" w:rsidP="00D72F87">
      <w:pPr>
        <w:widowControl w:val="0"/>
        <w:autoSpaceDE w:val="0"/>
        <w:autoSpaceDN w:val="0"/>
        <w:adjustRightInd w:val="0"/>
        <w:ind w:left="640" w:hanging="640"/>
        <w:rPr>
          <w:noProof/>
        </w:rPr>
      </w:pPr>
      <w:r w:rsidRPr="00D72F87">
        <w:rPr>
          <w:noProof/>
        </w:rPr>
        <w:t xml:space="preserve">(2) </w:t>
      </w:r>
      <w:r w:rsidRPr="00D72F87">
        <w:rPr>
          <w:noProof/>
        </w:rPr>
        <w:tab/>
        <w:t xml:space="preserve">Narro-García, R.; Méndez, N.; Apátiga, L. M.; Flores-De los Ríos, J. P.; Nava-Dino, C. G.; Quintero-Torres, R. Effect of the Substrate Temperature on the Structural and Morphological Properties of MoO2 Thin Films Obtained by Pulsed Injection MOCVD. </w:t>
      </w:r>
      <w:r w:rsidRPr="00D72F87">
        <w:rPr>
          <w:i/>
          <w:iCs/>
          <w:noProof/>
        </w:rPr>
        <w:t>Int. J. Electrochem. Sci.</w:t>
      </w:r>
      <w:r w:rsidRPr="00D72F87">
        <w:rPr>
          <w:noProof/>
        </w:rPr>
        <w:t xml:space="preserve"> </w:t>
      </w:r>
      <w:r w:rsidRPr="00D72F87">
        <w:rPr>
          <w:b/>
          <w:bCs/>
          <w:noProof/>
        </w:rPr>
        <w:t>2017</w:t>
      </w:r>
      <w:r w:rsidRPr="00D72F87">
        <w:rPr>
          <w:noProof/>
        </w:rPr>
        <w:t xml:space="preserve">, </w:t>
      </w:r>
      <w:r w:rsidRPr="00D72F87">
        <w:rPr>
          <w:i/>
          <w:iCs/>
          <w:noProof/>
        </w:rPr>
        <w:t>12</w:t>
      </w:r>
      <w:r w:rsidRPr="00D72F87">
        <w:rPr>
          <w:noProof/>
        </w:rPr>
        <w:t xml:space="preserve"> (5), 3907–3915. https://doi.org/10.20964/2017.05.51.</w:t>
      </w:r>
    </w:p>
    <w:p w:rsidR="00D72F87" w:rsidRPr="00D72F87" w:rsidRDefault="00D72F87" w:rsidP="00D72F87">
      <w:pPr>
        <w:widowControl w:val="0"/>
        <w:autoSpaceDE w:val="0"/>
        <w:autoSpaceDN w:val="0"/>
        <w:adjustRightInd w:val="0"/>
        <w:ind w:left="640" w:hanging="640"/>
        <w:rPr>
          <w:noProof/>
        </w:rPr>
      </w:pPr>
      <w:r w:rsidRPr="00D72F87">
        <w:rPr>
          <w:noProof/>
        </w:rPr>
        <w:t xml:space="preserve">(3) </w:t>
      </w:r>
      <w:r w:rsidRPr="00D72F87">
        <w:rPr>
          <w:noProof/>
        </w:rPr>
        <w:tab/>
        <w:t xml:space="preserve">Zhou, S.; Wang, S.; Shi, Z.; Sawada, H.; Kirkland, A. I.; Li, J.; Warner, J. H. Atomically Sharp Interlayer Stacking Shifts at Anti-Phase Grain Boundaries in Overlapping MoS 2 Secondary Layers. </w:t>
      </w:r>
      <w:r w:rsidRPr="00D72F87">
        <w:rPr>
          <w:i/>
          <w:iCs/>
          <w:noProof/>
        </w:rPr>
        <w:t>Nanoscale</w:t>
      </w:r>
      <w:r w:rsidRPr="00D72F87">
        <w:rPr>
          <w:noProof/>
        </w:rPr>
        <w:t xml:space="preserve"> </w:t>
      </w:r>
      <w:r w:rsidRPr="00D72F87">
        <w:rPr>
          <w:b/>
          <w:bCs/>
          <w:noProof/>
        </w:rPr>
        <w:t>2018</w:t>
      </w:r>
      <w:r w:rsidRPr="00D72F87">
        <w:rPr>
          <w:noProof/>
        </w:rPr>
        <w:t xml:space="preserve">, </w:t>
      </w:r>
      <w:r w:rsidRPr="00D72F87">
        <w:rPr>
          <w:i/>
          <w:iCs/>
          <w:noProof/>
        </w:rPr>
        <w:t>10</w:t>
      </w:r>
      <w:r w:rsidRPr="00D72F87">
        <w:rPr>
          <w:noProof/>
        </w:rPr>
        <w:t xml:space="preserve"> (35), 16692–16702. https://doi.org/10.1039/C8NR04486D.</w:t>
      </w:r>
    </w:p>
    <w:p w:rsidR="00CA75F5" w:rsidRDefault="00D72F87" w:rsidP="00D72F87">
      <w:pPr>
        <w:rPr>
          <w:b/>
          <w:color w:val="000000"/>
        </w:rPr>
      </w:pPr>
      <w:r>
        <w:fldChar w:fldCharType="end"/>
      </w:r>
    </w:p>
    <w:sectPr w:rsidR="00CA75F5">
      <w:footerReference w:type="even" r:id="rId11"/>
      <w:footerReference w:type="default" r:id="rId12"/>
      <w:pgSz w:w="12240" w:h="15840"/>
      <w:pgMar w:top="1134" w:right="1134" w:bottom="1134" w:left="1134"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910" w:rsidRDefault="00534910">
      <w:pPr>
        <w:spacing w:after="0" w:line="240" w:lineRule="auto"/>
      </w:pPr>
      <w:r>
        <w:separator/>
      </w:r>
    </w:p>
  </w:endnote>
  <w:endnote w:type="continuationSeparator" w:id="0">
    <w:p w:rsidR="00534910" w:rsidRDefault="00534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dvOTf9433e2d">
    <w:panose1 w:val="00000000000000000000"/>
    <w:charset w:val="00"/>
    <w:family w:val="roman"/>
    <w:notTrueType/>
    <w:pitch w:val="default"/>
  </w:font>
  <w:font w:name="AdvTT691e30a0">
    <w:panose1 w:val="00000000000000000000"/>
    <w:charset w:val="00"/>
    <w:family w:val="roman"/>
    <w:notTrueType/>
    <w:pitch w:val="default"/>
  </w:font>
  <w:font w:name="AdvOT8608a8d1">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5F5" w:rsidRDefault="00CC780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CA75F5" w:rsidRDefault="00CA75F5">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75F5" w:rsidRDefault="00CC780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D72F87">
      <w:rPr>
        <w:noProof/>
        <w:color w:val="000000"/>
      </w:rPr>
      <w:t>4</w:t>
    </w:r>
    <w:r>
      <w:rPr>
        <w:color w:val="000000"/>
      </w:rPr>
      <w:fldChar w:fldCharType="end"/>
    </w:r>
  </w:p>
  <w:p w:rsidR="00CA75F5" w:rsidRDefault="00CA75F5">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910" w:rsidRDefault="00534910">
      <w:pPr>
        <w:spacing w:after="0" w:line="240" w:lineRule="auto"/>
      </w:pPr>
      <w:r>
        <w:separator/>
      </w:r>
    </w:p>
  </w:footnote>
  <w:footnote w:type="continuationSeparator" w:id="0">
    <w:p w:rsidR="00534910" w:rsidRDefault="00534910">
      <w:pPr>
        <w:spacing w:after="0" w:line="240" w:lineRule="auto"/>
      </w:pPr>
      <w:r>
        <w:continuationSeparator/>
      </w:r>
    </w:p>
  </w:footnote>
  <w:footnote w:id="1">
    <w:p w:rsidR="00C3681D" w:rsidRDefault="00C3681D" w:rsidP="00C3681D">
      <w:pPr>
        <w:pBdr>
          <w:top w:val="nil"/>
          <w:left w:val="nil"/>
          <w:bottom w:val="nil"/>
          <w:right w:val="nil"/>
          <w:between w:val="nil"/>
        </w:pBdr>
        <w:spacing w:before="120" w:after="60" w:line="480" w:lineRule="auto"/>
        <w:jc w:val="left"/>
        <w:rPr>
          <w:color w:val="000000"/>
        </w:rPr>
      </w:pPr>
      <w:r w:rsidRPr="00A21016">
        <w:rPr>
          <w:rStyle w:val="FootnoteReference"/>
          <w:color w:val="FFFFFF" w:themeColor="background1"/>
        </w:rPr>
        <w:footnoteRef/>
      </w:r>
      <w:r>
        <w:rPr>
          <w:b/>
          <w:color w:val="000000"/>
          <w:vertAlign w:val="superscript"/>
        </w:rPr>
        <w:t>*</w:t>
      </w:r>
      <w:r>
        <w:rPr>
          <w:b/>
          <w:color w:val="000000"/>
        </w:rPr>
        <w:t xml:space="preserve"> Corresponding author: </w:t>
      </w:r>
      <w:hyperlink r:id="rId1">
        <w:r>
          <w:rPr>
            <w:color w:val="0000FF"/>
            <w:u w:val="single"/>
          </w:rPr>
          <w:t>andrea.capasso@inl.int</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5F5"/>
    <w:rsid w:val="00014F7A"/>
    <w:rsid w:val="00021F00"/>
    <w:rsid w:val="00036AA9"/>
    <w:rsid w:val="001377D0"/>
    <w:rsid w:val="00257B17"/>
    <w:rsid w:val="002D7664"/>
    <w:rsid w:val="00305A32"/>
    <w:rsid w:val="003717D1"/>
    <w:rsid w:val="003D0B47"/>
    <w:rsid w:val="004B42F3"/>
    <w:rsid w:val="00534910"/>
    <w:rsid w:val="005F25FE"/>
    <w:rsid w:val="006E7020"/>
    <w:rsid w:val="00780F2A"/>
    <w:rsid w:val="007A23FB"/>
    <w:rsid w:val="007C6E6F"/>
    <w:rsid w:val="00AB23E9"/>
    <w:rsid w:val="00AE1C9C"/>
    <w:rsid w:val="00B64F69"/>
    <w:rsid w:val="00C3681D"/>
    <w:rsid w:val="00CA75F5"/>
    <w:rsid w:val="00CC780C"/>
    <w:rsid w:val="00D72F87"/>
    <w:rsid w:val="00DE47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FE2091E-6D32-41E4-AF30-D84737C86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en-US" w:eastAsia="en-GB"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FEF"/>
  </w:style>
  <w:style w:type="paragraph" w:styleId="Heading1">
    <w:name w:val="heading 1"/>
    <w:basedOn w:val="Normal"/>
    <w:next w:val="Normal"/>
    <w:link w:val="Heading1Char"/>
    <w:qFormat/>
    <w:rsid w:val="004F72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FollowedHyperlink">
    <w:name w:val="FollowedHyperlink"/>
    <w:rPr>
      <w:color w:val="800080"/>
      <w:u w:val="single"/>
    </w:rPr>
  </w:style>
  <w:style w:type="paragraph" w:styleId="BodyText">
    <w:name w:val="Body Text"/>
    <w:basedOn w:val="Normal"/>
    <w:link w:val="BodyTextChar"/>
    <w:pPr>
      <w:jc w:val="center"/>
    </w:pPr>
    <w:rPr>
      <w:b/>
      <w:sz w:val="40"/>
    </w:rPr>
  </w:style>
  <w:style w:type="paragraph" w:styleId="FootnoteText">
    <w:name w:val="footnote text"/>
    <w:basedOn w:val="Normal"/>
    <w:next w:val="TFReferencesSection"/>
    <w:link w:val="FootnoteTextChar"/>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link w:val="TAMainTextChar"/>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link w:val="FooterChar"/>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link w:val="BalloonTextChar"/>
    <w:uiPriority w:val="99"/>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8E095A"/>
    <w:pPr>
      <w:spacing w:before="120" w:after="60" w:line="480" w:lineRule="auto"/>
      <w:jc w:val="left"/>
    </w:pPr>
    <w:rPr>
      <w:b/>
    </w:rPr>
  </w:style>
  <w:style w:type="character" w:customStyle="1" w:styleId="FAAuthorInfoSubtitleChar">
    <w:name w:val="FA_Author_Info_Subtitle Char"/>
    <w:link w:val="FAAuthorInfoSubtitle"/>
    <w:rsid w:val="008E095A"/>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rPr>
  </w:style>
  <w:style w:type="character" w:customStyle="1" w:styleId="BodyTextChar">
    <w:name w:val="Body Text Char"/>
    <w:basedOn w:val="DefaultParagraphFont"/>
    <w:link w:val="BodyText"/>
    <w:rsid w:val="00C20CBA"/>
    <w:rPr>
      <w:rFonts w:ascii="Times" w:hAnsi="Times"/>
      <w:b/>
      <w:sz w:val="40"/>
    </w:rPr>
  </w:style>
  <w:style w:type="character" w:customStyle="1" w:styleId="FootnoteTextChar">
    <w:name w:val="Footnote Text Char"/>
    <w:basedOn w:val="DefaultParagraphFont"/>
    <w:link w:val="FootnoteText"/>
    <w:semiHidden/>
    <w:rsid w:val="00C20CBA"/>
    <w:rPr>
      <w:rFonts w:ascii="Times" w:hAnsi="Times"/>
      <w:sz w:val="24"/>
    </w:rPr>
  </w:style>
  <w:style w:type="character" w:customStyle="1" w:styleId="FooterChar">
    <w:name w:val="Footer Char"/>
    <w:basedOn w:val="DefaultParagraphFont"/>
    <w:link w:val="Footer"/>
    <w:rsid w:val="00C20CBA"/>
    <w:rPr>
      <w:rFonts w:ascii="Times" w:hAnsi="Times"/>
      <w:sz w:val="24"/>
    </w:rPr>
  </w:style>
  <w:style w:type="character" w:customStyle="1" w:styleId="BalloonTextChar">
    <w:name w:val="Balloon Text Char"/>
    <w:basedOn w:val="DefaultParagraphFont"/>
    <w:link w:val="BalloonText"/>
    <w:uiPriority w:val="99"/>
    <w:semiHidden/>
    <w:rsid w:val="00C20CBA"/>
    <w:rPr>
      <w:rFonts w:ascii="Tahoma" w:hAnsi="Tahoma" w:cs="Tahoma"/>
      <w:sz w:val="16"/>
      <w:szCs w:val="16"/>
    </w:rPr>
  </w:style>
  <w:style w:type="paragraph" w:styleId="ListParagraph">
    <w:name w:val="List Paragraph"/>
    <w:basedOn w:val="Normal"/>
    <w:uiPriority w:val="34"/>
    <w:qFormat/>
    <w:rsid w:val="00C20CBA"/>
    <w:pPr>
      <w:spacing w:line="276" w:lineRule="auto"/>
      <w:ind w:left="720"/>
      <w:contextualSpacing/>
      <w:jc w:val="left"/>
    </w:pPr>
    <w:rPr>
      <w:rFonts w:asciiTheme="minorHAnsi" w:eastAsiaTheme="minorHAnsi" w:hAnsiTheme="minorHAnsi" w:cstheme="minorBidi"/>
      <w:sz w:val="22"/>
      <w:szCs w:val="22"/>
      <w:lang w:val="en-GB"/>
    </w:rPr>
  </w:style>
  <w:style w:type="paragraph" w:styleId="NoSpacing">
    <w:name w:val="No Spacing"/>
    <w:uiPriority w:val="1"/>
    <w:qFormat/>
    <w:rsid w:val="00C20CBA"/>
    <w:rPr>
      <w:rFonts w:asciiTheme="minorHAnsi" w:eastAsiaTheme="minorHAnsi" w:hAnsiTheme="minorHAnsi" w:cstheme="minorBidi"/>
      <w:sz w:val="22"/>
      <w:szCs w:val="22"/>
      <w:lang w:val="it-IT"/>
    </w:rPr>
  </w:style>
  <w:style w:type="paragraph" w:styleId="NormalWeb">
    <w:name w:val="Normal (Web)"/>
    <w:basedOn w:val="Normal"/>
    <w:uiPriority w:val="99"/>
    <w:unhideWhenUsed/>
    <w:rsid w:val="00C20CBA"/>
    <w:pPr>
      <w:spacing w:before="100" w:beforeAutospacing="1" w:after="100" w:afterAutospacing="1"/>
      <w:jc w:val="left"/>
    </w:pPr>
    <w:rPr>
      <w:rFonts w:ascii="Times New Roman" w:hAnsi="Times New Roman"/>
      <w:lang w:val="it-IT" w:eastAsia="it-IT"/>
    </w:rPr>
  </w:style>
  <w:style w:type="character" w:styleId="HTMLCite">
    <w:name w:val="HTML Cite"/>
    <w:basedOn w:val="DefaultParagraphFont"/>
    <w:uiPriority w:val="99"/>
    <w:semiHidden/>
    <w:unhideWhenUsed/>
    <w:rsid w:val="00C20CBA"/>
    <w:rPr>
      <w:i/>
      <w:iCs/>
    </w:rPr>
  </w:style>
  <w:style w:type="character" w:customStyle="1" w:styleId="apple-converted-space">
    <w:name w:val="apple-converted-space"/>
    <w:basedOn w:val="DefaultParagraphFont"/>
    <w:rsid w:val="00C20CBA"/>
  </w:style>
  <w:style w:type="character" w:customStyle="1" w:styleId="citationyear">
    <w:name w:val="citation_year"/>
    <w:basedOn w:val="DefaultParagraphFont"/>
    <w:rsid w:val="00C20CBA"/>
  </w:style>
  <w:style w:type="character" w:customStyle="1" w:styleId="citationvolume">
    <w:name w:val="citation_volume"/>
    <w:basedOn w:val="DefaultParagraphFont"/>
    <w:rsid w:val="00C20CBA"/>
  </w:style>
  <w:style w:type="character" w:styleId="CommentReference">
    <w:name w:val="annotation reference"/>
    <w:basedOn w:val="DefaultParagraphFont"/>
    <w:uiPriority w:val="99"/>
    <w:semiHidden/>
    <w:unhideWhenUsed/>
    <w:rsid w:val="00C20CBA"/>
    <w:rPr>
      <w:sz w:val="16"/>
      <w:szCs w:val="16"/>
    </w:rPr>
  </w:style>
  <w:style w:type="paragraph" w:styleId="CommentText">
    <w:name w:val="annotation text"/>
    <w:basedOn w:val="Normal"/>
    <w:link w:val="CommentTextChar"/>
    <w:uiPriority w:val="99"/>
    <w:unhideWhenUsed/>
    <w:rsid w:val="00C20CBA"/>
    <w:pPr>
      <w:jc w:val="left"/>
    </w:pPr>
    <w:rPr>
      <w:rFonts w:asciiTheme="minorHAnsi" w:eastAsiaTheme="minorHAnsi" w:hAnsiTheme="minorHAnsi" w:cstheme="minorBidi"/>
      <w:sz w:val="20"/>
      <w:lang w:val="en-GB"/>
    </w:rPr>
  </w:style>
  <w:style w:type="character" w:customStyle="1" w:styleId="CommentTextChar">
    <w:name w:val="Comment Text Char"/>
    <w:basedOn w:val="DefaultParagraphFont"/>
    <w:link w:val="CommentText"/>
    <w:uiPriority w:val="99"/>
    <w:rsid w:val="00C20CBA"/>
    <w:rPr>
      <w:rFonts w:asciiTheme="minorHAnsi" w:eastAsiaTheme="minorHAnsi" w:hAnsiTheme="minorHAnsi" w:cstheme="minorBidi"/>
      <w:lang w:val="en-GB"/>
    </w:rPr>
  </w:style>
  <w:style w:type="paragraph" w:styleId="CommentSubject">
    <w:name w:val="annotation subject"/>
    <w:basedOn w:val="CommentText"/>
    <w:next w:val="CommentText"/>
    <w:link w:val="CommentSubjectChar"/>
    <w:uiPriority w:val="99"/>
    <w:semiHidden/>
    <w:unhideWhenUsed/>
    <w:rsid w:val="00C20CBA"/>
    <w:rPr>
      <w:b/>
      <w:bCs/>
    </w:rPr>
  </w:style>
  <w:style w:type="character" w:customStyle="1" w:styleId="CommentSubjectChar">
    <w:name w:val="Comment Subject Char"/>
    <w:basedOn w:val="CommentTextChar"/>
    <w:link w:val="CommentSubject"/>
    <w:uiPriority w:val="99"/>
    <w:semiHidden/>
    <w:rsid w:val="00C20CBA"/>
    <w:rPr>
      <w:rFonts w:asciiTheme="minorHAnsi" w:eastAsiaTheme="minorHAnsi" w:hAnsiTheme="minorHAnsi" w:cstheme="minorBidi"/>
      <w:b/>
      <w:bCs/>
      <w:lang w:val="en-GB"/>
    </w:rPr>
  </w:style>
  <w:style w:type="table" w:styleId="TableGrid">
    <w:name w:val="Table Grid"/>
    <w:basedOn w:val="TableNormal"/>
    <w:uiPriority w:val="39"/>
    <w:rsid w:val="00C20CBA"/>
    <w:rPr>
      <w:rFonts w:asciiTheme="minorHAnsi" w:eastAsiaTheme="minorHAnsi" w:hAnsiTheme="minorHAnsi" w:cstheme="minorBidi"/>
      <w:sz w:val="22"/>
      <w:szCs w:val="2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20CBA"/>
    <w:rPr>
      <w:rFonts w:asciiTheme="minorHAnsi" w:eastAsiaTheme="minorHAnsi" w:hAnsiTheme="minorHAnsi" w:cstheme="minorBidi"/>
      <w:sz w:val="22"/>
      <w:szCs w:val="22"/>
      <w:lang w:val="en-GB"/>
    </w:rPr>
  </w:style>
  <w:style w:type="character" w:customStyle="1" w:styleId="fontstyle01">
    <w:name w:val="fontstyle01"/>
    <w:basedOn w:val="DefaultParagraphFont"/>
    <w:rsid w:val="00C20CBA"/>
    <w:rPr>
      <w:rFonts w:ascii="AdvOTf9433e2d" w:hAnsi="AdvOTf9433e2d" w:hint="default"/>
      <w:b w:val="0"/>
      <w:bCs w:val="0"/>
      <w:i w:val="0"/>
      <w:iCs w:val="0"/>
      <w:color w:val="000000"/>
      <w:sz w:val="20"/>
      <w:szCs w:val="20"/>
    </w:rPr>
  </w:style>
  <w:style w:type="character" w:customStyle="1" w:styleId="fontstyle21">
    <w:name w:val="fontstyle21"/>
    <w:basedOn w:val="DefaultParagraphFont"/>
    <w:rsid w:val="00C20CBA"/>
    <w:rPr>
      <w:rFonts w:ascii="AdvTT691e30a0" w:hAnsi="AdvTT691e30a0" w:hint="default"/>
      <w:b w:val="0"/>
      <w:bCs w:val="0"/>
      <w:i w:val="0"/>
      <w:iCs w:val="0"/>
      <w:color w:val="000000"/>
      <w:sz w:val="20"/>
      <w:szCs w:val="20"/>
    </w:rPr>
  </w:style>
  <w:style w:type="character" w:customStyle="1" w:styleId="fontstyle31">
    <w:name w:val="fontstyle31"/>
    <w:basedOn w:val="DefaultParagraphFont"/>
    <w:rsid w:val="00C20CBA"/>
    <w:rPr>
      <w:rFonts w:ascii="AdvOT8608a8d1" w:hAnsi="AdvOT8608a8d1" w:hint="default"/>
      <w:b w:val="0"/>
      <w:bCs w:val="0"/>
      <w:i w:val="0"/>
      <w:iCs w:val="0"/>
      <w:color w:val="000000"/>
      <w:sz w:val="20"/>
      <w:szCs w:val="20"/>
    </w:rPr>
  </w:style>
  <w:style w:type="paragraph" w:styleId="Header">
    <w:name w:val="header"/>
    <w:basedOn w:val="Normal"/>
    <w:link w:val="HeaderChar"/>
    <w:unhideWhenUsed/>
    <w:rsid w:val="00B009D9"/>
    <w:pPr>
      <w:tabs>
        <w:tab w:val="center" w:pos="4819"/>
        <w:tab w:val="right" w:pos="9638"/>
      </w:tabs>
      <w:spacing w:after="0"/>
    </w:pPr>
  </w:style>
  <w:style w:type="character" w:customStyle="1" w:styleId="HeaderChar">
    <w:name w:val="Header Char"/>
    <w:basedOn w:val="DefaultParagraphFont"/>
    <w:link w:val="Header"/>
    <w:rsid w:val="00B009D9"/>
    <w:rPr>
      <w:rFonts w:ascii="Times" w:hAnsi="Times"/>
      <w:sz w:val="24"/>
    </w:rPr>
  </w:style>
  <w:style w:type="character" w:styleId="FootnoteReference">
    <w:name w:val="footnote reference"/>
    <w:basedOn w:val="DefaultParagraphFont"/>
    <w:semiHidden/>
    <w:unhideWhenUsed/>
    <w:rsid w:val="00821E9C"/>
    <w:rPr>
      <w:vertAlign w:val="superscript"/>
    </w:rPr>
  </w:style>
  <w:style w:type="character" w:styleId="EndnoteReference">
    <w:name w:val="endnote reference"/>
    <w:basedOn w:val="DefaultParagraphFont"/>
    <w:semiHidden/>
    <w:unhideWhenUsed/>
    <w:rsid w:val="007074FA"/>
    <w:rPr>
      <w:vertAlign w:val="superscript"/>
    </w:rPr>
  </w:style>
  <w:style w:type="paragraph" w:customStyle="1" w:styleId="Title2">
    <w:name w:val="Title 2"/>
    <w:basedOn w:val="TAMainText"/>
    <w:link w:val="Title2Char"/>
    <w:qFormat/>
    <w:rsid w:val="008D4047"/>
    <w:pPr>
      <w:ind w:firstLine="0"/>
    </w:pPr>
    <w:rPr>
      <w:b/>
    </w:rPr>
  </w:style>
  <w:style w:type="character" w:customStyle="1" w:styleId="Heading1Char">
    <w:name w:val="Heading 1 Char"/>
    <w:basedOn w:val="DefaultParagraphFont"/>
    <w:link w:val="Heading1"/>
    <w:rsid w:val="004F72C0"/>
    <w:rPr>
      <w:rFonts w:asciiTheme="majorHAnsi" w:eastAsiaTheme="majorEastAsia" w:hAnsiTheme="majorHAnsi" w:cstheme="majorBidi"/>
      <w:color w:val="365F91" w:themeColor="accent1" w:themeShade="BF"/>
      <w:sz w:val="32"/>
      <w:szCs w:val="32"/>
    </w:rPr>
  </w:style>
  <w:style w:type="character" w:customStyle="1" w:styleId="TAMainTextChar">
    <w:name w:val="TA_Main_Text Char"/>
    <w:basedOn w:val="DefaultParagraphFont"/>
    <w:link w:val="TAMainText"/>
    <w:rsid w:val="008D4047"/>
    <w:rPr>
      <w:rFonts w:ascii="Times" w:hAnsi="Times"/>
      <w:sz w:val="24"/>
    </w:rPr>
  </w:style>
  <w:style w:type="character" w:customStyle="1" w:styleId="Title2Char">
    <w:name w:val="Title 2 Char"/>
    <w:basedOn w:val="TAMainTextChar"/>
    <w:link w:val="Title2"/>
    <w:rsid w:val="008D4047"/>
    <w:rPr>
      <w:rFonts w:ascii="Times" w:hAnsi="Times"/>
      <w:b/>
      <w:sz w:val="24"/>
    </w:rPr>
  </w:style>
  <w:style w:type="paragraph" w:customStyle="1" w:styleId="Comments">
    <w:name w:val="Comments"/>
    <w:basedOn w:val="TAMainText"/>
    <w:link w:val="CommentsChar"/>
    <w:qFormat/>
    <w:rsid w:val="00E07EC9"/>
    <w:pPr>
      <w:spacing w:line="360" w:lineRule="auto"/>
    </w:pPr>
    <w:rPr>
      <w:bCs/>
      <w:i/>
      <w:iCs/>
      <w:color w:val="FF0000"/>
    </w:rPr>
  </w:style>
  <w:style w:type="character" w:customStyle="1" w:styleId="CommentsChar">
    <w:name w:val="Comments Char"/>
    <w:basedOn w:val="TAMainTextChar"/>
    <w:link w:val="Comments"/>
    <w:rsid w:val="00E07EC9"/>
    <w:rPr>
      <w:rFonts w:ascii="Times" w:hAnsi="Times" w:cs="Times"/>
      <w:bCs/>
      <w:i/>
      <w:iCs/>
      <w:color w:val="FF0000"/>
      <w:sz w:val="24"/>
      <w:szCs w:val="24"/>
    </w:rPr>
  </w:style>
  <w:style w:type="character" w:customStyle="1" w:styleId="ff1">
    <w:name w:val="ff1"/>
    <w:basedOn w:val="DefaultParagraphFont"/>
    <w:rsid w:val="00F4503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paragraph" w:styleId="Caption">
    <w:name w:val="caption"/>
    <w:basedOn w:val="Normal"/>
    <w:next w:val="Normal"/>
    <w:uiPriority w:val="35"/>
    <w:unhideWhenUsed/>
    <w:qFormat/>
    <w:rsid w:val="006F5A8F"/>
    <w:pPr>
      <w:spacing w:line="240" w:lineRule="auto"/>
    </w:pPr>
    <w:rPr>
      <w:i/>
      <w:iCs/>
      <w:sz w:val="18"/>
      <w:szCs w:val="18"/>
    </w:rPr>
  </w:style>
  <w:style w:type="character" w:styleId="PlaceholderText">
    <w:name w:val="Placeholder Text"/>
    <w:basedOn w:val="DefaultParagraphFont"/>
    <w:uiPriority w:val="99"/>
    <w:semiHidden/>
    <w:rsid w:val="00C54FFC"/>
    <w:rPr>
      <w:color w:val="808080"/>
    </w:rPr>
  </w:style>
  <w:style w:type="paragraph" w:customStyle="1" w:styleId="Tre">
    <w:name w:val="Treść"/>
    <w:rsid w:val="008B72F3"/>
    <w:pPr>
      <w:spacing w:after="160" w:line="256" w:lineRule="auto"/>
      <w:jc w:val="left"/>
    </w:pPr>
    <w:rPr>
      <w:rFonts w:ascii="Calibri" w:eastAsia="Arial Unicode MS" w:hAnsi="Calibri" w:cs="Arial Unicode MS"/>
      <w:color w:val="000000"/>
      <w:sz w:val="22"/>
      <w:szCs w:val="22"/>
      <w:u w:color="000000"/>
      <w:lang w:val="pl-PL" w:eastAsia="pl-PL"/>
      <w14:textOutline w14:w="0" w14:cap="flat" w14:cmpd="sng" w14:algn="ctr">
        <w14:noFill/>
        <w14:prstDash w14:val="solid"/>
        <w14:bevel/>
      </w14:textOutline>
    </w:rPr>
  </w:style>
  <w:style w:type="table" w:customStyle="1" w:styleId="TableGrid1">
    <w:name w:val="Table Grid1"/>
    <w:basedOn w:val="TableNormal"/>
    <w:next w:val="TableGrid"/>
    <w:uiPriority w:val="39"/>
    <w:rsid w:val="00D16D38"/>
    <w:rPr>
      <w:rFonts w:asciiTheme="minorHAnsi" w:eastAsiaTheme="minorHAnsi" w:hAnsiTheme="minorHAnsi" w:cstheme="minorBidi"/>
      <w:sz w:val="22"/>
      <w:szCs w:val="2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3">
    <w:name w:val="Title 3"/>
    <w:basedOn w:val="Title2"/>
    <w:next w:val="Normal"/>
    <w:qFormat/>
    <w:rsid w:val="00D94C94"/>
    <w:pPr>
      <w:ind w:left="792" w:hanging="432"/>
    </w:pPr>
    <w:rPr>
      <w:b w:val="0"/>
      <w:i/>
    </w:rPr>
  </w:style>
  <w:style w:type="character" w:customStyle="1" w:styleId="hlfld-title">
    <w:name w:val="hlfld-title"/>
    <w:basedOn w:val="DefaultParagraphFont"/>
    <w:rsid w:val="0045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ndrea.capasso@inl.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UZdnxDJ6hkf3qfG2+eRB+F6Nwg==">AMUW2mXPE9mWSFWMzEVMKbqm12OGN8UAuj3yWG6VhQZuLAWGsBNPcqiwW/+3ULi7s7roBqZiBrRgqpAxkjyLWVKajRd9qKq7yMt+M24deGllrPx8IBu7zpDi0iYYyuwPUlxt5BSUr8C3</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4A4FF2-5FD7-49E3-A73A-00858A556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lmv00</dc:creator>
  <cp:lastModifiedBy>Andrea Capasso</cp:lastModifiedBy>
  <cp:revision>3</cp:revision>
  <dcterms:created xsi:type="dcterms:W3CDTF">2022-05-11T16:30:00Z</dcterms:created>
  <dcterms:modified xsi:type="dcterms:W3CDTF">2022-05-11T17:45:00Z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http://www.zotero.org/styles/2d-materials</vt:lpwstr>
  </property>
  <property fmtid="{D5CDD505-2E9C-101B-9397-08002B2CF9AE}" pid="3" name="Mendeley Recent Style Name 0_1">
    <vt:lpwstr>2D Materials</vt:lpwstr>
  </property>
  <property fmtid="{D5CDD505-2E9C-101B-9397-08002B2CF9AE}" pid="4" name="Mendeley Recent Style Id 1_1">
    <vt:lpwstr>http://www.zotero.org/styles/advanced-functional-materials</vt:lpwstr>
  </property>
  <property fmtid="{D5CDD505-2E9C-101B-9397-08002B2CF9AE}" pid="5" name="Mendeley Recent Style Name 1_1">
    <vt:lpwstr>Advanced Functional Materials</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http://www.zotero.org/styles/chemistry-of-materials</vt:lpwstr>
  </property>
  <property fmtid="{D5CDD505-2E9C-101B-9397-08002B2CF9AE}" pid="9" name="Mendeley Recent Style Name 3_1">
    <vt:lpwstr>Chemistry of Materials</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http://www.zotero.org/styles/chemistry-of-materials</vt:lpwstr>
  </property>
  <property fmtid="{D5CDD505-2E9C-101B-9397-08002B2CF9AE}" pid="23" name="Mendeley Document_1">
    <vt:lpwstr>True</vt:lpwstr>
  </property>
  <property fmtid="{D5CDD505-2E9C-101B-9397-08002B2CF9AE}" pid="24" name="Mendeley Unique User Id_1">
    <vt:lpwstr>935389c6-57f7-3889-9771-ec125c591809</vt:lpwstr>
  </property>
</Properties>
</file>