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415F6" w14:textId="1153353B" w:rsidR="00D82BAB" w:rsidRPr="009D393D" w:rsidRDefault="00ED09A8" w:rsidP="00D82BAB">
      <w:pPr>
        <w:suppressLineNumbers/>
        <w:rPr>
          <w:rFonts w:cs="Times New Roman"/>
          <w:b/>
          <w:bCs/>
        </w:rPr>
      </w:pPr>
      <w:r>
        <w:rPr>
          <w:rFonts w:cs="Times New Roman"/>
          <w:b/>
          <w:bCs/>
        </w:rPr>
        <w:t>P</w:t>
      </w:r>
      <w:r w:rsidR="00D82BAB" w:rsidRPr="009D393D">
        <w:rPr>
          <w:rFonts w:cs="Times New Roman"/>
          <w:b/>
          <w:bCs/>
        </w:rPr>
        <w:t xml:space="preserve">henological drivers of ungulate migration in South America: Characterizing the movement and seasonal habitat use of guanacos. </w:t>
      </w:r>
    </w:p>
    <w:p w14:paraId="780B6551" w14:textId="77777777" w:rsidR="00D82BAB" w:rsidRPr="009D393D" w:rsidRDefault="00D82BAB" w:rsidP="00D82BAB">
      <w:pPr>
        <w:suppressLineNumbers/>
        <w:rPr>
          <w:rFonts w:cs="Times New Roman"/>
          <w:vertAlign w:val="superscript"/>
        </w:rPr>
      </w:pPr>
      <w:r w:rsidRPr="009D393D">
        <w:rPr>
          <w:rFonts w:cs="Times New Roman"/>
        </w:rPr>
        <w:t>Malena Candino</w:t>
      </w:r>
      <w:r w:rsidRPr="009D393D">
        <w:rPr>
          <w:rFonts w:cs="Times New Roman"/>
          <w:vertAlign w:val="superscript"/>
        </w:rPr>
        <w:t>1</w:t>
      </w:r>
      <w:r w:rsidRPr="009D393D">
        <w:rPr>
          <w:rFonts w:cs="Times New Roman"/>
        </w:rPr>
        <w:t>, Emiliano Donadio</w:t>
      </w:r>
      <w:r w:rsidRPr="009D393D">
        <w:rPr>
          <w:rFonts w:cs="Times New Roman"/>
          <w:vertAlign w:val="superscript"/>
        </w:rPr>
        <w:t>2</w:t>
      </w:r>
      <w:r w:rsidRPr="009D393D">
        <w:rPr>
          <w:rFonts w:cs="Times New Roman"/>
        </w:rPr>
        <w:t>, Jonathan N. Pauli</w:t>
      </w:r>
      <w:r w:rsidRPr="009D393D">
        <w:rPr>
          <w:rFonts w:cs="Times New Roman"/>
          <w:vertAlign w:val="superscript"/>
        </w:rPr>
        <w:t>1</w:t>
      </w:r>
    </w:p>
    <w:p w14:paraId="683AC44B" w14:textId="77777777" w:rsidR="00D82BAB" w:rsidRPr="009D393D" w:rsidRDefault="00D82BAB" w:rsidP="00D82BAB">
      <w:pPr>
        <w:suppressLineNumbers/>
        <w:rPr>
          <w:rFonts w:cs="Times New Roman"/>
          <w:bCs/>
        </w:rPr>
      </w:pPr>
      <w:r w:rsidRPr="009D393D">
        <w:rPr>
          <w:rFonts w:cs="Times New Roman"/>
          <w:bCs/>
          <w:vertAlign w:val="superscript"/>
        </w:rPr>
        <w:t>1</w:t>
      </w:r>
      <w:r w:rsidRPr="009D393D">
        <w:rPr>
          <w:rFonts w:cs="Times New Roman"/>
          <w:bCs/>
        </w:rPr>
        <w:t>Department of Forest and Wildlife Ecology, University of Wisconsin, Madison, WI 53706, U.S.A.</w:t>
      </w:r>
    </w:p>
    <w:p w14:paraId="3189526E" w14:textId="77777777" w:rsidR="00D82BAB" w:rsidRPr="00395423" w:rsidRDefault="00D82BAB" w:rsidP="00D82BAB">
      <w:pPr>
        <w:suppressLineNumbers/>
        <w:spacing w:line="240" w:lineRule="auto"/>
        <w:rPr>
          <w:rFonts w:eastAsia="Times New Roman" w:cs="Times New Roman"/>
          <w:color w:val="777777"/>
          <w:spacing w:val="4"/>
          <w:sz w:val="20"/>
          <w:szCs w:val="20"/>
          <w:shd w:val="clear" w:color="auto" w:fill="FFFFFF"/>
        </w:rPr>
      </w:pPr>
      <w:r w:rsidRPr="009D393D">
        <w:rPr>
          <w:vertAlign w:val="superscript"/>
        </w:rPr>
        <w:t>2</w:t>
      </w:r>
      <w:r w:rsidRPr="009D393D">
        <w:t>Fundación Rewilding Argentina, Buenos Aires, Argentina.</w:t>
      </w:r>
      <w:r w:rsidRPr="009D393D">
        <w:rPr>
          <w:rFonts w:ascii="Open Sans" w:hAnsi="Open Sans" w:cs="Open Sans"/>
          <w:color w:val="777777"/>
          <w:spacing w:val="4"/>
          <w:sz w:val="20"/>
          <w:szCs w:val="20"/>
          <w:shd w:val="clear" w:color="auto" w:fill="FFFFFF"/>
        </w:rPr>
        <w:t xml:space="preserve"> </w:t>
      </w:r>
      <w:r w:rsidRPr="00A66843">
        <w:rPr>
          <w:rFonts w:eastAsia="Times New Roman" w:cs="Times New Roman"/>
          <w:color w:val="000000" w:themeColor="text1"/>
          <w:spacing w:val="4"/>
          <w:shd w:val="clear" w:color="auto" w:fill="FFFFFF"/>
        </w:rPr>
        <w:t>CP 1425.</w:t>
      </w:r>
    </w:p>
    <w:p w14:paraId="7C2C0FFD" w14:textId="77777777" w:rsidR="00D82BAB" w:rsidRPr="009D393D" w:rsidRDefault="00D82BAB" w:rsidP="00D82BAB">
      <w:pPr>
        <w:suppressLineNumbers/>
        <w:rPr>
          <w:rFonts w:cs="Times New Roman"/>
        </w:rPr>
      </w:pPr>
    </w:p>
    <w:p w14:paraId="416E486F" w14:textId="77777777" w:rsidR="00D82BAB" w:rsidRDefault="00D82BAB" w:rsidP="00D82BAB">
      <w:pPr>
        <w:suppressLineNumbers/>
        <w:rPr>
          <w:rFonts w:cs="Times New Roman"/>
        </w:rPr>
      </w:pPr>
      <w:r>
        <w:rPr>
          <w:rFonts w:cs="Times New Roman"/>
          <w:b/>
          <w:bCs/>
        </w:rPr>
        <w:t xml:space="preserve">Corresponding author: </w:t>
      </w:r>
      <w:r>
        <w:rPr>
          <w:rFonts w:cs="Times New Roman"/>
        </w:rPr>
        <w:t xml:space="preserve">Malena </w:t>
      </w:r>
      <w:proofErr w:type="spellStart"/>
      <w:r>
        <w:rPr>
          <w:rFonts w:cs="Times New Roman"/>
        </w:rPr>
        <w:t>Candino</w:t>
      </w:r>
      <w:proofErr w:type="spellEnd"/>
      <w:r>
        <w:rPr>
          <w:rFonts w:cs="Times New Roman"/>
        </w:rPr>
        <w:t xml:space="preserve">, </w:t>
      </w:r>
      <w:hyperlink r:id="rId5" w:history="1">
        <w:r w:rsidRPr="000A35C8">
          <w:rPr>
            <w:rStyle w:val="Hyperlink"/>
            <w:rFonts w:cs="Times New Roman"/>
          </w:rPr>
          <w:t>candino@wisc.edu</w:t>
        </w:r>
      </w:hyperlink>
      <w:r>
        <w:rPr>
          <w:rFonts w:cs="Times New Roman"/>
        </w:rPr>
        <w:t xml:space="preserve">, 608-209-0291. </w:t>
      </w:r>
    </w:p>
    <w:p w14:paraId="7BF14F5F" w14:textId="0C465000" w:rsidR="006D541E" w:rsidRPr="00D7291E" w:rsidRDefault="006D541E" w:rsidP="006D541E">
      <w:pPr>
        <w:keepNext/>
        <w:rPr>
          <w:rFonts w:cs="Times New Roman"/>
          <w:color w:val="000000" w:themeColor="text1"/>
        </w:rPr>
      </w:pPr>
      <w:r w:rsidRPr="00D7291E">
        <w:rPr>
          <w:rFonts w:cs="Times New Roman"/>
          <w:noProof/>
          <w:color w:val="000000" w:themeColor="text1"/>
        </w:rPr>
        <w:lastRenderedPageBreak/>
        <w:drawing>
          <wp:inline distT="0" distB="0" distL="0" distR="0" wp14:anchorId="399774EC" wp14:editId="5F904EC5">
            <wp:extent cx="6638192" cy="3791349"/>
            <wp:effectExtent l="0" t="0" r="4445" b="6350"/>
            <wp:docPr id="6" name="Picture 6" descr="Diagram, engineering draw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 engineering drawing, schematic&#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6759056" cy="3860379"/>
                    </a:xfrm>
                    <a:prstGeom prst="rect">
                      <a:avLst/>
                    </a:prstGeom>
                  </pic:spPr>
                </pic:pic>
              </a:graphicData>
            </a:graphic>
          </wp:inline>
        </w:drawing>
      </w:r>
    </w:p>
    <w:p w14:paraId="7E5F6AFE" w14:textId="03610611" w:rsidR="006D541E" w:rsidRPr="00D7291E" w:rsidRDefault="006D541E" w:rsidP="006D541E">
      <w:pPr>
        <w:pStyle w:val="Caption"/>
        <w:keepNext/>
        <w:spacing w:before="100" w:beforeAutospacing="1" w:after="100" w:afterAutospacing="1"/>
        <w:rPr>
          <w:rFonts w:cs="Times New Roman"/>
          <w:i w:val="0"/>
          <w:iCs w:val="0"/>
          <w:color w:val="000000" w:themeColor="text1"/>
          <w:sz w:val="24"/>
          <w:szCs w:val="24"/>
        </w:rPr>
      </w:pPr>
      <w:r w:rsidRPr="00D7291E">
        <w:rPr>
          <w:rFonts w:cs="Times New Roman"/>
          <w:color w:val="000000" w:themeColor="text1"/>
          <w:sz w:val="24"/>
          <w:szCs w:val="24"/>
        </w:rPr>
        <w:t xml:space="preserve">Figure </w:t>
      </w:r>
      <w:r w:rsidRPr="00D7291E">
        <w:rPr>
          <w:rFonts w:cs="Times New Roman"/>
          <w:color w:val="000000" w:themeColor="text1"/>
          <w:sz w:val="24"/>
          <w:szCs w:val="24"/>
        </w:rPr>
        <w:fldChar w:fldCharType="begin"/>
      </w:r>
      <w:r w:rsidRPr="00D7291E">
        <w:rPr>
          <w:rFonts w:cs="Times New Roman"/>
          <w:color w:val="000000" w:themeColor="text1"/>
          <w:sz w:val="24"/>
          <w:szCs w:val="24"/>
        </w:rPr>
        <w:instrText xml:space="preserve"> SEQ Figure \* ARABIC </w:instrText>
      </w:r>
      <w:r w:rsidRPr="00D7291E">
        <w:rPr>
          <w:rFonts w:cs="Times New Roman"/>
          <w:color w:val="000000" w:themeColor="text1"/>
          <w:sz w:val="24"/>
          <w:szCs w:val="24"/>
        </w:rPr>
        <w:fldChar w:fldCharType="separate"/>
      </w:r>
      <w:r w:rsidRPr="00D7291E">
        <w:rPr>
          <w:rFonts w:cs="Times New Roman"/>
          <w:noProof/>
          <w:color w:val="000000" w:themeColor="text1"/>
          <w:sz w:val="24"/>
          <w:szCs w:val="24"/>
        </w:rPr>
        <w:t>1</w:t>
      </w:r>
      <w:r w:rsidRPr="00D7291E">
        <w:rPr>
          <w:rFonts w:cs="Times New Roman"/>
          <w:color w:val="000000" w:themeColor="text1"/>
          <w:sz w:val="24"/>
          <w:szCs w:val="24"/>
        </w:rPr>
        <w:fldChar w:fldCharType="end"/>
      </w:r>
      <w:r w:rsidRPr="00D7291E">
        <w:rPr>
          <w:rFonts w:cs="Times New Roman"/>
          <w:color w:val="000000" w:themeColor="text1"/>
          <w:sz w:val="24"/>
          <w:szCs w:val="24"/>
        </w:rPr>
        <w:t xml:space="preserve">. </w:t>
      </w:r>
      <w:r w:rsidRPr="00D7291E">
        <w:rPr>
          <w:rFonts w:cs="Times New Roman"/>
          <w:i w:val="0"/>
          <w:iCs w:val="0"/>
          <w:color w:val="000000" w:themeColor="text1"/>
          <w:sz w:val="24"/>
          <w:szCs w:val="24"/>
        </w:rPr>
        <w:t xml:space="preserve">Net square displacement plots of each migratory cycle for 3 guanacos (G01, G02, G04) that remained migratory for the duration of the study showing all three a priori models (migrant, </w:t>
      </w:r>
      <w:proofErr w:type="gramStart"/>
      <w:r w:rsidRPr="00D7291E">
        <w:rPr>
          <w:rFonts w:cs="Times New Roman"/>
          <w:i w:val="0"/>
          <w:iCs w:val="0"/>
          <w:color w:val="000000" w:themeColor="text1"/>
          <w:sz w:val="24"/>
          <w:szCs w:val="24"/>
        </w:rPr>
        <w:t>disperser</w:t>
      </w:r>
      <w:proofErr w:type="gramEnd"/>
      <w:r w:rsidRPr="00D7291E">
        <w:rPr>
          <w:rFonts w:cs="Times New Roman"/>
          <w:i w:val="0"/>
          <w:iCs w:val="0"/>
          <w:color w:val="000000" w:themeColor="text1"/>
          <w:sz w:val="24"/>
          <w:szCs w:val="24"/>
        </w:rPr>
        <w:t xml:space="preserve"> and resident) with their corresponding AIC value, and the distribution and classification of each relocation to either the starting range (range 1), their migratory range (range 2) </w:t>
      </w:r>
      <w:r w:rsidR="00EC683F">
        <w:rPr>
          <w:rFonts w:cs="Times New Roman"/>
          <w:i w:val="0"/>
          <w:iCs w:val="0"/>
          <w:color w:val="000000" w:themeColor="text1"/>
          <w:sz w:val="24"/>
          <w:szCs w:val="24"/>
        </w:rPr>
        <w:t>or</w:t>
      </w:r>
      <w:r w:rsidRPr="00D7291E">
        <w:rPr>
          <w:rFonts w:cs="Times New Roman"/>
          <w:i w:val="0"/>
          <w:iCs w:val="0"/>
          <w:color w:val="000000" w:themeColor="text1"/>
          <w:sz w:val="24"/>
          <w:szCs w:val="24"/>
        </w:rPr>
        <w:t xml:space="preserve"> unclassified locations. </w:t>
      </w:r>
    </w:p>
    <w:p w14:paraId="21689DD2" w14:textId="77777777" w:rsidR="00696026" w:rsidRPr="00D7291E" w:rsidRDefault="00696026" w:rsidP="007C5B6F">
      <w:pPr>
        <w:rPr>
          <w:rFonts w:cs="Times New Roman"/>
          <w:i/>
          <w:iCs/>
          <w:color w:val="000000" w:themeColor="text1"/>
        </w:rPr>
      </w:pPr>
    </w:p>
    <w:p w14:paraId="79B5B5CB" w14:textId="1846E1FB" w:rsidR="00696026" w:rsidRPr="00D7291E" w:rsidRDefault="00696026" w:rsidP="00696026">
      <w:pPr>
        <w:rPr>
          <w:rFonts w:cs="Times New Roman"/>
          <w:color w:val="000000" w:themeColor="text1"/>
        </w:rPr>
      </w:pPr>
      <w:r w:rsidRPr="00D7291E">
        <w:rPr>
          <w:rFonts w:cs="Times New Roman"/>
          <w:noProof/>
          <w:color w:val="000000" w:themeColor="text1"/>
        </w:rPr>
        <w:lastRenderedPageBreak/>
        <w:drawing>
          <wp:inline distT="0" distB="0" distL="0" distR="0" wp14:anchorId="2A005C3D" wp14:editId="7AC25D86">
            <wp:extent cx="8229600" cy="2852858"/>
            <wp:effectExtent l="0" t="0" r="0" b="5080"/>
            <wp:docPr id="1" name="Picture 1" descr="Graphical user interface,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8229600" cy="2852858"/>
                    </a:xfrm>
                    <a:prstGeom prst="rect">
                      <a:avLst/>
                    </a:prstGeom>
                  </pic:spPr>
                </pic:pic>
              </a:graphicData>
            </a:graphic>
          </wp:inline>
        </w:drawing>
      </w:r>
    </w:p>
    <w:p w14:paraId="3A1906A7" w14:textId="0985D7ED" w:rsidR="00696026" w:rsidRPr="00D7291E" w:rsidRDefault="00696026" w:rsidP="00696026">
      <w:pPr>
        <w:pStyle w:val="Caption"/>
        <w:spacing w:before="100" w:beforeAutospacing="1" w:after="100" w:afterAutospacing="1"/>
        <w:rPr>
          <w:rFonts w:cs="Times New Roman"/>
          <w:i w:val="0"/>
          <w:iCs w:val="0"/>
          <w:color w:val="000000" w:themeColor="text1"/>
          <w:sz w:val="24"/>
          <w:szCs w:val="24"/>
        </w:rPr>
      </w:pPr>
      <w:r w:rsidRPr="00D7291E">
        <w:rPr>
          <w:rFonts w:cs="Times New Roman"/>
          <w:color w:val="000000" w:themeColor="text1"/>
          <w:sz w:val="24"/>
          <w:szCs w:val="24"/>
        </w:rPr>
        <w:t xml:space="preserve">Figure 2. </w:t>
      </w:r>
      <w:r w:rsidRPr="00D7291E">
        <w:rPr>
          <w:rFonts w:cs="Times New Roman"/>
          <w:i w:val="0"/>
          <w:iCs w:val="0"/>
          <w:color w:val="000000" w:themeColor="text1"/>
          <w:sz w:val="24"/>
          <w:szCs w:val="24"/>
        </w:rPr>
        <w:t xml:space="preserve">Net square displacement plots for 2 individual guanacos (G11, G13) that were originally classified as migratory showing all three a priori models (migrant, </w:t>
      </w:r>
      <w:proofErr w:type="gramStart"/>
      <w:r w:rsidRPr="00D7291E">
        <w:rPr>
          <w:rFonts w:cs="Times New Roman"/>
          <w:i w:val="0"/>
          <w:iCs w:val="0"/>
          <w:color w:val="000000" w:themeColor="text1"/>
          <w:sz w:val="24"/>
          <w:szCs w:val="24"/>
        </w:rPr>
        <w:t>disperser</w:t>
      </w:r>
      <w:proofErr w:type="gramEnd"/>
      <w:r w:rsidRPr="00D7291E">
        <w:rPr>
          <w:rFonts w:cs="Times New Roman"/>
          <w:i w:val="0"/>
          <w:iCs w:val="0"/>
          <w:color w:val="000000" w:themeColor="text1"/>
          <w:sz w:val="24"/>
          <w:szCs w:val="24"/>
        </w:rPr>
        <w:t xml:space="preserve"> and resident) with their corresponding AIC value, and the distribution and classification of each relocation to either the starting range (range 1), their migratory range (range 2) </w:t>
      </w:r>
      <w:r w:rsidR="00EC683F">
        <w:rPr>
          <w:rFonts w:cs="Times New Roman"/>
          <w:i w:val="0"/>
          <w:iCs w:val="0"/>
          <w:color w:val="000000" w:themeColor="text1"/>
          <w:sz w:val="24"/>
          <w:szCs w:val="24"/>
        </w:rPr>
        <w:t>or</w:t>
      </w:r>
      <w:r w:rsidRPr="00D7291E">
        <w:rPr>
          <w:rFonts w:cs="Times New Roman"/>
          <w:i w:val="0"/>
          <w:iCs w:val="0"/>
          <w:color w:val="000000" w:themeColor="text1"/>
          <w:sz w:val="24"/>
          <w:szCs w:val="24"/>
        </w:rPr>
        <w:t xml:space="preserve"> unclassified locations. When incorporating the home range overlap method, G11 was considered to have switched strategies in 2021 and was finally classified as resident, and G13 was considered </w:t>
      </w:r>
      <w:r w:rsidR="00EC683F">
        <w:rPr>
          <w:rFonts w:cs="Times New Roman"/>
          <w:i w:val="0"/>
          <w:iCs w:val="0"/>
          <w:color w:val="000000" w:themeColor="text1"/>
          <w:sz w:val="24"/>
          <w:szCs w:val="24"/>
        </w:rPr>
        <w:t>resident</w:t>
      </w:r>
      <w:r w:rsidR="00EC683F" w:rsidRPr="00D7291E">
        <w:rPr>
          <w:rFonts w:cs="Times New Roman"/>
          <w:i w:val="0"/>
          <w:iCs w:val="0"/>
          <w:color w:val="000000" w:themeColor="text1"/>
          <w:sz w:val="24"/>
          <w:szCs w:val="24"/>
        </w:rPr>
        <w:t xml:space="preserve"> </w:t>
      </w:r>
      <w:r w:rsidRPr="00D7291E">
        <w:rPr>
          <w:rFonts w:cs="Times New Roman"/>
          <w:i w:val="0"/>
          <w:iCs w:val="0"/>
          <w:color w:val="000000" w:themeColor="text1"/>
          <w:sz w:val="24"/>
          <w:szCs w:val="24"/>
        </w:rPr>
        <w:t xml:space="preserve">for both cycles.   </w:t>
      </w:r>
    </w:p>
    <w:p w14:paraId="725821E3" w14:textId="77777777" w:rsidR="00696026" w:rsidRPr="00D7291E" w:rsidRDefault="00696026" w:rsidP="007C5B6F">
      <w:pPr>
        <w:rPr>
          <w:rFonts w:cs="Times New Roman"/>
          <w:i/>
          <w:iCs/>
          <w:color w:val="000000" w:themeColor="text1"/>
        </w:rPr>
      </w:pPr>
    </w:p>
    <w:p w14:paraId="6FC10CC0" w14:textId="77777777" w:rsidR="00696026" w:rsidRPr="00D7291E" w:rsidRDefault="00EA03B7" w:rsidP="00696026">
      <w:pPr>
        <w:keepNext/>
        <w:spacing w:before="100" w:beforeAutospacing="1" w:after="100" w:afterAutospacing="1"/>
        <w:rPr>
          <w:rFonts w:cs="Times New Roman"/>
          <w:color w:val="000000" w:themeColor="text1"/>
        </w:rPr>
      </w:pPr>
      <w:r w:rsidRPr="00D7291E">
        <w:rPr>
          <w:rFonts w:cs="Times New Roman"/>
          <w:noProof/>
          <w:color w:val="000000" w:themeColor="text1"/>
        </w:rPr>
        <w:lastRenderedPageBreak/>
        <w:drawing>
          <wp:inline distT="0" distB="0" distL="0" distR="0" wp14:anchorId="57DB858B" wp14:editId="43527091">
            <wp:extent cx="6154615" cy="4348122"/>
            <wp:effectExtent l="0" t="0" r="5080" b="0"/>
            <wp:docPr id="2" name="Picture 2" descr="A picture containing text, different, s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different, s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213944" cy="4390037"/>
                    </a:xfrm>
                    <a:prstGeom prst="rect">
                      <a:avLst/>
                    </a:prstGeom>
                  </pic:spPr>
                </pic:pic>
              </a:graphicData>
            </a:graphic>
          </wp:inline>
        </w:drawing>
      </w:r>
    </w:p>
    <w:p w14:paraId="3D2F2D95" w14:textId="006ADFDF" w:rsidR="00301A1E" w:rsidRPr="00D7291E" w:rsidRDefault="00696026" w:rsidP="007C5B6F">
      <w:pPr>
        <w:pStyle w:val="Caption"/>
        <w:rPr>
          <w:rFonts w:cs="Times New Roman"/>
          <w:color w:val="000000" w:themeColor="text1"/>
          <w:sz w:val="24"/>
          <w:szCs w:val="24"/>
        </w:rPr>
      </w:pPr>
      <w:r w:rsidRPr="00D7291E">
        <w:rPr>
          <w:rFonts w:cs="Times New Roman"/>
          <w:color w:val="000000" w:themeColor="text1"/>
          <w:sz w:val="24"/>
          <w:szCs w:val="24"/>
        </w:rPr>
        <w:t>Figure 3.</w:t>
      </w:r>
      <w:r w:rsidRPr="00D7291E">
        <w:rPr>
          <w:rFonts w:cs="Times New Roman"/>
          <w:i w:val="0"/>
          <w:iCs w:val="0"/>
          <w:color w:val="000000" w:themeColor="text1"/>
          <w:sz w:val="24"/>
          <w:szCs w:val="24"/>
        </w:rPr>
        <w:t xml:space="preserve"> GPS locations and 95% Kernel Density Estimate (KDE) home ranges with color gradients for three guanacos classified as migratory by the home range overlap method (G01, G02, G04) illustrating summer (lighter) and winter (darker) ranges with different degrees of overlap and </w:t>
      </w:r>
      <w:r w:rsidRPr="00D7291E">
        <w:rPr>
          <w:rFonts w:eastAsia="Times New Roman" w:cs="Times New Roman"/>
          <w:i w:val="0"/>
          <w:iCs w:val="0"/>
          <w:color w:val="000000" w:themeColor="text1"/>
          <w:sz w:val="24"/>
          <w:szCs w:val="24"/>
        </w:rPr>
        <w:t>Bhattacharyya's affinity index</w:t>
      </w:r>
      <w:r w:rsidRPr="00D7291E">
        <w:rPr>
          <w:rFonts w:cs="Times New Roman"/>
          <w:i w:val="0"/>
          <w:iCs w:val="0"/>
          <w:color w:val="000000" w:themeColor="text1"/>
          <w:sz w:val="24"/>
          <w:szCs w:val="24"/>
        </w:rPr>
        <w:t xml:space="preserve"> </w:t>
      </w:r>
      <w:r w:rsidRPr="00D7291E">
        <w:rPr>
          <w:rFonts w:eastAsia="Times New Roman" w:cs="Times New Roman"/>
          <w:i w:val="0"/>
          <w:iCs w:val="0"/>
          <w:color w:val="000000" w:themeColor="text1"/>
          <w:sz w:val="24"/>
          <w:szCs w:val="24"/>
        </w:rPr>
        <w:t xml:space="preserve">(BA </w:t>
      </w:r>
      <w:r w:rsidRPr="00D7291E">
        <w:rPr>
          <w:rFonts w:cs="Times New Roman"/>
          <w:i w:val="0"/>
          <w:iCs w:val="0"/>
          <w:color w:val="000000" w:themeColor="text1"/>
          <w:sz w:val="24"/>
          <w:szCs w:val="24"/>
        </w:rPr>
        <w:t>= 0 for all migratory cycles of G02 and G04; 0&gt;BA≥0.15 for all migratory cycles of G01).</w:t>
      </w:r>
    </w:p>
    <w:p w14:paraId="4C38D952" w14:textId="4DC24084" w:rsidR="00954D7D" w:rsidRPr="00D7291E" w:rsidRDefault="00696026" w:rsidP="007C5B6F">
      <w:pPr>
        <w:keepNext/>
        <w:rPr>
          <w:rFonts w:cs="Times New Roman"/>
          <w:color w:val="000000" w:themeColor="text1"/>
        </w:rPr>
      </w:pPr>
      <w:r w:rsidRPr="00D7291E">
        <w:rPr>
          <w:rFonts w:cs="Times New Roman"/>
          <w:noProof/>
          <w:color w:val="000000" w:themeColor="text1"/>
        </w:rPr>
        <w:lastRenderedPageBreak/>
        <w:drawing>
          <wp:inline distT="0" distB="0" distL="0" distR="0" wp14:anchorId="12CCC4B8" wp14:editId="1B0219B0">
            <wp:extent cx="8229600" cy="3876040"/>
            <wp:effectExtent l="0" t="0" r="0" b="0"/>
            <wp:docPr id="4" name="Picture 4" descr="A picture containing text, different, items,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different, items, several&#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8229600" cy="3876040"/>
                    </a:xfrm>
                    <a:prstGeom prst="rect">
                      <a:avLst/>
                    </a:prstGeom>
                  </pic:spPr>
                </pic:pic>
              </a:graphicData>
            </a:graphic>
          </wp:inline>
        </w:drawing>
      </w:r>
    </w:p>
    <w:p w14:paraId="19356B92" w14:textId="03B91D99" w:rsidR="00954D7D" w:rsidRPr="00D7291E" w:rsidRDefault="00954D7D" w:rsidP="00954D7D">
      <w:pPr>
        <w:rPr>
          <w:rFonts w:cs="Times New Roman"/>
          <w:color w:val="000000" w:themeColor="text1"/>
        </w:rPr>
      </w:pPr>
      <w:r w:rsidRPr="00D7291E">
        <w:rPr>
          <w:rFonts w:cs="Times New Roman"/>
          <w:i/>
          <w:iCs/>
          <w:color w:val="000000" w:themeColor="text1"/>
        </w:rPr>
        <w:t>Figure 4</w:t>
      </w:r>
      <w:r w:rsidR="007C5B6F" w:rsidRPr="00D7291E">
        <w:rPr>
          <w:rFonts w:cs="Times New Roman"/>
          <w:color w:val="000000" w:themeColor="text1"/>
        </w:rPr>
        <w:t xml:space="preserve">. </w:t>
      </w:r>
      <w:r w:rsidRPr="00D7291E">
        <w:rPr>
          <w:rFonts w:cs="Times New Roman"/>
          <w:color w:val="000000" w:themeColor="text1"/>
        </w:rPr>
        <w:t xml:space="preserve">GPS locations and 95% Kernel Density Estimate (KDE) home ranges with color gradients for two guanacos (G11, G13) illustrating summer (lighter) and winter (darker) ranges with different degrees of overlap and </w:t>
      </w:r>
      <w:r w:rsidRPr="00D7291E">
        <w:rPr>
          <w:rFonts w:eastAsia="Times New Roman" w:cs="Times New Roman"/>
          <w:color w:val="000000" w:themeColor="text1"/>
        </w:rPr>
        <w:t>Bhattacharyya's affinity index</w:t>
      </w:r>
      <w:r w:rsidR="00420606" w:rsidRPr="00D7291E">
        <w:rPr>
          <w:rFonts w:eastAsia="Times New Roman" w:cs="Times New Roman"/>
          <w:color w:val="000000" w:themeColor="text1"/>
        </w:rPr>
        <w:t>. G11 was classified as migratory by the home range overlap method for 2019</w:t>
      </w:r>
      <w:r w:rsidRPr="00D7291E">
        <w:rPr>
          <w:rFonts w:cs="Times New Roman"/>
          <w:color w:val="000000" w:themeColor="text1"/>
        </w:rPr>
        <w:t xml:space="preserve"> </w:t>
      </w:r>
      <w:r w:rsidR="00420606" w:rsidRPr="00D7291E">
        <w:rPr>
          <w:rFonts w:eastAsia="Times New Roman" w:cs="Times New Roman"/>
          <w:color w:val="000000" w:themeColor="text1"/>
        </w:rPr>
        <w:t>(</w:t>
      </w:r>
      <w:r w:rsidRPr="00D7291E">
        <w:rPr>
          <w:rFonts w:cs="Times New Roman"/>
          <w:color w:val="000000" w:themeColor="text1"/>
        </w:rPr>
        <w:t>0&gt;BA≥0.15)</w:t>
      </w:r>
      <w:r w:rsidR="00420606" w:rsidRPr="00D7291E">
        <w:rPr>
          <w:rFonts w:cs="Times New Roman"/>
          <w:color w:val="000000" w:themeColor="text1"/>
        </w:rPr>
        <w:t xml:space="preserve"> but was classified as resident for 2020 and 2021 (BA ≤0.15). G13 was classified as resident for both cycles</w:t>
      </w:r>
      <w:r w:rsidR="002F56AD" w:rsidRPr="00D7291E">
        <w:rPr>
          <w:rFonts w:cs="Times New Roman"/>
          <w:color w:val="000000" w:themeColor="text1"/>
        </w:rPr>
        <w:t xml:space="preserve"> (BA ≤0.15).</w:t>
      </w:r>
    </w:p>
    <w:p w14:paraId="23FE9469" w14:textId="545451F0" w:rsidR="002978AC" w:rsidRPr="00D7291E" w:rsidRDefault="002978AC" w:rsidP="00922D1B">
      <w:pPr>
        <w:pStyle w:val="Caption"/>
        <w:keepNext/>
        <w:spacing w:before="100" w:beforeAutospacing="1" w:after="100" w:afterAutospacing="1"/>
        <w:rPr>
          <w:rFonts w:cs="Times New Roman"/>
          <w:i w:val="0"/>
          <w:iCs w:val="0"/>
          <w:color w:val="000000" w:themeColor="text1"/>
          <w:sz w:val="24"/>
          <w:szCs w:val="24"/>
        </w:rPr>
      </w:pPr>
      <w:r w:rsidRPr="00D7291E">
        <w:rPr>
          <w:rFonts w:eastAsia="Times New Roman" w:cs="Times New Roman"/>
          <w:color w:val="000000" w:themeColor="text1"/>
          <w:sz w:val="24"/>
          <w:szCs w:val="24"/>
        </w:rPr>
        <w:lastRenderedPageBreak/>
        <w:t>Table 1.</w:t>
      </w:r>
      <w:r w:rsidRPr="00D7291E">
        <w:rPr>
          <w:rFonts w:cs="Times New Roman"/>
          <w:i w:val="0"/>
          <w:iCs w:val="0"/>
          <w:color w:val="000000" w:themeColor="text1"/>
          <w:sz w:val="24"/>
          <w:szCs w:val="24"/>
        </w:rPr>
        <w:t xml:space="preserve"> Attributes of migration for 21 adult guanacos (</w:t>
      </w:r>
      <w:r w:rsidRPr="00D7291E">
        <w:rPr>
          <w:rFonts w:cs="Times New Roman"/>
          <w:iCs w:val="0"/>
          <w:color w:val="000000" w:themeColor="text1"/>
          <w:sz w:val="24"/>
          <w:szCs w:val="24"/>
        </w:rPr>
        <w:t>Lama guanicoe</w:t>
      </w:r>
      <w:r w:rsidRPr="00D7291E">
        <w:rPr>
          <w:rFonts w:cs="Times New Roman"/>
          <w:i w:val="0"/>
          <w:iCs w:val="0"/>
          <w:color w:val="000000" w:themeColor="text1"/>
          <w:sz w:val="24"/>
          <w:szCs w:val="24"/>
        </w:rPr>
        <w:t>) equipped with GPS collars in Patagonia, Argentina 2019-2022. Identification of seasonal behaviors (migratory, residential or dispersal) according to two methods, altitudinal Net Squared Displacement (NSD) and Seasonal Range Overlap, final classification and migration parameters regarding timing, duration and distance for individuals classified as migratory obtained from the top NSD</w:t>
      </w:r>
      <w:r w:rsidRPr="00D7291E" w:rsidDel="00FB06D0">
        <w:rPr>
          <w:rFonts w:cs="Times New Roman"/>
          <w:i w:val="0"/>
          <w:iCs w:val="0"/>
          <w:color w:val="000000" w:themeColor="text1"/>
          <w:sz w:val="24"/>
          <w:szCs w:val="24"/>
        </w:rPr>
        <w:t xml:space="preserve"> </w:t>
      </w:r>
      <w:r w:rsidRPr="00D7291E">
        <w:rPr>
          <w:rFonts w:cs="Times New Roman"/>
          <w:i w:val="0"/>
          <w:iCs w:val="0"/>
          <w:color w:val="000000" w:themeColor="text1"/>
          <w:sz w:val="24"/>
          <w:szCs w:val="24"/>
        </w:rPr>
        <w:t>model.</w:t>
      </w:r>
    </w:p>
    <w:tbl>
      <w:tblPr>
        <w:tblW w:w="13554" w:type="dxa"/>
        <w:tblLook w:val="04A0" w:firstRow="1" w:lastRow="0" w:firstColumn="1" w:lastColumn="0" w:noHBand="0" w:noVBand="1"/>
      </w:tblPr>
      <w:tblGrid>
        <w:gridCol w:w="667"/>
        <w:gridCol w:w="1094"/>
        <w:gridCol w:w="1235"/>
        <w:gridCol w:w="1235"/>
        <w:gridCol w:w="1592"/>
        <w:gridCol w:w="1288"/>
        <w:gridCol w:w="1360"/>
        <w:gridCol w:w="1273"/>
        <w:gridCol w:w="1256"/>
        <w:gridCol w:w="1277"/>
        <w:gridCol w:w="1277"/>
      </w:tblGrid>
      <w:tr w:rsidR="00D7291E" w:rsidRPr="00D7291E" w14:paraId="0A0626B4" w14:textId="77777777" w:rsidTr="00132C81">
        <w:trPr>
          <w:trHeight w:val="2198"/>
        </w:trPr>
        <w:tc>
          <w:tcPr>
            <w:tcW w:w="667" w:type="dxa"/>
            <w:tcBorders>
              <w:top w:val="single" w:sz="4" w:space="0" w:color="auto"/>
              <w:bottom w:val="single" w:sz="4" w:space="0" w:color="auto"/>
            </w:tcBorders>
          </w:tcPr>
          <w:p w14:paraId="7890491F"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ID</w:t>
            </w:r>
          </w:p>
        </w:tc>
        <w:tc>
          <w:tcPr>
            <w:tcW w:w="1094" w:type="dxa"/>
            <w:tcBorders>
              <w:top w:val="single" w:sz="4" w:space="0" w:color="auto"/>
              <w:bottom w:val="single" w:sz="4" w:space="0" w:color="auto"/>
            </w:tcBorders>
          </w:tcPr>
          <w:p w14:paraId="52522751"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Starting range</w:t>
            </w:r>
          </w:p>
        </w:tc>
        <w:tc>
          <w:tcPr>
            <w:tcW w:w="1235" w:type="dxa"/>
            <w:tcBorders>
              <w:top w:val="single" w:sz="4" w:space="0" w:color="auto"/>
              <w:bottom w:val="single" w:sz="4" w:space="0" w:color="auto"/>
            </w:tcBorders>
          </w:tcPr>
          <w:p w14:paraId="34BB2E69"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NSD top model</w:t>
            </w:r>
          </w:p>
        </w:tc>
        <w:tc>
          <w:tcPr>
            <w:tcW w:w="1235" w:type="dxa"/>
            <w:tcBorders>
              <w:top w:val="single" w:sz="4" w:space="0" w:color="auto"/>
              <w:bottom w:val="single" w:sz="4" w:space="0" w:color="auto"/>
            </w:tcBorders>
          </w:tcPr>
          <w:p w14:paraId="0BF03FC6"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Seasonal Overlap top model</w:t>
            </w:r>
          </w:p>
        </w:tc>
        <w:tc>
          <w:tcPr>
            <w:tcW w:w="1592" w:type="dxa"/>
            <w:tcBorders>
              <w:top w:val="single" w:sz="4" w:space="0" w:color="auto"/>
              <w:bottom w:val="single" w:sz="4" w:space="0" w:color="auto"/>
            </w:tcBorders>
          </w:tcPr>
          <w:p w14:paraId="1ACB494D"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Final classification</w:t>
            </w:r>
          </w:p>
        </w:tc>
        <w:tc>
          <w:tcPr>
            <w:tcW w:w="1288" w:type="dxa"/>
            <w:tcBorders>
              <w:top w:val="single" w:sz="4" w:space="0" w:color="auto"/>
              <w:bottom w:val="single" w:sz="4" w:space="0" w:color="auto"/>
            </w:tcBorders>
          </w:tcPr>
          <w:p w14:paraId="03C7D58F"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 xml:space="preserve">Summer departure date- </w:t>
            </w:r>
            <w:r w:rsidRPr="00D7291E">
              <w:rPr>
                <w:rFonts w:cs="Times New Roman"/>
                <w:color w:val="000000" w:themeColor="text1"/>
              </w:rPr>
              <w:sym w:font="Symbol" w:char="F071"/>
            </w:r>
          </w:p>
        </w:tc>
        <w:tc>
          <w:tcPr>
            <w:tcW w:w="1360" w:type="dxa"/>
            <w:tcBorders>
              <w:top w:val="single" w:sz="4" w:space="0" w:color="auto"/>
              <w:bottom w:val="single" w:sz="4" w:space="0" w:color="auto"/>
            </w:tcBorders>
          </w:tcPr>
          <w:p w14:paraId="24588679"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 xml:space="preserve">Winter departure date- </w:t>
            </w:r>
            <w:r w:rsidRPr="00D7291E">
              <w:rPr>
                <w:rFonts w:cs="Times New Roman"/>
                <w:color w:val="000000" w:themeColor="text1"/>
              </w:rPr>
              <w:sym w:font="Symbol" w:char="F071"/>
            </w:r>
          </w:p>
        </w:tc>
        <w:tc>
          <w:tcPr>
            <w:tcW w:w="1273" w:type="dxa"/>
            <w:tcBorders>
              <w:top w:val="single" w:sz="4" w:space="0" w:color="auto"/>
              <w:bottom w:val="single" w:sz="4" w:space="0" w:color="auto"/>
            </w:tcBorders>
          </w:tcPr>
          <w:p w14:paraId="732B9A48"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 xml:space="preserve">Duration- </w:t>
            </w:r>
            <w:r w:rsidRPr="00D7291E">
              <w:rPr>
                <w:rFonts w:cs="Times New Roman"/>
                <w:color w:val="000000" w:themeColor="text1"/>
              </w:rPr>
              <w:sym w:font="Symbol" w:char="F072"/>
            </w:r>
            <w:r w:rsidRPr="00D7291E">
              <w:rPr>
                <w:rFonts w:cs="Times New Roman"/>
                <w:color w:val="000000" w:themeColor="text1"/>
              </w:rPr>
              <w:t xml:space="preserve"> (days)</w:t>
            </w:r>
          </w:p>
        </w:tc>
        <w:tc>
          <w:tcPr>
            <w:tcW w:w="1256" w:type="dxa"/>
            <w:tcBorders>
              <w:top w:val="single" w:sz="4" w:space="0" w:color="auto"/>
              <w:bottom w:val="single" w:sz="4" w:space="0" w:color="auto"/>
            </w:tcBorders>
          </w:tcPr>
          <w:p w14:paraId="6ACAC38D"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 xml:space="preserve">Altitudinal Distance- </w:t>
            </w:r>
            <w:r w:rsidRPr="00D7291E">
              <w:rPr>
                <w:rFonts w:cs="Times New Roman"/>
                <w:color w:val="000000" w:themeColor="text1"/>
              </w:rPr>
              <w:sym w:font="Symbol" w:char="F064"/>
            </w:r>
            <w:r w:rsidRPr="00D7291E">
              <w:rPr>
                <w:rFonts w:cs="Times New Roman"/>
                <w:color w:val="000000" w:themeColor="text1"/>
              </w:rPr>
              <w:t xml:space="preserve"> (m)</w:t>
            </w:r>
          </w:p>
        </w:tc>
        <w:tc>
          <w:tcPr>
            <w:tcW w:w="1277" w:type="dxa"/>
            <w:tcBorders>
              <w:top w:val="single" w:sz="4" w:space="0" w:color="auto"/>
              <w:bottom w:val="single" w:sz="4" w:space="0" w:color="auto"/>
            </w:tcBorders>
          </w:tcPr>
          <w:p w14:paraId="7FBCDAC0"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 xml:space="preserve">Duration winter migration- </w:t>
            </w:r>
            <w:r w:rsidRPr="00D7291E">
              <w:rPr>
                <w:rFonts w:cs="Times New Roman"/>
                <w:color w:val="000000" w:themeColor="text1"/>
              </w:rPr>
              <w:sym w:font="Symbol" w:char="F066"/>
            </w:r>
            <w:r w:rsidRPr="00D7291E">
              <w:rPr>
                <w:rFonts w:cs="Times New Roman"/>
                <w:color w:val="000000" w:themeColor="text1"/>
              </w:rPr>
              <w:t xml:space="preserve"> (days)</w:t>
            </w:r>
          </w:p>
        </w:tc>
        <w:tc>
          <w:tcPr>
            <w:tcW w:w="1277" w:type="dxa"/>
            <w:tcBorders>
              <w:top w:val="single" w:sz="4" w:space="0" w:color="auto"/>
              <w:bottom w:val="single" w:sz="4" w:space="0" w:color="auto"/>
            </w:tcBorders>
          </w:tcPr>
          <w:p w14:paraId="0B20F290" w14:textId="77777777" w:rsidR="002978AC" w:rsidRPr="00D7291E" w:rsidRDefault="002978AC" w:rsidP="00922D1B">
            <w:pPr>
              <w:spacing w:before="100" w:beforeAutospacing="1" w:after="100" w:afterAutospacing="1"/>
              <w:jc w:val="both"/>
              <w:rPr>
                <w:rFonts w:cs="Times New Roman"/>
                <w:color w:val="000000" w:themeColor="text1"/>
              </w:rPr>
            </w:pPr>
            <w:r w:rsidRPr="00D7291E">
              <w:rPr>
                <w:rFonts w:cs="Times New Roman"/>
                <w:color w:val="000000" w:themeColor="text1"/>
              </w:rPr>
              <w:t xml:space="preserve">Duration summer migration- </w:t>
            </w:r>
            <w:r w:rsidRPr="00D7291E">
              <w:rPr>
                <w:rFonts w:cs="Times New Roman"/>
                <w:color w:val="000000" w:themeColor="text1"/>
              </w:rPr>
              <w:sym w:font="Symbol" w:char="F066"/>
            </w:r>
            <w:r w:rsidRPr="00D7291E">
              <w:rPr>
                <w:rFonts w:cs="Times New Roman"/>
                <w:color w:val="000000" w:themeColor="text1"/>
              </w:rPr>
              <w:t xml:space="preserve"> (days)</w:t>
            </w:r>
          </w:p>
        </w:tc>
      </w:tr>
      <w:tr w:rsidR="00D7291E" w:rsidRPr="00D7291E" w14:paraId="7BCF91B3" w14:textId="77777777" w:rsidTr="00132C81">
        <w:trPr>
          <w:trHeight w:val="1089"/>
        </w:trPr>
        <w:tc>
          <w:tcPr>
            <w:tcW w:w="667" w:type="dxa"/>
            <w:tcBorders>
              <w:top w:val="single" w:sz="4" w:space="0" w:color="auto"/>
            </w:tcBorders>
          </w:tcPr>
          <w:p w14:paraId="2907773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G01</w:t>
            </w:r>
          </w:p>
        </w:tc>
        <w:tc>
          <w:tcPr>
            <w:tcW w:w="1094" w:type="dxa"/>
            <w:tcBorders>
              <w:top w:val="single" w:sz="4" w:space="0" w:color="auto"/>
            </w:tcBorders>
          </w:tcPr>
          <w:p w14:paraId="1E748EA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Borders>
              <w:top w:val="single" w:sz="4" w:space="0" w:color="auto"/>
            </w:tcBorders>
          </w:tcPr>
          <w:p w14:paraId="7891A68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Borders>
              <w:top w:val="single" w:sz="4" w:space="0" w:color="auto"/>
            </w:tcBorders>
          </w:tcPr>
          <w:p w14:paraId="06AEB80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Borders>
              <w:top w:val="single" w:sz="4" w:space="0" w:color="auto"/>
            </w:tcBorders>
          </w:tcPr>
          <w:p w14:paraId="77D5B6E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Borders>
              <w:top w:val="single" w:sz="4" w:space="0" w:color="auto"/>
            </w:tcBorders>
          </w:tcPr>
          <w:p w14:paraId="5CD7CDF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4/23/2019</w:t>
            </w:r>
          </w:p>
        </w:tc>
        <w:tc>
          <w:tcPr>
            <w:tcW w:w="1360" w:type="dxa"/>
            <w:tcBorders>
              <w:top w:val="single" w:sz="4" w:space="0" w:color="auto"/>
            </w:tcBorders>
          </w:tcPr>
          <w:p w14:paraId="5E060A6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9/21/2019</w:t>
            </w:r>
          </w:p>
        </w:tc>
        <w:tc>
          <w:tcPr>
            <w:tcW w:w="1273" w:type="dxa"/>
            <w:tcBorders>
              <w:top w:val="single" w:sz="4" w:space="0" w:color="auto"/>
            </w:tcBorders>
          </w:tcPr>
          <w:p w14:paraId="28C9BA5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125</w:t>
            </w:r>
          </w:p>
        </w:tc>
        <w:tc>
          <w:tcPr>
            <w:tcW w:w="1256" w:type="dxa"/>
            <w:tcBorders>
              <w:top w:val="single" w:sz="4" w:space="0" w:color="auto"/>
            </w:tcBorders>
          </w:tcPr>
          <w:p w14:paraId="5DFE091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479</w:t>
            </w:r>
          </w:p>
        </w:tc>
        <w:tc>
          <w:tcPr>
            <w:tcW w:w="1277" w:type="dxa"/>
            <w:tcBorders>
              <w:top w:val="single" w:sz="4" w:space="0" w:color="auto"/>
            </w:tcBorders>
          </w:tcPr>
          <w:p w14:paraId="75AFE31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13</w:t>
            </w:r>
          </w:p>
        </w:tc>
        <w:tc>
          <w:tcPr>
            <w:tcW w:w="1277" w:type="dxa"/>
            <w:tcBorders>
              <w:top w:val="single" w:sz="4" w:space="0" w:color="auto"/>
            </w:tcBorders>
          </w:tcPr>
          <w:p w14:paraId="77A7CF7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03683050" w14:textId="77777777" w:rsidTr="00132C81">
        <w:trPr>
          <w:trHeight w:val="1089"/>
        </w:trPr>
        <w:tc>
          <w:tcPr>
            <w:tcW w:w="667" w:type="dxa"/>
          </w:tcPr>
          <w:p w14:paraId="65156F2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G01</w:t>
            </w:r>
          </w:p>
        </w:tc>
        <w:tc>
          <w:tcPr>
            <w:tcW w:w="1094" w:type="dxa"/>
          </w:tcPr>
          <w:p w14:paraId="0255C6A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2FB35B0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0EB6D06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166652F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6E88B89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5/12/2020</w:t>
            </w:r>
          </w:p>
        </w:tc>
        <w:tc>
          <w:tcPr>
            <w:tcW w:w="1360" w:type="dxa"/>
          </w:tcPr>
          <w:p w14:paraId="0E1F9A2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10/10/2020</w:t>
            </w:r>
          </w:p>
        </w:tc>
        <w:tc>
          <w:tcPr>
            <w:tcW w:w="1273" w:type="dxa"/>
          </w:tcPr>
          <w:p w14:paraId="6D68D34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148</w:t>
            </w:r>
          </w:p>
        </w:tc>
        <w:tc>
          <w:tcPr>
            <w:tcW w:w="1256" w:type="dxa"/>
          </w:tcPr>
          <w:p w14:paraId="697D5AB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592</w:t>
            </w:r>
          </w:p>
        </w:tc>
        <w:tc>
          <w:tcPr>
            <w:tcW w:w="1277" w:type="dxa"/>
          </w:tcPr>
          <w:p w14:paraId="090D690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62842AB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76AF866B" w14:textId="77777777" w:rsidTr="00132C81">
        <w:trPr>
          <w:trHeight w:val="1106"/>
        </w:trPr>
        <w:tc>
          <w:tcPr>
            <w:tcW w:w="667" w:type="dxa"/>
          </w:tcPr>
          <w:p w14:paraId="4F12218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G01</w:t>
            </w:r>
          </w:p>
        </w:tc>
        <w:tc>
          <w:tcPr>
            <w:tcW w:w="1094" w:type="dxa"/>
          </w:tcPr>
          <w:p w14:paraId="059C7E2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5F9F5BC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7F91C0E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15A3552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3606D28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4/11/2021</w:t>
            </w:r>
          </w:p>
        </w:tc>
        <w:tc>
          <w:tcPr>
            <w:tcW w:w="1360" w:type="dxa"/>
          </w:tcPr>
          <w:p w14:paraId="3EC817B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9/1/2021</w:t>
            </w:r>
          </w:p>
        </w:tc>
        <w:tc>
          <w:tcPr>
            <w:tcW w:w="1273" w:type="dxa"/>
          </w:tcPr>
          <w:p w14:paraId="1D4336B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117</w:t>
            </w:r>
          </w:p>
        </w:tc>
        <w:tc>
          <w:tcPr>
            <w:tcW w:w="1256" w:type="dxa"/>
          </w:tcPr>
          <w:p w14:paraId="3697569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459</w:t>
            </w:r>
          </w:p>
        </w:tc>
        <w:tc>
          <w:tcPr>
            <w:tcW w:w="1277" w:type="dxa"/>
          </w:tcPr>
          <w:p w14:paraId="66E18A3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13</w:t>
            </w:r>
          </w:p>
        </w:tc>
        <w:tc>
          <w:tcPr>
            <w:tcW w:w="1277" w:type="dxa"/>
          </w:tcPr>
          <w:p w14:paraId="7581268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0B4E5B0F" w14:textId="77777777" w:rsidTr="00132C81">
        <w:trPr>
          <w:trHeight w:val="1106"/>
        </w:trPr>
        <w:tc>
          <w:tcPr>
            <w:tcW w:w="667" w:type="dxa"/>
          </w:tcPr>
          <w:p w14:paraId="46C4A97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G02</w:t>
            </w:r>
          </w:p>
        </w:tc>
        <w:tc>
          <w:tcPr>
            <w:tcW w:w="1094" w:type="dxa"/>
          </w:tcPr>
          <w:p w14:paraId="01A4FD3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3191E99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45BA0BF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0D69A8C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297BE81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3/3/2019</w:t>
            </w:r>
          </w:p>
        </w:tc>
        <w:tc>
          <w:tcPr>
            <w:tcW w:w="1360" w:type="dxa"/>
          </w:tcPr>
          <w:p w14:paraId="11840E2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10/7/2019</w:t>
            </w:r>
          </w:p>
        </w:tc>
        <w:tc>
          <w:tcPr>
            <w:tcW w:w="1273" w:type="dxa"/>
          </w:tcPr>
          <w:p w14:paraId="1220C14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200</w:t>
            </w:r>
          </w:p>
        </w:tc>
        <w:tc>
          <w:tcPr>
            <w:tcW w:w="1256" w:type="dxa"/>
          </w:tcPr>
          <w:p w14:paraId="0DA4382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629</w:t>
            </w:r>
          </w:p>
        </w:tc>
        <w:tc>
          <w:tcPr>
            <w:tcW w:w="1277" w:type="dxa"/>
          </w:tcPr>
          <w:p w14:paraId="700A3AA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w:t>
            </w:r>
          </w:p>
        </w:tc>
        <w:tc>
          <w:tcPr>
            <w:tcW w:w="1277" w:type="dxa"/>
          </w:tcPr>
          <w:p w14:paraId="537A063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6559DE1B" w14:textId="77777777" w:rsidTr="00132C81">
        <w:trPr>
          <w:trHeight w:val="1089"/>
        </w:trPr>
        <w:tc>
          <w:tcPr>
            <w:tcW w:w="667" w:type="dxa"/>
          </w:tcPr>
          <w:p w14:paraId="5807FC7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lastRenderedPageBreak/>
              <w:t>G02</w:t>
            </w:r>
          </w:p>
        </w:tc>
        <w:tc>
          <w:tcPr>
            <w:tcW w:w="1094" w:type="dxa"/>
          </w:tcPr>
          <w:p w14:paraId="456CDC3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7C48D6E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116A8E6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3FE6D25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151F951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3/16/2020</w:t>
            </w:r>
          </w:p>
        </w:tc>
        <w:tc>
          <w:tcPr>
            <w:tcW w:w="1360" w:type="dxa"/>
          </w:tcPr>
          <w:p w14:paraId="77A8670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10/26/2020</w:t>
            </w:r>
          </w:p>
        </w:tc>
        <w:tc>
          <w:tcPr>
            <w:tcW w:w="1273" w:type="dxa"/>
          </w:tcPr>
          <w:p w14:paraId="128479A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212</w:t>
            </w:r>
          </w:p>
        </w:tc>
        <w:tc>
          <w:tcPr>
            <w:tcW w:w="1256" w:type="dxa"/>
          </w:tcPr>
          <w:p w14:paraId="7F3C429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655</w:t>
            </w:r>
          </w:p>
        </w:tc>
        <w:tc>
          <w:tcPr>
            <w:tcW w:w="1277" w:type="dxa"/>
          </w:tcPr>
          <w:p w14:paraId="45D3F19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w:t>
            </w:r>
          </w:p>
        </w:tc>
        <w:tc>
          <w:tcPr>
            <w:tcW w:w="1277" w:type="dxa"/>
          </w:tcPr>
          <w:p w14:paraId="6EE86AE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w:t>
            </w:r>
          </w:p>
        </w:tc>
      </w:tr>
      <w:tr w:rsidR="00D7291E" w:rsidRPr="00D7291E" w14:paraId="4842FE86" w14:textId="77777777" w:rsidTr="00132C81">
        <w:trPr>
          <w:trHeight w:val="1106"/>
        </w:trPr>
        <w:tc>
          <w:tcPr>
            <w:tcW w:w="667" w:type="dxa"/>
          </w:tcPr>
          <w:p w14:paraId="43AAA90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G02</w:t>
            </w:r>
          </w:p>
        </w:tc>
        <w:tc>
          <w:tcPr>
            <w:tcW w:w="1094" w:type="dxa"/>
          </w:tcPr>
          <w:p w14:paraId="0522FE4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2A81E55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5448755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7AC9E3D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2E37990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2/20/2021</w:t>
            </w:r>
          </w:p>
        </w:tc>
        <w:tc>
          <w:tcPr>
            <w:tcW w:w="1360" w:type="dxa"/>
          </w:tcPr>
          <w:p w14:paraId="25F5C82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10/27/2021</w:t>
            </w:r>
          </w:p>
        </w:tc>
        <w:tc>
          <w:tcPr>
            <w:tcW w:w="1273" w:type="dxa"/>
          </w:tcPr>
          <w:p w14:paraId="610C659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240</w:t>
            </w:r>
          </w:p>
        </w:tc>
        <w:tc>
          <w:tcPr>
            <w:tcW w:w="1256" w:type="dxa"/>
          </w:tcPr>
          <w:p w14:paraId="33A35C5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606</w:t>
            </w:r>
          </w:p>
        </w:tc>
        <w:tc>
          <w:tcPr>
            <w:tcW w:w="1277" w:type="dxa"/>
          </w:tcPr>
          <w:p w14:paraId="1D1ACF8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28971D1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w:t>
            </w:r>
          </w:p>
        </w:tc>
      </w:tr>
      <w:tr w:rsidR="00D7291E" w:rsidRPr="00D7291E" w14:paraId="04D035C4" w14:textId="77777777" w:rsidTr="00132C81">
        <w:trPr>
          <w:trHeight w:val="1106"/>
        </w:trPr>
        <w:tc>
          <w:tcPr>
            <w:tcW w:w="667" w:type="dxa"/>
          </w:tcPr>
          <w:p w14:paraId="4D2B435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G03</w:t>
            </w:r>
          </w:p>
        </w:tc>
        <w:tc>
          <w:tcPr>
            <w:tcW w:w="1094" w:type="dxa"/>
          </w:tcPr>
          <w:p w14:paraId="0FC3CA6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6537E0A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2BB2325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6E42455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7F6AFF9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6/11/2020</w:t>
            </w:r>
          </w:p>
        </w:tc>
        <w:tc>
          <w:tcPr>
            <w:tcW w:w="1360" w:type="dxa"/>
          </w:tcPr>
          <w:p w14:paraId="46DCD7D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8/11/2020</w:t>
            </w:r>
          </w:p>
        </w:tc>
        <w:tc>
          <w:tcPr>
            <w:tcW w:w="1273" w:type="dxa"/>
          </w:tcPr>
          <w:p w14:paraId="2150462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56" w:type="dxa"/>
          </w:tcPr>
          <w:p w14:paraId="1FA09FE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395</w:t>
            </w:r>
          </w:p>
        </w:tc>
        <w:tc>
          <w:tcPr>
            <w:tcW w:w="1277" w:type="dxa"/>
          </w:tcPr>
          <w:p w14:paraId="702381A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17</w:t>
            </w:r>
          </w:p>
        </w:tc>
        <w:tc>
          <w:tcPr>
            <w:tcW w:w="1277" w:type="dxa"/>
          </w:tcPr>
          <w:p w14:paraId="1D313BC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16</w:t>
            </w:r>
          </w:p>
        </w:tc>
      </w:tr>
      <w:tr w:rsidR="00D7291E" w:rsidRPr="00D7291E" w14:paraId="2EA819FA" w14:textId="77777777" w:rsidTr="00132C81">
        <w:trPr>
          <w:trHeight w:val="1089"/>
        </w:trPr>
        <w:tc>
          <w:tcPr>
            <w:tcW w:w="667" w:type="dxa"/>
          </w:tcPr>
          <w:p w14:paraId="42AB513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G03</w:t>
            </w:r>
          </w:p>
        </w:tc>
        <w:tc>
          <w:tcPr>
            <w:tcW w:w="1094" w:type="dxa"/>
          </w:tcPr>
          <w:p w14:paraId="4157302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48DF101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3079774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3EE2DE9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2081952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2644CF2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38CB723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6FE9958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6F1A24F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59084E1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7AE5FED9" w14:textId="77777777" w:rsidTr="00132C81">
        <w:trPr>
          <w:trHeight w:val="1089"/>
        </w:trPr>
        <w:tc>
          <w:tcPr>
            <w:tcW w:w="667" w:type="dxa"/>
          </w:tcPr>
          <w:p w14:paraId="01F954F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G04</w:t>
            </w:r>
          </w:p>
        </w:tc>
        <w:tc>
          <w:tcPr>
            <w:tcW w:w="1094" w:type="dxa"/>
          </w:tcPr>
          <w:p w14:paraId="553CD2E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1973E5F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0E4979B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33CE29A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0721E2C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3/6/2020</w:t>
            </w:r>
          </w:p>
        </w:tc>
        <w:tc>
          <w:tcPr>
            <w:tcW w:w="1360" w:type="dxa"/>
          </w:tcPr>
          <w:p w14:paraId="3A05118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10/6/2019</w:t>
            </w:r>
          </w:p>
        </w:tc>
        <w:tc>
          <w:tcPr>
            <w:tcW w:w="1273" w:type="dxa"/>
          </w:tcPr>
          <w:p w14:paraId="6F7F4FB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149</w:t>
            </w:r>
          </w:p>
        </w:tc>
        <w:tc>
          <w:tcPr>
            <w:tcW w:w="1256" w:type="dxa"/>
          </w:tcPr>
          <w:p w14:paraId="02215B1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811</w:t>
            </w:r>
          </w:p>
        </w:tc>
        <w:tc>
          <w:tcPr>
            <w:tcW w:w="1277" w:type="dxa"/>
          </w:tcPr>
          <w:p w14:paraId="54AFA1A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70DA1F0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75F65D57" w14:textId="77777777" w:rsidTr="00132C81">
        <w:trPr>
          <w:trHeight w:val="1106"/>
        </w:trPr>
        <w:tc>
          <w:tcPr>
            <w:tcW w:w="667" w:type="dxa"/>
          </w:tcPr>
          <w:p w14:paraId="646ED5D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G04</w:t>
            </w:r>
          </w:p>
        </w:tc>
        <w:tc>
          <w:tcPr>
            <w:tcW w:w="1094" w:type="dxa"/>
          </w:tcPr>
          <w:p w14:paraId="0B0DD76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2D0D0C1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6894C1D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2DDE256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3E4D023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3/6/2021</w:t>
            </w:r>
          </w:p>
        </w:tc>
        <w:tc>
          <w:tcPr>
            <w:tcW w:w="1360" w:type="dxa"/>
          </w:tcPr>
          <w:p w14:paraId="2B5B854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11/3/2020</w:t>
            </w:r>
          </w:p>
        </w:tc>
        <w:tc>
          <w:tcPr>
            <w:tcW w:w="1273" w:type="dxa"/>
          </w:tcPr>
          <w:p w14:paraId="7114A13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80</w:t>
            </w:r>
          </w:p>
        </w:tc>
        <w:tc>
          <w:tcPr>
            <w:tcW w:w="1256" w:type="dxa"/>
          </w:tcPr>
          <w:p w14:paraId="3F79FCE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833</w:t>
            </w:r>
          </w:p>
        </w:tc>
        <w:tc>
          <w:tcPr>
            <w:tcW w:w="1277" w:type="dxa"/>
          </w:tcPr>
          <w:p w14:paraId="45E7BA5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65E3F9E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r>
      <w:tr w:rsidR="00D7291E" w:rsidRPr="00D7291E" w14:paraId="6E70EE17" w14:textId="77777777" w:rsidTr="00132C81">
        <w:trPr>
          <w:trHeight w:val="1089"/>
        </w:trPr>
        <w:tc>
          <w:tcPr>
            <w:tcW w:w="667" w:type="dxa"/>
          </w:tcPr>
          <w:p w14:paraId="0767D7A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G05</w:t>
            </w:r>
          </w:p>
        </w:tc>
        <w:tc>
          <w:tcPr>
            <w:tcW w:w="1094" w:type="dxa"/>
          </w:tcPr>
          <w:p w14:paraId="35C9F87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204DC74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235" w:type="dxa"/>
          </w:tcPr>
          <w:p w14:paraId="62E36ED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4A1F61A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30F31F9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7A0E987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1CFD416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3AC2598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4CF1F68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798B420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470AD8FF" w14:textId="77777777" w:rsidTr="00132C81">
        <w:trPr>
          <w:trHeight w:val="1106"/>
        </w:trPr>
        <w:tc>
          <w:tcPr>
            <w:tcW w:w="667" w:type="dxa"/>
          </w:tcPr>
          <w:p w14:paraId="7D6AE9C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G05</w:t>
            </w:r>
          </w:p>
        </w:tc>
        <w:tc>
          <w:tcPr>
            <w:tcW w:w="1094" w:type="dxa"/>
          </w:tcPr>
          <w:p w14:paraId="099685A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6E91365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53DECB6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252DE49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6CA75B3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6/28/2020</w:t>
            </w:r>
          </w:p>
        </w:tc>
        <w:tc>
          <w:tcPr>
            <w:tcW w:w="1360" w:type="dxa"/>
          </w:tcPr>
          <w:p w14:paraId="6B62DEB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8/11/2020</w:t>
            </w:r>
          </w:p>
        </w:tc>
        <w:tc>
          <w:tcPr>
            <w:tcW w:w="1273" w:type="dxa"/>
          </w:tcPr>
          <w:p w14:paraId="4B07D47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w:t>
            </w:r>
          </w:p>
        </w:tc>
        <w:tc>
          <w:tcPr>
            <w:tcW w:w="1256" w:type="dxa"/>
          </w:tcPr>
          <w:p w14:paraId="066E06E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313</w:t>
            </w:r>
          </w:p>
        </w:tc>
        <w:tc>
          <w:tcPr>
            <w:tcW w:w="1277" w:type="dxa"/>
          </w:tcPr>
          <w:p w14:paraId="460AF46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15</w:t>
            </w:r>
          </w:p>
        </w:tc>
        <w:tc>
          <w:tcPr>
            <w:tcW w:w="1277" w:type="dxa"/>
          </w:tcPr>
          <w:p w14:paraId="2D4EE74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15</w:t>
            </w:r>
          </w:p>
        </w:tc>
      </w:tr>
      <w:tr w:rsidR="00D7291E" w:rsidRPr="00D7291E" w14:paraId="778346C1" w14:textId="77777777" w:rsidTr="00132C81">
        <w:trPr>
          <w:trHeight w:val="1089"/>
        </w:trPr>
        <w:tc>
          <w:tcPr>
            <w:tcW w:w="667" w:type="dxa"/>
          </w:tcPr>
          <w:p w14:paraId="0633787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lastRenderedPageBreak/>
              <w:t>G05</w:t>
            </w:r>
          </w:p>
        </w:tc>
        <w:tc>
          <w:tcPr>
            <w:tcW w:w="1094" w:type="dxa"/>
          </w:tcPr>
          <w:p w14:paraId="7FA05DA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4636421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235" w:type="dxa"/>
          </w:tcPr>
          <w:p w14:paraId="2A912AA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1E1EA73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190161D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65142B4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51CE4F3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72C2B35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32663AA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16E5589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0088A8F8" w14:textId="77777777" w:rsidTr="00132C81">
        <w:trPr>
          <w:trHeight w:val="1089"/>
        </w:trPr>
        <w:tc>
          <w:tcPr>
            <w:tcW w:w="667" w:type="dxa"/>
          </w:tcPr>
          <w:p w14:paraId="023E4E0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G06</w:t>
            </w:r>
          </w:p>
        </w:tc>
        <w:tc>
          <w:tcPr>
            <w:tcW w:w="1094" w:type="dxa"/>
          </w:tcPr>
          <w:p w14:paraId="2B443C6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73CD4D4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261A66D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592" w:type="dxa"/>
          </w:tcPr>
          <w:p w14:paraId="5DE771C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1306052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1/8/2020</w:t>
            </w:r>
          </w:p>
        </w:tc>
        <w:tc>
          <w:tcPr>
            <w:tcW w:w="1360" w:type="dxa"/>
          </w:tcPr>
          <w:p w14:paraId="690001F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11/24/2019</w:t>
            </w:r>
          </w:p>
        </w:tc>
        <w:tc>
          <w:tcPr>
            <w:tcW w:w="1273" w:type="dxa"/>
          </w:tcPr>
          <w:p w14:paraId="4058D41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34</w:t>
            </w:r>
          </w:p>
        </w:tc>
        <w:tc>
          <w:tcPr>
            <w:tcW w:w="1256" w:type="dxa"/>
          </w:tcPr>
          <w:p w14:paraId="2ACD9BB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369</w:t>
            </w:r>
          </w:p>
        </w:tc>
        <w:tc>
          <w:tcPr>
            <w:tcW w:w="1277" w:type="dxa"/>
          </w:tcPr>
          <w:p w14:paraId="2CDBDD7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09CC5FE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r>
      <w:tr w:rsidR="00D7291E" w:rsidRPr="00D7291E" w14:paraId="7D338076" w14:textId="77777777" w:rsidTr="00132C81">
        <w:trPr>
          <w:trHeight w:val="1106"/>
        </w:trPr>
        <w:tc>
          <w:tcPr>
            <w:tcW w:w="667" w:type="dxa"/>
          </w:tcPr>
          <w:p w14:paraId="15C6E97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G07</w:t>
            </w:r>
          </w:p>
        </w:tc>
        <w:tc>
          <w:tcPr>
            <w:tcW w:w="1094" w:type="dxa"/>
          </w:tcPr>
          <w:p w14:paraId="0AF75CF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4EB7245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62F94E2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1137B64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2157F37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4/22/2019</w:t>
            </w:r>
          </w:p>
        </w:tc>
        <w:tc>
          <w:tcPr>
            <w:tcW w:w="1360" w:type="dxa"/>
          </w:tcPr>
          <w:p w14:paraId="462509B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9/18/2019</w:t>
            </w:r>
          </w:p>
        </w:tc>
        <w:tc>
          <w:tcPr>
            <w:tcW w:w="1273" w:type="dxa"/>
          </w:tcPr>
          <w:p w14:paraId="15F3266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96</w:t>
            </w:r>
          </w:p>
        </w:tc>
        <w:tc>
          <w:tcPr>
            <w:tcW w:w="1256" w:type="dxa"/>
          </w:tcPr>
          <w:p w14:paraId="2C15CEC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521</w:t>
            </w:r>
          </w:p>
        </w:tc>
        <w:tc>
          <w:tcPr>
            <w:tcW w:w="1277" w:type="dxa"/>
          </w:tcPr>
          <w:p w14:paraId="5BA9B3E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17</w:t>
            </w:r>
          </w:p>
        </w:tc>
        <w:tc>
          <w:tcPr>
            <w:tcW w:w="1277" w:type="dxa"/>
          </w:tcPr>
          <w:p w14:paraId="186887E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w:t>
            </w:r>
          </w:p>
        </w:tc>
      </w:tr>
      <w:tr w:rsidR="00D7291E" w:rsidRPr="00D7291E" w14:paraId="7709C91E" w14:textId="77777777" w:rsidTr="00132C81">
        <w:trPr>
          <w:trHeight w:val="1089"/>
        </w:trPr>
        <w:tc>
          <w:tcPr>
            <w:tcW w:w="667" w:type="dxa"/>
          </w:tcPr>
          <w:p w14:paraId="3BD4284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G07</w:t>
            </w:r>
          </w:p>
        </w:tc>
        <w:tc>
          <w:tcPr>
            <w:tcW w:w="1094" w:type="dxa"/>
          </w:tcPr>
          <w:p w14:paraId="551902F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3B9427F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3DCDB48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17926BD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673EF82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3/20/2020</w:t>
            </w:r>
          </w:p>
        </w:tc>
        <w:tc>
          <w:tcPr>
            <w:tcW w:w="1360" w:type="dxa"/>
          </w:tcPr>
          <w:p w14:paraId="75C3F2F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10/9/2020</w:t>
            </w:r>
          </w:p>
        </w:tc>
        <w:tc>
          <w:tcPr>
            <w:tcW w:w="1273" w:type="dxa"/>
          </w:tcPr>
          <w:p w14:paraId="794C1FE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134</w:t>
            </w:r>
          </w:p>
        </w:tc>
        <w:tc>
          <w:tcPr>
            <w:tcW w:w="1256" w:type="dxa"/>
          </w:tcPr>
          <w:p w14:paraId="786FDF3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623</w:t>
            </w:r>
          </w:p>
        </w:tc>
        <w:tc>
          <w:tcPr>
            <w:tcW w:w="1277" w:type="dxa"/>
          </w:tcPr>
          <w:p w14:paraId="76D3312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c>
          <w:tcPr>
            <w:tcW w:w="1277" w:type="dxa"/>
          </w:tcPr>
          <w:p w14:paraId="1F11558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12</w:t>
            </w:r>
          </w:p>
        </w:tc>
      </w:tr>
      <w:tr w:rsidR="00D7291E" w:rsidRPr="00D7291E" w14:paraId="6F69F55F" w14:textId="77777777" w:rsidTr="00132C81">
        <w:trPr>
          <w:trHeight w:val="1106"/>
        </w:trPr>
        <w:tc>
          <w:tcPr>
            <w:tcW w:w="667" w:type="dxa"/>
          </w:tcPr>
          <w:p w14:paraId="4D7577E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G07</w:t>
            </w:r>
          </w:p>
        </w:tc>
        <w:tc>
          <w:tcPr>
            <w:tcW w:w="1094" w:type="dxa"/>
          </w:tcPr>
          <w:p w14:paraId="2E85203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44310B1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28840F0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6D427CC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2AB9BF5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3/24/2021</w:t>
            </w:r>
          </w:p>
        </w:tc>
        <w:tc>
          <w:tcPr>
            <w:tcW w:w="1360" w:type="dxa"/>
          </w:tcPr>
          <w:p w14:paraId="32EDB5A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9/23/2021</w:t>
            </w:r>
          </w:p>
        </w:tc>
        <w:tc>
          <w:tcPr>
            <w:tcW w:w="1273" w:type="dxa"/>
          </w:tcPr>
          <w:p w14:paraId="645FCEF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193</w:t>
            </w:r>
          </w:p>
        </w:tc>
        <w:tc>
          <w:tcPr>
            <w:tcW w:w="1256" w:type="dxa"/>
          </w:tcPr>
          <w:p w14:paraId="4A92E19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455</w:t>
            </w:r>
          </w:p>
        </w:tc>
        <w:tc>
          <w:tcPr>
            <w:tcW w:w="1277" w:type="dxa"/>
          </w:tcPr>
          <w:p w14:paraId="7FE6641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449A52D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5D5F51D4" w14:textId="77777777" w:rsidTr="00132C81">
        <w:trPr>
          <w:trHeight w:val="1106"/>
        </w:trPr>
        <w:tc>
          <w:tcPr>
            <w:tcW w:w="667" w:type="dxa"/>
          </w:tcPr>
          <w:p w14:paraId="4EF73ED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G09</w:t>
            </w:r>
          </w:p>
        </w:tc>
        <w:tc>
          <w:tcPr>
            <w:tcW w:w="1094" w:type="dxa"/>
          </w:tcPr>
          <w:p w14:paraId="7E32855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733310A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35" w:type="dxa"/>
          </w:tcPr>
          <w:p w14:paraId="0912EF2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366D50D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1AC3C96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7/3/2020</w:t>
            </w:r>
          </w:p>
        </w:tc>
        <w:tc>
          <w:tcPr>
            <w:tcW w:w="1360" w:type="dxa"/>
          </w:tcPr>
          <w:p w14:paraId="6412918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8/11/2020</w:t>
            </w:r>
          </w:p>
        </w:tc>
        <w:tc>
          <w:tcPr>
            <w:tcW w:w="1273" w:type="dxa"/>
          </w:tcPr>
          <w:p w14:paraId="3766578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56" w:type="dxa"/>
          </w:tcPr>
          <w:p w14:paraId="6C382A8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295</w:t>
            </w:r>
          </w:p>
        </w:tc>
        <w:tc>
          <w:tcPr>
            <w:tcW w:w="1277" w:type="dxa"/>
          </w:tcPr>
          <w:p w14:paraId="41C3A8F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w:t>
            </w:r>
          </w:p>
        </w:tc>
        <w:tc>
          <w:tcPr>
            <w:tcW w:w="1277" w:type="dxa"/>
          </w:tcPr>
          <w:p w14:paraId="0A363A1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w:t>
            </w:r>
          </w:p>
        </w:tc>
      </w:tr>
      <w:tr w:rsidR="00D7291E" w:rsidRPr="00D7291E" w14:paraId="152C61A0" w14:textId="77777777" w:rsidTr="00132C81">
        <w:trPr>
          <w:trHeight w:val="1089"/>
        </w:trPr>
        <w:tc>
          <w:tcPr>
            <w:tcW w:w="667" w:type="dxa"/>
          </w:tcPr>
          <w:p w14:paraId="2CD32B2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G09</w:t>
            </w:r>
          </w:p>
        </w:tc>
        <w:tc>
          <w:tcPr>
            <w:tcW w:w="1094" w:type="dxa"/>
          </w:tcPr>
          <w:p w14:paraId="3C2C2C2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05A7712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03AB83A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65E5C1B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3A4601A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2AB9E13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3801153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1C9838A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16C2055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2C535D3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2EA73203" w14:textId="77777777" w:rsidTr="00132C81">
        <w:trPr>
          <w:trHeight w:val="1089"/>
        </w:trPr>
        <w:tc>
          <w:tcPr>
            <w:tcW w:w="667" w:type="dxa"/>
          </w:tcPr>
          <w:p w14:paraId="62A9EBA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G10</w:t>
            </w:r>
          </w:p>
        </w:tc>
        <w:tc>
          <w:tcPr>
            <w:tcW w:w="1094" w:type="dxa"/>
          </w:tcPr>
          <w:p w14:paraId="2BC225C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52313C4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45E1837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592" w:type="dxa"/>
          </w:tcPr>
          <w:p w14:paraId="777C939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0136E64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9/23/2019</w:t>
            </w:r>
          </w:p>
        </w:tc>
        <w:tc>
          <w:tcPr>
            <w:tcW w:w="1360" w:type="dxa"/>
          </w:tcPr>
          <w:p w14:paraId="322C937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3/4/2019</w:t>
            </w:r>
          </w:p>
        </w:tc>
        <w:tc>
          <w:tcPr>
            <w:tcW w:w="1273" w:type="dxa"/>
          </w:tcPr>
          <w:p w14:paraId="732166F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101</w:t>
            </w:r>
          </w:p>
        </w:tc>
        <w:tc>
          <w:tcPr>
            <w:tcW w:w="1256" w:type="dxa"/>
          </w:tcPr>
          <w:p w14:paraId="6377DBF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576</w:t>
            </w:r>
          </w:p>
        </w:tc>
        <w:tc>
          <w:tcPr>
            <w:tcW w:w="1277" w:type="dxa"/>
          </w:tcPr>
          <w:p w14:paraId="083DBCC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43805E1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w:t>
            </w:r>
          </w:p>
        </w:tc>
      </w:tr>
      <w:tr w:rsidR="00D7291E" w:rsidRPr="00D7291E" w14:paraId="60E3EE2A" w14:textId="77777777" w:rsidTr="00132C81">
        <w:trPr>
          <w:trHeight w:val="1106"/>
        </w:trPr>
        <w:tc>
          <w:tcPr>
            <w:tcW w:w="667" w:type="dxa"/>
          </w:tcPr>
          <w:p w14:paraId="5F366EC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lastRenderedPageBreak/>
              <w:t>G11</w:t>
            </w:r>
          </w:p>
        </w:tc>
        <w:tc>
          <w:tcPr>
            <w:tcW w:w="1094" w:type="dxa"/>
          </w:tcPr>
          <w:p w14:paraId="4644083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3AFC8DA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05D35827" w14:textId="0FD7BA93" w:rsidR="002978AC" w:rsidRPr="00D7291E" w:rsidRDefault="00420606"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17E975C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72585A8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2/8/2019</w:t>
            </w:r>
          </w:p>
        </w:tc>
        <w:tc>
          <w:tcPr>
            <w:tcW w:w="1360" w:type="dxa"/>
          </w:tcPr>
          <w:p w14:paraId="429634A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10/16/2019</w:t>
            </w:r>
          </w:p>
        </w:tc>
        <w:tc>
          <w:tcPr>
            <w:tcW w:w="1273" w:type="dxa"/>
          </w:tcPr>
          <w:p w14:paraId="176EC05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211</w:t>
            </w:r>
          </w:p>
        </w:tc>
        <w:tc>
          <w:tcPr>
            <w:tcW w:w="1256" w:type="dxa"/>
          </w:tcPr>
          <w:p w14:paraId="0ED4882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475</w:t>
            </w:r>
          </w:p>
        </w:tc>
        <w:tc>
          <w:tcPr>
            <w:tcW w:w="1277" w:type="dxa"/>
          </w:tcPr>
          <w:p w14:paraId="0A77A71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w:t>
            </w:r>
          </w:p>
        </w:tc>
        <w:tc>
          <w:tcPr>
            <w:tcW w:w="1277" w:type="dxa"/>
          </w:tcPr>
          <w:p w14:paraId="2B5116C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7</w:t>
            </w:r>
          </w:p>
        </w:tc>
      </w:tr>
      <w:tr w:rsidR="00D7291E" w:rsidRPr="00D7291E" w14:paraId="22EBDC67" w14:textId="77777777" w:rsidTr="00132C81">
        <w:trPr>
          <w:trHeight w:val="1089"/>
        </w:trPr>
        <w:tc>
          <w:tcPr>
            <w:tcW w:w="667" w:type="dxa"/>
          </w:tcPr>
          <w:p w14:paraId="2334B69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G11</w:t>
            </w:r>
          </w:p>
        </w:tc>
        <w:tc>
          <w:tcPr>
            <w:tcW w:w="1094" w:type="dxa"/>
          </w:tcPr>
          <w:p w14:paraId="384DD04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1C3C966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5B61C58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50E2BD8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258DD1D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2/9/2020</w:t>
            </w:r>
          </w:p>
        </w:tc>
        <w:tc>
          <w:tcPr>
            <w:tcW w:w="1360" w:type="dxa"/>
          </w:tcPr>
          <w:p w14:paraId="4CB6F65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10/20/2020</w:t>
            </w:r>
          </w:p>
        </w:tc>
        <w:tc>
          <w:tcPr>
            <w:tcW w:w="1273" w:type="dxa"/>
          </w:tcPr>
          <w:p w14:paraId="2216843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55</w:t>
            </w:r>
          </w:p>
        </w:tc>
        <w:tc>
          <w:tcPr>
            <w:tcW w:w="1256" w:type="dxa"/>
          </w:tcPr>
          <w:p w14:paraId="54DBD6F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427</w:t>
            </w:r>
          </w:p>
        </w:tc>
        <w:tc>
          <w:tcPr>
            <w:tcW w:w="1277" w:type="dxa"/>
          </w:tcPr>
          <w:p w14:paraId="10D20A5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c>
          <w:tcPr>
            <w:tcW w:w="1277" w:type="dxa"/>
          </w:tcPr>
          <w:p w14:paraId="64E43C5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w:t>
            </w:r>
          </w:p>
        </w:tc>
      </w:tr>
      <w:tr w:rsidR="00D7291E" w:rsidRPr="00D7291E" w14:paraId="6D61E1C4" w14:textId="77777777" w:rsidTr="00132C81">
        <w:trPr>
          <w:trHeight w:val="1106"/>
        </w:trPr>
        <w:tc>
          <w:tcPr>
            <w:tcW w:w="667" w:type="dxa"/>
          </w:tcPr>
          <w:p w14:paraId="4D732C7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G11</w:t>
            </w:r>
          </w:p>
        </w:tc>
        <w:tc>
          <w:tcPr>
            <w:tcW w:w="1094" w:type="dxa"/>
          </w:tcPr>
          <w:p w14:paraId="567EA5C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53AAB27C" w14:textId="38B72881" w:rsidR="002978AC" w:rsidRPr="00D7291E" w:rsidRDefault="0090183D"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568E2E2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278DE96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0A40270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5A27099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26A8E1D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37EBEC9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70E0124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5F2A1B3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5B132BC1" w14:textId="77777777" w:rsidTr="00132C81">
        <w:trPr>
          <w:trHeight w:val="1106"/>
        </w:trPr>
        <w:tc>
          <w:tcPr>
            <w:tcW w:w="667" w:type="dxa"/>
          </w:tcPr>
          <w:p w14:paraId="5F1F1A8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G12</w:t>
            </w:r>
          </w:p>
        </w:tc>
        <w:tc>
          <w:tcPr>
            <w:tcW w:w="1094" w:type="dxa"/>
          </w:tcPr>
          <w:p w14:paraId="4749B6D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71F80B0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53CB085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2F0BEFD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77FDA73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2/25/2020</w:t>
            </w:r>
          </w:p>
        </w:tc>
        <w:tc>
          <w:tcPr>
            <w:tcW w:w="1360" w:type="dxa"/>
          </w:tcPr>
          <w:p w14:paraId="59057A3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10/14/2019</w:t>
            </w:r>
          </w:p>
        </w:tc>
        <w:tc>
          <w:tcPr>
            <w:tcW w:w="1273" w:type="dxa"/>
          </w:tcPr>
          <w:p w14:paraId="422F877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89</w:t>
            </w:r>
          </w:p>
        </w:tc>
        <w:tc>
          <w:tcPr>
            <w:tcW w:w="1256" w:type="dxa"/>
          </w:tcPr>
          <w:p w14:paraId="346C01F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510</w:t>
            </w:r>
          </w:p>
        </w:tc>
        <w:tc>
          <w:tcPr>
            <w:tcW w:w="1277" w:type="dxa"/>
          </w:tcPr>
          <w:p w14:paraId="2E9473F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c>
          <w:tcPr>
            <w:tcW w:w="1277" w:type="dxa"/>
          </w:tcPr>
          <w:p w14:paraId="1031A1A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52ECEE7D" w14:textId="77777777" w:rsidTr="00132C81">
        <w:trPr>
          <w:trHeight w:val="1089"/>
        </w:trPr>
        <w:tc>
          <w:tcPr>
            <w:tcW w:w="667" w:type="dxa"/>
          </w:tcPr>
          <w:p w14:paraId="09826BC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G13</w:t>
            </w:r>
          </w:p>
        </w:tc>
        <w:tc>
          <w:tcPr>
            <w:tcW w:w="1094" w:type="dxa"/>
          </w:tcPr>
          <w:p w14:paraId="6B6D4A8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5AD19880" w14:textId="5537F890" w:rsidR="002978AC" w:rsidRPr="00D7291E" w:rsidRDefault="0090183D"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35D456D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2E13747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3B68636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2EB9722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1B5C396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3C13D17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5F582F1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5512F27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0BFE47E3" w14:textId="77777777" w:rsidTr="00132C81">
        <w:trPr>
          <w:trHeight w:val="1106"/>
        </w:trPr>
        <w:tc>
          <w:tcPr>
            <w:tcW w:w="667" w:type="dxa"/>
          </w:tcPr>
          <w:p w14:paraId="668605C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G13</w:t>
            </w:r>
          </w:p>
        </w:tc>
        <w:tc>
          <w:tcPr>
            <w:tcW w:w="1094" w:type="dxa"/>
          </w:tcPr>
          <w:p w14:paraId="3E98915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7E0D701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6492950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666CD41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78112AF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45A9C01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1C3BDA8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3F3C07A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7CFF310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650856F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59DFBE72" w14:textId="77777777" w:rsidTr="00132C81">
        <w:trPr>
          <w:trHeight w:val="1089"/>
        </w:trPr>
        <w:tc>
          <w:tcPr>
            <w:tcW w:w="667" w:type="dxa"/>
          </w:tcPr>
          <w:p w14:paraId="35187B6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G14</w:t>
            </w:r>
          </w:p>
        </w:tc>
        <w:tc>
          <w:tcPr>
            <w:tcW w:w="1094" w:type="dxa"/>
          </w:tcPr>
          <w:p w14:paraId="0741D64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03C6822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717B6DD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592" w:type="dxa"/>
          </w:tcPr>
          <w:p w14:paraId="2731342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25ABC4B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3/20/2020</w:t>
            </w:r>
          </w:p>
        </w:tc>
        <w:tc>
          <w:tcPr>
            <w:tcW w:w="1360" w:type="dxa"/>
          </w:tcPr>
          <w:p w14:paraId="49A691E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10/9/2019</w:t>
            </w:r>
          </w:p>
        </w:tc>
        <w:tc>
          <w:tcPr>
            <w:tcW w:w="1273" w:type="dxa"/>
          </w:tcPr>
          <w:p w14:paraId="1638E4B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140</w:t>
            </w:r>
          </w:p>
        </w:tc>
        <w:tc>
          <w:tcPr>
            <w:tcW w:w="1256" w:type="dxa"/>
          </w:tcPr>
          <w:p w14:paraId="1FAB6CD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667</w:t>
            </w:r>
          </w:p>
        </w:tc>
        <w:tc>
          <w:tcPr>
            <w:tcW w:w="1277" w:type="dxa"/>
          </w:tcPr>
          <w:p w14:paraId="0E7A5F1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w:t>
            </w:r>
          </w:p>
        </w:tc>
        <w:tc>
          <w:tcPr>
            <w:tcW w:w="1277" w:type="dxa"/>
          </w:tcPr>
          <w:p w14:paraId="079E2AE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587A75A5" w14:textId="77777777" w:rsidTr="00132C81">
        <w:trPr>
          <w:trHeight w:val="1106"/>
        </w:trPr>
        <w:tc>
          <w:tcPr>
            <w:tcW w:w="667" w:type="dxa"/>
          </w:tcPr>
          <w:p w14:paraId="779A0AE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G15</w:t>
            </w:r>
          </w:p>
        </w:tc>
        <w:tc>
          <w:tcPr>
            <w:tcW w:w="1094" w:type="dxa"/>
          </w:tcPr>
          <w:p w14:paraId="6BA14AE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25C3A46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5D86386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592" w:type="dxa"/>
          </w:tcPr>
          <w:p w14:paraId="012F1B2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0732003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3/17/2019</w:t>
            </w:r>
          </w:p>
        </w:tc>
        <w:tc>
          <w:tcPr>
            <w:tcW w:w="1360" w:type="dxa"/>
          </w:tcPr>
          <w:p w14:paraId="243FDFC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10/16/2019</w:t>
            </w:r>
          </w:p>
        </w:tc>
        <w:tc>
          <w:tcPr>
            <w:tcW w:w="1273" w:type="dxa"/>
          </w:tcPr>
          <w:p w14:paraId="4179B74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130</w:t>
            </w:r>
          </w:p>
        </w:tc>
        <w:tc>
          <w:tcPr>
            <w:tcW w:w="1256" w:type="dxa"/>
          </w:tcPr>
          <w:p w14:paraId="7579851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775</w:t>
            </w:r>
          </w:p>
        </w:tc>
        <w:tc>
          <w:tcPr>
            <w:tcW w:w="1277" w:type="dxa"/>
          </w:tcPr>
          <w:p w14:paraId="51F36E1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c>
          <w:tcPr>
            <w:tcW w:w="1277" w:type="dxa"/>
          </w:tcPr>
          <w:p w14:paraId="02D24A5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r>
      <w:tr w:rsidR="00D7291E" w:rsidRPr="00D7291E" w14:paraId="28D47AD3" w14:textId="77777777" w:rsidTr="00132C81">
        <w:trPr>
          <w:trHeight w:val="1089"/>
        </w:trPr>
        <w:tc>
          <w:tcPr>
            <w:tcW w:w="667" w:type="dxa"/>
          </w:tcPr>
          <w:p w14:paraId="6D0021D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lastRenderedPageBreak/>
              <w:t>G16</w:t>
            </w:r>
          </w:p>
        </w:tc>
        <w:tc>
          <w:tcPr>
            <w:tcW w:w="1094" w:type="dxa"/>
          </w:tcPr>
          <w:p w14:paraId="391E4ED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5AC2F74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0494431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592" w:type="dxa"/>
          </w:tcPr>
          <w:p w14:paraId="46DEB85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6952225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2/9/2020</w:t>
            </w:r>
          </w:p>
        </w:tc>
        <w:tc>
          <w:tcPr>
            <w:tcW w:w="1360" w:type="dxa"/>
          </w:tcPr>
          <w:p w14:paraId="0EFD3E4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11/19/2019</w:t>
            </w:r>
          </w:p>
        </w:tc>
        <w:tc>
          <w:tcPr>
            <w:tcW w:w="1273" w:type="dxa"/>
          </w:tcPr>
          <w:p w14:paraId="244BD4C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c>
          <w:tcPr>
            <w:tcW w:w="1256" w:type="dxa"/>
          </w:tcPr>
          <w:p w14:paraId="0C2DE69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1105</w:t>
            </w:r>
          </w:p>
        </w:tc>
        <w:tc>
          <w:tcPr>
            <w:tcW w:w="1277" w:type="dxa"/>
          </w:tcPr>
          <w:p w14:paraId="57F375E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w:t>
            </w:r>
          </w:p>
        </w:tc>
        <w:tc>
          <w:tcPr>
            <w:tcW w:w="1277" w:type="dxa"/>
          </w:tcPr>
          <w:p w14:paraId="31FF43B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r>
      <w:tr w:rsidR="00D7291E" w:rsidRPr="00D7291E" w14:paraId="183A056E" w14:textId="77777777" w:rsidTr="00132C81">
        <w:trPr>
          <w:trHeight w:val="1106"/>
        </w:trPr>
        <w:tc>
          <w:tcPr>
            <w:tcW w:w="667" w:type="dxa"/>
          </w:tcPr>
          <w:p w14:paraId="7A78B9D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G18</w:t>
            </w:r>
          </w:p>
        </w:tc>
        <w:tc>
          <w:tcPr>
            <w:tcW w:w="1094" w:type="dxa"/>
          </w:tcPr>
          <w:p w14:paraId="047EF22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151CBC1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0A68130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55AF8DA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4AD9EE6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3/15/2021</w:t>
            </w:r>
          </w:p>
        </w:tc>
        <w:tc>
          <w:tcPr>
            <w:tcW w:w="1360" w:type="dxa"/>
          </w:tcPr>
          <w:p w14:paraId="259C8C4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10/10/2020</w:t>
            </w:r>
          </w:p>
        </w:tc>
        <w:tc>
          <w:tcPr>
            <w:tcW w:w="1273" w:type="dxa"/>
          </w:tcPr>
          <w:p w14:paraId="01BDB6D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117</w:t>
            </w:r>
          </w:p>
        </w:tc>
        <w:tc>
          <w:tcPr>
            <w:tcW w:w="1256" w:type="dxa"/>
          </w:tcPr>
          <w:p w14:paraId="661B268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702</w:t>
            </w:r>
          </w:p>
        </w:tc>
        <w:tc>
          <w:tcPr>
            <w:tcW w:w="1277" w:type="dxa"/>
          </w:tcPr>
          <w:p w14:paraId="3AA2B2A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19</w:t>
            </w:r>
          </w:p>
        </w:tc>
        <w:tc>
          <w:tcPr>
            <w:tcW w:w="1277" w:type="dxa"/>
          </w:tcPr>
          <w:p w14:paraId="0EACDA2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r>
      <w:tr w:rsidR="00D7291E" w:rsidRPr="00D7291E" w14:paraId="4A6E68A8" w14:textId="77777777" w:rsidTr="00132C81">
        <w:trPr>
          <w:trHeight w:val="1089"/>
        </w:trPr>
        <w:tc>
          <w:tcPr>
            <w:tcW w:w="667" w:type="dxa"/>
          </w:tcPr>
          <w:p w14:paraId="04EEF8B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G19</w:t>
            </w:r>
          </w:p>
        </w:tc>
        <w:tc>
          <w:tcPr>
            <w:tcW w:w="1094" w:type="dxa"/>
          </w:tcPr>
          <w:p w14:paraId="5EC887A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4E09FA1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6FCB78E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6BEA132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0DECB15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3/13/2021</w:t>
            </w:r>
          </w:p>
        </w:tc>
        <w:tc>
          <w:tcPr>
            <w:tcW w:w="1360" w:type="dxa"/>
          </w:tcPr>
          <w:p w14:paraId="4C5BC35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10/25/2020</w:t>
            </w:r>
          </w:p>
        </w:tc>
        <w:tc>
          <w:tcPr>
            <w:tcW w:w="1273" w:type="dxa"/>
          </w:tcPr>
          <w:p w14:paraId="7762136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48</w:t>
            </w:r>
          </w:p>
        </w:tc>
        <w:tc>
          <w:tcPr>
            <w:tcW w:w="1256" w:type="dxa"/>
          </w:tcPr>
          <w:p w14:paraId="088E7F9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558</w:t>
            </w:r>
          </w:p>
        </w:tc>
        <w:tc>
          <w:tcPr>
            <w:tcW w:w="1277" w:type="dxa"/>
          </w:tcPr>
          <w:p w14:paraId="5DC116A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20</w:t>
            </w:r>
          </w:p>
        </w:tc>
        <w:tc>
          <w:tcPr>
            <w:tcW w:w="1277" w:type="dxa"/>
          </w:tcPr>
          <w:p w14:paraId="538FB06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21</w:t>
            </w:r>
          </w:p>
        </w:tc>
      </w:tr>
      <w:tr w:rsidR="00D7291E" w:rsidRPr="00D7291E" w14:paraId="07CC49C4" w14:textId="77777777" w:rsidTr="00132C81">
        <w:trPr>
          <w:trHeight w:val="1106"/>
        </w:trPr>
        <w:tc>
          <w:tcPr>
            <w:tcW w:w="667" w:type="dxa"/>
          </w:tcPr>
          <w:p w14:paraId="08B1D2B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G20</w:t>
            </w:r>
          </w:p>
        </w:tc>
        <w:tc>
          <w:tcPr>
            <w:tcW w:w="1094" w:type="dxa"/>
          </w:tcPr>
          <w:p w14:paraId="28ECAC1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1A92B56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0945784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592" w:type="dxa"/>
          </w:tcPr>
          <w:p w14:paraId="4924D393"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24D591A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3/24/2021</w:t>
            </w:r>
          </w:p>
        </w:tc>
        <w:tc>
          <w:tcPr>
            <w:tcW w:w="1360" w:type="dxa"/>
          </w:tcPr>
          <w:p w14:paraId="3042B3E7"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10/20/2020</w:t>
            </w:r>
          </w:p>
        </w:tc>
        <w:tc>
          <w:tcPr>
            <w:tcW w:w="1273" w:type="dxa"/>
          </w:tcPr>
          <w:p w14:paraId="09FC69C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119</w:t>
            </w:r>
          </w:p>
        </w:tc>
        <w:tc>
          <w:tcPr>
            <w:tcW w:w="1256" w:type="dxa"/>
          </w:tcPr>
          <w:p w14:paraId="3372CE5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547</w:t>
            </w:r>
          </w:p>
        </w:tc>
        <w:tc>
          <w:tcPr>
            <w:tcW w:w="1277" w:type="dxa"/>
          </w:tcPr>
          <w:p w14:paraId="56637BC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w:t>
            </w:r>
          </w:p>
        </w:tc>
        <w:tc>
          <w:tcPr>
            <w:tcW w:w="1277" w:type="dxa"/>
          </w:tcPr>
          <w:p w14:paraId="41918C9D"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2</w:t>
            </w:r>
          </w:p>
        </w:tc>
      </w:tr>
      <w:tr w:rsidR="00D7291E" w:rsidRPr="00D7291E" w14:paraId="71F97FFE" w14:textId="77777777" w:rsidTr="00132C81">
        <w:trPr>
          <w:trHeight w:val="1089"/>
        </w:trPr>
        <w:tc>
          <w:tcPr>
            <w:tcW w:w="667" w:type="dxa"/>
          </w:tcPr>
          <w:p w14:paraId="433698C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G21</w:t>
            </w:r>
          </w:p>
        </w:tc>
        <w:tc>
          <w:tcPr>
            <w:tcW w:w="1094" w:type="dxa"/>
          </w:tcPr>
          <w:p w14:paraId="2090DDF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Winter</w:t>
            </w:r>
          </w:p>
        </w:tc>
        <w:tc>
          <w:tcPr>
            <w:tcW w:w="1235" w:type="dxa"/>
          </w:tcPr>
          <w:p w14:paraId="709F4ED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Disperser</w:t>
            </w:r>
          </w:p>
        </w:tc>
        <w:tc>
          <w:tcPr>
            <w:tcW w:w="1235" w:type="dxa"/>
          </w:tcPr>
          <w:p w14:paraId="2AA0D50B"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Pr>
          <w:p w14:paraId="7719C45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Pr>
          <w:p w14:paraId="328EF48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Pr>
          <w:p w14:paraId="3148E49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Pr>
          <w:p w14:paraId="5476827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Pr>
          <w:p w14:paraId="61781AF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57AF9314"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Pr>
          <w:p w14:paraId="05AA513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r w:rsidR="00D7291E" w:rsidRPr="00D7291E" w14:paraId="26E3AA85" w14:textId="77777777" w:rsidTr="00132C81">
        <w:trPr>
          <w:trHeight w:val="1089"/>
        </w:trPr>
        <w:tc>
          <w:tcPr>
            <w:tcW w:w="667" w:type="dxa"/>
          </w:tcPr>
          <w:p w14:paraId="0BB0202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G24</w:t>
            </w:r>
          </w:p>
        </w:tc>
        <w:tc>
          <w:tcPr>
            <w:tcW w:w="1094" w:type="dxa"/>
          </w:tcPr>
          <w:p w14:paraId="7ECE026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Pr>
          <w:p w14:paraId="404031B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Pr>
          <w:p w14:paraId="79C1228F"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592" w:type="dxa"/>
          </w:tcPr>
          <w:p w14:paraId="0157AE4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88" w:type="dxa"/>
          </w:tcPr>
          <w:p w14:paraId="1BC69E9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5/21/2021</w:t>
            </w:r>
          </w:p>
        </w:tc>
        <w:tc>
          <w:tcPr>
            <w:tcW w:w="1360" w:type="dxa"/>
          </w:tcPr>
          <w:p w14:paraId="2DBF89F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10/1/2021</w:t>
            </w:r>
          </w:p>
        </w:tc>
        <w:tc>
          <w:tcPr>
            <w:tcW w:w="1273" w:type="dxa"/>
          </w:tcPr>
          <w:p w14:paraId="281C65B1"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97</w:t>
            </w:r>
          </w:p>
        </w:tc>
        <w:tc>
          <w:tcPr>
            <w:tcW w:w="1256" w:type="dxa"/>
          </w:tcPr>
          <w:p w14:paraId="647605C9"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579</w:t>
            </w:r>
          </w:p>
        </w:tc>
        <w:tc>
          <w:tcPr>
            <w:tcW w:w="1277" w:type="dxa"/>
          </w:tcPr>
          <w:p w14:paraId="1EC8E758"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17</w:t>
            </w:r>
          </w:p>
        </w:tc>
        <w:tc>
          <w:tcPr>
            <w:tcW w:w="1277" w:type="dxa"/>
          </w:tcPr>
          <w:p w14:paraId="1C5FEBB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5</w:t>
            </w:r>
          </w:p>
        </w:tc>
      </w:tr>
      <w:tr w:rsidR="00D7291E" w:rsidRPr="00D7291E" w14:paraId="2F6349EA" w14:textId="77777777" w:rsidTr="00132C81">
        <w:trPr>
          <w:trHeight w:val="1089"/>
        </w:trPr>
        <w:tc>
          <w:tcPr>
            <w:tcW w:w="667" w:type="dxa"/>
            <w:tcBorders>
              <w:bottom w:val="single" w:sz="4" w:space="0" w:color="auto"/>
            </w:tcBorders>
          </w:tcPr>
          <w:p w14:paraId="071189A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G26</w:t>
            </w:r>
          </w:p>
        </w:tc>
        <w:tc>
          <w:tcPr>
            <w:tcW w:w="1094" w:type="dxa"/>
            <w:tcBorders>
              <w:bottom w:val="single" w:sz="4" w:space="0" w:color="auto"/>
            </w:tcBorders>
          </w:tcPr>
          <w:p w14:paraId="46D9D31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Summer</w:t>
            </w:r>
          </w:p>
        </w:tc>
        <w:tc>
          <w:tcPr>
            <w:tcW w:w="1235" w:type="dxa"/>
            <w:tcBorders>
              <w:bottom w:val="single" w:sz="4" w:space="0" w:color="auto"/>
            </w:tcBorders>
          </w:tcPr>
          <w:p w14:paraId="2D84A90C"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Migratory</w:t>
            </w:r>
          </w:p>
        </w:tc>
        <w:tc>
          <w:tcPr>
            <w:tcW w:w="1235" w:type="dxa"/>
            <w:tcBorders>
              <w:bottom w:val="single" w:sz="4" w:space="0" w:color="auto"/>
            </w:tcBorders>
          </w:tcPr>
          <w:p w14:paraId="5555FCF6"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592" w:type="dxa"/>
            <w:tcBorders>
              <w:bottom w:val="single" w:sz="4" w:space="0" w:color="auto"/>
            </w:tcBorders>
          </w:tcPr>
          <w:p w14:paraId="5ED64DC5"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Resident</w:t>
            </w:r>
          </w:p>
        </w:tc>
        <w:tc>
          <w:tcPr>
            <w:tcW w:w="1288" w:type="dxa"/>
            <w:tcBorders>
              <w:bottom w:val="single" w:sz="4" w:space="0" w:color="auto"/>
            </w:tcBorders>
          </w:tcPr>
          <w:p w14:paraId="5E7267B0"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360" w:type="dxa"/>
            <w:tcBorders>
              <w:bottom w:val="single" w:sz="4" w:space="0" w:color="auto"/>
            </w:tcBorders>
          </w:tcPr>
          <w:p w14:paraId="6600C51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3" w:type="dxa"/>
            <w:tcBorders>
              <w:bottom w:val="single" w:sz="4" w:space="0" w:color="auto"/>
            </w:tcBorders>
          </w:tcPr>
          <w:p w14:paraId="4695203A"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56" w:type="dxa"/>
            <w:tcBorders>
              <w:bottom w:val="single" w:sz="4" w:space="0" w:color="auto"/>
            </w:tcBorders>
          </w:tcPr>
          <w:p w14:paraId="62021EFE"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Borders>
              <w:bottom w:val="single" w:sz="4" w:space="0" w:color="auto"/>
            </w:tcBorders>
          </w:tcPr>
          <w:p w14:paraId="066BF2E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c>
          <w:tcPr>
            <w:tcW w:w="1277" w:type="dxa"/>
            <w:tcBorders>
              <w:bottom w:val="single" w:sz="4" w:space="0" w:color="auto"/>
            </w:tcBorders>
          </w:tcPr>
          <w:p w14:paraId="76517E32" w14:textId="77777777" w:rsidR="002978AC" w:rsidRPr="00D7291E" w:rsidRDefault="002978AC" w:rsidP="00922D1B">
            <w:pPr>
              <w:spacing w:before="100" w:beforeAutospacing="1" w:after="100" w:afterAutospacing="1"/>
              <w:rPr>
                <w:rFonts w:cs="Times New Roman"/>
                <w:color w:val="000000" w:themeColor="text1"/>
              </w:rPr>
            </w:pPr>
            <w:r w:rsidRPr="00D7291E">
              <w:rPr>
                <w:rFonts w:cs="Times New Roman"/>
                <w:color w:val="000000" w:themeColor="text1"/>
              </w:rPr>
              <w:t>NA</w:t>
            </w:r>
          </w:p>
        </w:tc>
      </w:tr>
    </w:tbl>
    <w:p w14:paraId="0F175254" w14:textId="4584E5FE" w:rsidR="002978AC" w:rsidRPr="00D7291E" w:rsidRDefault="002978AC">
      <w:pPr>
        <w:spacing w:before="100" w:beforeAutospacing="1" w:after="100" w:afterAutospacing="1"/>
        <w:rPr>
          <w:rFonts w:cs="Times New Roman"/>
          <w:color w:val="000000" w:themeColor="text1"/>
        </w:rPr>
      </w:pPr>
    </w:p>
    <w:p w14:paraId="16781618" w14:textId="77777777" w:rsidR="002C72DF" w:rsidRPr="00D7291E" w:rsidRDefault="002C72DF" w:rsidP="00922D1B">
      <w:pPr>
        <w:spacing w:before="100" w:beforeAutospacing="1" w:after="100" w:afterAutospacing="1"/>
        <w:rPr>
          <w:rFonts w:cs="Times New Roman"/>
          <w:color w:val="000000" w:themeColor="text1"/>
        </w:rPr>
      </w:pPr>
    </w:p>
    <w:p w14:paraId="3A23FF9D" w14:textId="6301675F" w:rsidR="009869F4" w:rsidRPr="00D7291E" w:rsidRDefault="009869F4" w:rsidP="00922D1B">
      <w:pPr>
        <w:pStyle w:val="Caption"/>
        <w:keepNext/>
        <w:rPr>
          <w:rFonts w:cs="Times New Roman"/>
          <w:i w:val="0"/>
          <w:iCs w:val="0"/>
          <w:color w:val="000000" w:themeColor="text1"/>
          <w:sz w:val="24"/>
          <w:szCs w:val="24"/>
        </w:rPr>
      </w:pPr>
      <w:r w:rsidRPr="00D7291E">
        <w:rPr>
          <w:rFonts w:cs="Times New Roman"/>
          <w:color w:val="000000" w:themeColor="text1"/>
          <w:sz w:val="24"/>
          <w:szCs w:val="24"/>
        </w:rPr>
        <w:lastRenderedPageBreak/>
        <w:t>Table 2.</w:t>
      </w:r>
      <w:r w:rsidRPr="00D7291E">
        <w:rPr>
          <w:rFonts w:cs="Times New Roman"/>
          <w:i w:val="0"/>
          <w:iCs w:val="0"/>
          <w:color w:val="000000" w:themeColor="text1"/>
          <w:sz w:val="24"/>
          <w:szCs w:val="24"/>
        </w:rPr>
        <w:t xml:space="preserve"> Int</w:t>
      </w:r>
      <w:r w:rsidR="00B34660" w:rsidRPr="00D7291E">
        <w:rPr>
          <w:rFonts w:cs="Times New Roman"/>
          <w:i w:val="0"/>
          <w:iCs w:val="0"/>
          <w:color w:val="000000" w:themeColor="text1"/>
          <w:sz w:val="24"/>
          <w:szCs w:val="24"/>
        </w:rPr>
        <w:t>ra</w:t>
      </w:r>
      <w:r w:rsidRPr="00D7291E">
        <w:rPr>
          <w:rFonts w:cs="Times New Roman"/>
          <w:i w:val="0"/>
          <w:iCs w:val="0"/>
          <w:color w:val="000000" w:themeColor="text1"/>
          <w:sz w:val="24"/>
          <w:szCs w:val="24"/>
        </w:rPr>
        <w:t xml:space="preserve">individual coefficient of variation for migratory </w:t>
      </w:r>
      <w:r w:rsidR="00B34660" w:rsidRPr="00D7291E">
        <w:rPr>
          <w:rFonts w:cs="Times New Roman"/>
          <w:i w:val="0"/>
          <w:iCs w:val="0"/>
          <w:color w:val="000000" w:themeColor="text1"/>
          <w:sz w:val="24"/>
          <w:szCs w:val="24"/>
        </w:rPr>
        <w:t>guanacos</w:t>
      </w:r>
      <w:r w:rsidRPr="00D7291E">
        <w:rPr>
          <w:rFonts w:cs="Times New Roman"/>
          <w:i w:val="0"/>
          <w:iCs w:val="0"/>
          <w:color w:val="000000" w:themeColor="text1"/>
          <w:sz w:val="24"/>
          <w:szCs w:val="24"/>
        </w:rPr>
        <w:t xml:space="preserve"> with multiple years of data (3 individuals with 3 years of data and 2 individuals with 2 years</w:t>
      </w:r>
      <w:r w:rsidR="00A87D9D" w:rsidRPr="00D7291E">
        <w:rPr>
          <w:rFonts w:cs="Times New Roman"/>
          <w:i w:val="0"/>
          <w:iCs w:val="0"/>
          <w:color w:val="000000" w:themeColor="text1"/>
          <w:sz w:val="24"/>
          <w:szCs w:val="24"/>
        </w:rPr>
        <w:t xml:space="preserve"> of data)</w:t>
      </w:r>
      <w:r w:rsidR="00B34660" w:rsidRPr="00D7291E">
        <w:rPr>
          <w:rFonts w:cs="Times New Roman"/>
          <w:i w:val="0"/>
          <w:iCs w:val="0"/>
          <w:color w:val="000000" w:themeColor="text1"/>
          <w:sz w:val="24"/>
          <w:szCs w:val="24"/>
        </w:rPr>
        <w:t xml:space="preserve"> compared to intraindividual variation for all collared guanacos for different migratory </w:t>
      </w:r>
      <w:r w:rsidR="00922D1B" w:rsidRPr="00D7291E">
        <w:rPr>
          <w:rFonts w:cs="Times New Roman"/>
          <w:i w:val="0"/>
          <w:iCs w:val="0"/>
          <w:color w:val="000000" w:themeColor="text1"/>
          <w:sz w:val="24"/>
          <w:szCs w:val="24"/>
        </w:rPr>
        <w:t xml:space="preserve">characteristics. </w:t>
      </w:r>
    </w:p>
    <w:tbl>
      <w:tblPr>
        <w:tblStyle w:val="TableGrid"/>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5"/>
        <w:gridCol w:w="4576"/>
        <w:gridCol w:w="4509"/>
      </w:tblGrid>
      <w:tr w:rsidR="00D7291E" w:rsidRPr="00D7291E" w14:paraId="6AD36915" w14:textId="77777777" w:rsidTr="00922D1B">
        <w:tc>
          <w:tcPr>
            <w:tcW w:w="3865" w:type="dxa"/>
            <w:tcBorders>
              <w:top w:val="single" w:sz="4" w:space="0" w:color="auto"/>
              <w:bottom w:val="single" w:sz="4" w:space="0" w:color="auto"/>
            </w:tcBorders>
          </w:tcPr>
          <w:p w14:paraId="0E526DAF" w14:textId="77777777" w:rsidR="002C72DF" w:rsidRPr="00D7291E" w:rsidRDefault="002C72DF">
            <w:pPr>
              <w:spacing w:before="100" w:beforeAutospacing="1" w:after="100" w:afterAutospacing="1"/>
              <w:rPr>
                <w:rFonts w:cs="Times New Roman"/>
                <w:color w:val="000000" w:themeColor="text1"/>
              </w:rPr>
            </w:pPr>
          </w:p>
        </w:tc>
        <w:tc>
          <w:tcPr>
            <w:tcW w:w="4576" w:type="dxa"/>
            <w:tcBorders>
              <w:top w:val="single" w:sz="4" w:space="0" w:color="auto"/>
              <w:bottom w:val="single" w:sz="4" w:space="0" w:color="auto"/>
            </w:tcBorders>
          </w:tcPr>
          <w:p w14:paraId="4973C8FE" w14:textId="018856EA" w:rsidR="002C72DF" w:rsidRPr="00D7291E" w:rsidRDefault="002C72DF">
            <w:pPr>
              <w:spacing w:before="100" w:beforeAutospacing="1" w:after="100" w:afterAutospacing="1"/>
              <w:rPr>
                <w:rFonts w:cs="Times New Roman"/>
                <w:color w:val="000000" w:themeColor="text1"/>
              </w:rPr>
            </w:pPr>
            <w:r w:rsidRPr="00D7291E">
              <w:rPr>
                <w:rFonts w:cs="Times New Roman"/>
                <w:color w:val="000000" w:themeColor="text1"/>
              </w:rPr>
              <w:t>Intraindividual Coefficient of Variation</w:t>
            </w:r>
            <w:r w:rsidR="00CE2B31" w:rsidRPr="00D7291E">
              <w:rPr>
                <w:rFonts w:cs="Times New Roman"/>
                <w:color w:val="000000" w:themeColor="text1"/>
              </w:rPr>
              <w:t xml:space="preserve"> </w:t>
            </w:r>
            <w:r w:rsidRPr="00D7291E">
              <w:rPr>
                <w:rFonts w:cs="Times New Roman"/>
                <w:color w:val="000000" w:themeColor="text1"/>
              </w:rPr>
              <w:t>(CV)</w:t>
            </w:r>
          </w:p>
        </w:tc>
        <w:tc>
          <w:tcPr>
            <w:tcW w:w="4509" w:type="dxa"/>
            <w:tcBorders>
              <w:top w:val="single" w:sz="4" w:space="0" w:color="auto"/>
              <w:bottom w:val="single" w:sz="4" w:space="0" w:color="auto"/>
            </w:tcBorders>
          </w:tcPr>
          <w:p w14:paraId="79F2988E" w14:textId="2270A6AB" w:rsidR="002C72DF" w:rsidRPr="00D7291E" w:rsidRDefault="002C72DF">
            <w:pPr>
              <w:spacing w:before="100" w:beforeAutospacing="1" w:after="100" w:afterAutospacing="1"/>
              <w:rPr>
                <w:rFonts w:cs="Times New Roman"/>
                <w:color w:val="000000" w:themeColor="text1"/>
              </w:rPr>
            </w:pPr>
            <w:r w:rsidRPr="00D7291E">
              <w:rPr>
                <w:rFonts w:cs="Times New Roman"/>
                <w:color w:val="000000" w:themeColor="text1"/>
              </w:rPr>
              <w:t>Interindividual coefficient of Variation (CV)</w:t>
            </w:r>
          </w:p>
        </w:tc>
      </w:tr>
      <w:tr w:rsidR="00D7291E" w:rsidRPr="00D7291E" w14:paraId="0C527CFB" w14:textId="77777777" w:rsidTr="00922D1B">
        <w:tc>
          <w:tcPr>
            <w:tcW w:w="3865" w:type="dxa"/>
            <w:tcBorders>
              <w:top w:val="single" w:sz="4" w:space="0" w:color="auto"/>
            </w:tcBorders>
          </w:tcPr>
          <w:p w14:paraId="2D8E3B81" w14:textId="45D0F478" w:rsidR="002C72DF" w:rsidRPr="00D7291E" w:rsidRDefault="00CE2B31">
            <w:pPr>
              <w:spacing w:before="100" w:beforeAutospacing="1" w:after="100" w:afterAutospacing="1"/>
              <w:rPr>
                <w:rFonts w:cs="Times New Roman"/>
                <w:color w:val="000000" w:themeColor="text1"/>
              </w:rPr>
            </w:pPr>
            <w:r w:rsidRPr="00D7291E">
              <w:rPr>
                <w:rFonts w:cs="Times New Roman"/>
                <w:color w:val="000000" w:themeColor="text1"/>
              </w:rPr>
              <w:t>Summer departure date</w:t>
            </w:r>
          </w:p>
        </w:tc>
        <w:tc>
          <w:tcPr>
            <w:tcW w:w="4576" w:type="dxa"/>
            <w:tcBorders>
              <w:top w:val="single" w:sz="4" w:space="0" w:color="auto"/>
            </w:tcBorders>
          </w:tcPr>
          <w:p w14:paraId="4B73413D" w14:textId="4AF0DBD4"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11.2</w:t>
            </w:r>
          </w:p>
        </w:tc>
        <w:tc>
          <w:tcPr>
            <w:tcW w:w="4509" w:type="dxa"/>
            <w:tcBorders>
              <w:top w:val="single" w:sz="4" w:space="0" w:color="auto"/>
            </w:tcBorders>
          </w:tcPr>
          <w:p w14:paraId="1F9AAFAF" w14:textId="132A28C7"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51.2</w:t>
            </w:r>
          </w:p>
        </w:tc>
      </w:tr>
      <w:tr w:rsidR="00D7291E" w:rsidRPr="00D7291E" w14:paraId="27520B8B" w14:textId="77777777" w:rsidTr="00922D1B">
        <w:tc>
          <w:tcPr>
            <w:tcW w:w="3865" w:type="dxa"/>
          </w:tcPr>
          <w:p w14:paraId="07C275BF" w14:textId="2D4C4149" w:rsidR="002C72DF" w:rsidRPr="00D7291E" w:rsidRDefault="00CE2B31">
            <w:pPr>
              <w:spacing w:before="100" w:beforeAutospacing="1" w:after="100" w:afterAutospacing="1"/>
              <w:rPr>
                <w:rFonts w:cs="Times New Roman"/>
                <w:color w:val="000000" w:themeColor="text1"/>
              </w:rPr>
            </w:pPr>
            <w:r w:rsidRPr="00D7291E">
              <w:rPr>
                <w:rFonts w:cs="Times New Roman"/>
                <w:color w:val="000000" w:themeColor="text1"/>
              </w:rPr>
              <w:t>Winter departure date</w:t>
            </w:r>
          </w:p>
        </w:tc>
        <w:tc>
          <w:tcPr>
            <w:tcW w:w="4576" w:type="dxa"/>
          </w:tcPr>
          <w:p w14:paraId="539169B2" w14:textId="73B614ED"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4.8</w:t>
            </w:r>
          </w:p>
        </w:tc>
        <w:tc>
          <w:tcPr>
            <w:tcW w:w="4509" w:type="dxa"/>
          </w:tcPr>
          <w:p w14:paraId="0C90BA91" w14:textId="75C7B94D"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9.7</w:t>
            </w:r>
          </w:p>
        </w:tc>
      </w:tr>
      <w:tr w:rsidR="00D7291E" w:rsidRPr="00D7291E" w14:paraId="145A532F" w14:textId="77777777" w:rsidTr="00922D1B">
        <w:tc>
          <w:tcPr>
            <w:tcW w:w="3865" w:type="dxa"/>
          </w:tcPr>
          <w:p w14:paraId="10A1DD7C" w14:textId="34098377" w:rsidR="002C72DF" w:rsidRPr="00D7291E" w:rsidRDefault="00CE2B31">
            <w:pPr>
              <w:spacing w:before="100" w:beforeAutospacing="1" w:after="100" w:afterAutospacing="1"/>
              <w:rPr>
                <w:rFonts w:cs="Times New Roman"/>
                <w:color w:val="000000" w:themeColor="text1"/>
              </w:rPr>
            </w:pPr>
            <w:r w:rsidRPr="00D7291E">
              <w:rPr>
                <w:rFonts w:cs="Times New Roman"/>
                <w:color w:val="000000" w:themeColor="text1"/>
              </w:rPr>
              <w:t>Migration distance</w:t>
            </w:r>
          </w:p>
        </w:tc>
        <w:tc>
          <w:tcPr>
            <w:tcW w:w="4576" w:type="dxa"/>
          </w:tcPr>
          <w:p w14:paraId="1191962F" w14:textId="60B355B0"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8.7</w:t>
            </w:r>
          </w:p>
        </w:tc>
        <w:tc>
          <w:tcPr>
            <w:tcW w:w="4509" w:type="dxa"/>
          </w:tcPr>
          <w:p w14:paraId="193B55E1" w14:textId="0D4E6EFC"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30.7</w:t>
            </w:r>
          </w:p>
        </w:tc>
      </w:tr>
      <w:tr w:rsidR="00D7291E" w:rsidRPr="00D7291E" w14:paraId="5F89D388" w14:textId="77777777" w:rsidTr="00922D1B">
        <w:tc>
          <w:tcPr>
            <w:tcW w:w="3865" w:type="dxa"/>
            <w:tcBorders>
              <w:bottom w:val="nil"/>
            </w:tcBorders>
          </w:tcPr>
          <w:p w14:paraId="0B6DBEDD" w14:textId="72D13578" w:rsidR="002C72DF" w:rsidRPr="00D7291E" w:rsidRDefault="00CE2B31">
            <w:pPr>
              <w:spacing w:before="100" w:beforeAutospacing="1" w:after="100" w:afterAutospacing="1"/>
              <w:rPr>
                <w:rFonts w:cs="Times New Roman"/>
                <w:color w:val="000000" w:themeColor="text1"/>
              </w:rPr>
            </w:pPr>
            <w:r w:rsidRPr="00D7291E">
              <w:rPr>
                <w:rFonts w:cs="Times New Roman"/>
                <w:color w:val="000000" w:themeColor="text1"/>
              </w:rPr>
              <w:t>Migration duration</w:t>
            </w:r>
          </w:p>
        </w:tc>
        <w:tc>
          <w:tcPr>
            <w:tcW w:w="4576" w:type="dxa"/>
            <w:tcBorders>
              <w:bottom w:val="nil"/>
            </w:tcBorders>
          </w:tcPr>
          <w:p w14:paraId="6835FF9F" w14:textId="605A848B"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64.8</w:t>
            </w:r>
          </w:p>
        </w:tc>
        <w:tc>
          <w:tcPr>
            <w:tcW w:w="4509" w:type="dxa"/>
            <w:tcBorders>
              <w:bottom w:val="nil"/>
            </w:tcBorders>
          </w:tcPr>
          <w:p w14:paraId="7A9C76E3" w14:textId="5D92668E" w:rsidR="002C72DF"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90.6</w:t>
            </w:r>
          </w:p>
        </w:tc>
      </w:tr>
      <w:tr w:rsidR="00D7291E" w:rsidRPr="00D7291E" w14:paraId="6F9E3BB7" w14:textId="77777777" w:rsidTr="00922D1B">
        <w:tc>
          <w:tcPr>
            <w:tcW w:w="3865" w:type="dxa"/>
            <w:tcBorders>
              <w:top w:val="nil"/>
              <w:bottom w:val="single" w:sz="4" w:space="0" w:color="auto"/>
            </w:tcBorders>
          </w:tcPr>
          <w:p w14:paraId="12141E2D" w14:textId="1B431013" w:rsidR="00CE2B31" w:rsidRPr="00D7291E" w:rsidRDefault="00CE2B31">
            <w:pPr>
              <w:spacing w:before="100" w:beforeAutospacing="1" w:after="100" w:afterAutospacing="1"/>
              <w:rPr>
                <w:rFonts w:cs="Times New Roman"/>
                <w:color w:val="000000" w:themeColor="text1"/>
              </w:rPr>
            </w:pPr>
            <w:r w:rsidRPr="00D7291E">
              <w:rPr>
                <w:rFonts w:cs="Times New Roman"/>
                <w:color w:val="000000" w:themeColor="text1"/>
              </w:rPr>
              <w:t>Time spent in migratory range</w:t>
            </w:r>
          </w:p>
        </w:tc>
        <w:tc>
          <w:tcPr>
            <w:tcW w:w="4576" w:type="dxa"/>
            <w:tcBorders>
              <w:top w:val="nil"/>
              <w:bottom w:val="single" w:sz="4" w:space="0" w:color="auto"/>
            </w:tcBorders>
          </w:tcPr>
          <w:p w14:paraId="28D65F3E" w14:textId="52603298" w:rsidR="00CE2B31"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36.4</w:t>
            </w:r>
          </w:p>
        </w:tc>
        <w:tc>
          <w:tcPr>
            <w:tcW w:w="4509" w:type="dxa"/>
            <w:tcBorders>
              <w:top w:val="nil"/>
              <w:bottom w:val="single" w:sz="4" w:space="0" w:color="auto"/>
            </w:tcBorders>
          </w:tcPr>
          <w:p w14:paraId="43109E85" w14:textId="002F13A1" w:rsidR="00CE2B31" w:rsidRPr="00D7291E" w:rsidRDefault="00CE2B31" w:rsidP="00922D1B">
            <w:pPr>
              <w:spacing w:before="100" w:beforeAutospacing="1" w:after="100" w:afterAutospacing="1"/>
              <w:jc w:val="center"/>
              <w:rPr>
                <w:rFonts w:cs="Times New Roman"/>
                <w:color w:val="000000" w:themeColor="text1"/>
              </w:rPr>
            </w:pPr>
            <w:r w:rsidRPr="00D7291E">
              <w:rPr>
                <w:rFonts w:cs="Times New Roman"/>
                <w:color w:val="000000" w:themeColor="text1"/>
              </w:rPr>
              <w:t>61.6</w:t>
            </w:r>
          </w:p>
        </w:tc>
      </w:tr>
    </w:tbl>
    <w:p w14:paraId="75083E80" w14:textId="77777777" w:rsidR="008F2148" w:rsidRPr="00D7291E" w:rsidRDefault="008F2148" w:rsidP="00922D1B">
      <w:pPr>
        <w:pBdr>
          <w:top w:val="single" w:sz="4" w:space="1" w:color="auto"/>
        </w:pBdr>
        <w:spacing w:before="100" w:beforeAutospacing="1" w:after="100" w:afterAutospacing="1"/>
        <w:rPr>
          <w:rFonts w:cs="Times New Roman"/>
          <w:color w:val="000000" w:themeColor="text1"/>
        </w:rPr>
        <w:sectPr w:rsidR="008F2148" w:rsidRPr="00D7291E" w:rsidSect="00D82BAB">
          <w:pgSz w:w="15840" w:h="12240" w:orient="landscape"/>
          <w:pgMar w:top="1440" w:right="1440" w:bottom="1440" w:left="1440" w:header="720" w:footer="720" w:gutter="0"/>
          <w:cols w:space="720"/>
          <w:docGrid w:linePitch="360"/>
        </w:sectPr>
      </w:pPr>
    </w:p>
    <w:p w14:paraId="4B8EBFAD" w14:textId="09B495C3" w:rsidR="00264D3D" w:rsidRPr="00D7291E" w:rsidRDefault="007F7406" w:rsidP="00922D1B">
      <w:pPr>
        <w:keepNext/>
        <w:spacing w:before="100" w:beforeAutospacing="1" w:after="100" w:afterAutospacing="1"/>
        <w:rPr>
          <w:rFonts w:cs="Times New Roman"/>
          <w:color w:val="000000" w:themeColor="text1"/>
        </w:rPr>
      </w:pPr>
      <w:r w:rsidRPr="00D7291E">
        <w:rPr>
          <w:rFonts w:cs="Times New Roman"/>
          <w:noProof/>
          <w:color w:val="000000" w:themeColor="text1"/>
        </w:rPr>
        <w:lastRenderedPageBreak/>
        <w:drawing>
          <wp:inline distT="0" distB="0" distL="0" distR="0" wp14:anchorId="4D353186" wp14:editId="5171EEC0">
            <wp:extent cx="5238469" cy="6638192"/>
            <wp:effectExtent l="0" t="0" r="0" b="4445"/>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284715" cy="6696795"/>
                    </a:xfrm>
                    <a:prstGeom prst="rect">
                      <a:avLst/>
                    </a:prstGeom>
                  </pic:spPr>
                </pic:pic>
              </a:graphicData>
            </a:graphic>
          </wp:inline>
        </w:drawing>
      </w:r>
    </w:p>
    <w:p w14:paraId="5E3C3F01" w14:textId="5972BA54" w:rsidR="00E61CCA" w:rsidRPr="00D7291E" w:rsidRDefault="00264D3D" w:rsidP="006D541E">
      <w:pPr>
        <w:pStyle w:val="Caption"/>
        <w:spacing w:before="100" w:beforeAutospacing="1" w:after="100" w:afterAutospacing="1"/>
        <w:rPr>
          <w:rFonts w:cs="Times New Roman"/>
          <w:color w:val="000000" w:themeColor="text1"/>
          <w:sz w:val="24"/>
          <w:szCs w:val="24"/>
        </w:rPr>
      </w:pPr>
      <w:r w:rsidRPr="00D7291E">
        <w:rPr>
          <w:rFonts w:cs="Times New Roman"/>
          <w:color w:val="000000" w:themeColor="text1"/>
          <w:sz w:val="24"/>
          <w:szCs w:val="24"/>
        </w:rPr>
        <w:t xml:space="preserve">Figure </w:t>
      </w:r>
      <w:r w:rsidRPr="00D7291E">
        <w:rPr>
          <w:rFonts w:cs="Times New Roman"/>
          <w:color w:val="000000" w:themeColor="text1"/>
          <w:sz w:val="24"/>
          <w:szCs w:val="24"/>
        </w:rPr>
        <w:fldChar w:fldCharType="begin"/>
      </w:r>
      <w:r w:rsidRPr="00D7291E">
        <w:rPr>
          <w:rFonts w:cs="Times New Roman"/>
          <w:color w:val="000000" w:themeColor="text1"/>
          <w:sz w:val="24"/>
          <w:szCs w:val="24"/>
        </w:rPr>
        <w:instrText xml:space="preserve"> SEQ Figure \* ARABIC </w:instrText>
      </w:r>
      <w:r w:rsidRPr="00D7291E">
        <w:rPr>
          <w:rFonts w:cs="Times New Roman"/>
          <w:color w:val="000000" w:themeColor="text1"/>
          <w:sz w:val="24"/>
          <w:szCs w:val="24"/>
        </w:rPr>
        <w:fldChar w:fldCharType="separate"/>
      </w:r>
      <w:r w:rsidR="00954D7D" w:rsidRPr="00D7291E">
        <w:rPr>
          <w:rFonts w:cs="Times New Roman"/>
          <w:noProof/>
          <w:color w:val="000000" w:themeColor="text1"/>
          <w:sz w:val="24"/>
          <w:szCs w:val="24"/>
        </w:rPr>
        <w:t>5</w:t>
      </w:r>
      <w:r w:rsidRPr="00D7291E">
        <w:rPr>
          <w:rFonts w:cs="Times New Roman"/>
          <w:color w:val="000000" w:themeColor="text1"/>
          <w:sz w:val="24"/>
          <w:szCs w:val="24"/>
        </w:rPr>
        <w:fldChar w:fldCharType="end"/>
      </w:r>
      <w:r w:rsidR="001F7AA4" w:rsidRPr="00D7291E">
        <w:rPr>
          <w:rFonts w:cs="Times New Roman"/>
          <w:color w:val="000000" w:themeColor="text1"/>
          <w:sz w:val="24"/>
          <w:szCs w:val="24"/>
        </w:rPr>
        <w:t xml:space="preserve">. </w:t>
      </w:r>
      <w:r w:rsidR="00F76FC0" w:rsidRPr="00D7291E">
        <w:rPr>
          <w:rFonts w:cs="Times New Roman"/>
          <w:i w:val="0"/>
          <w:iCs w:val="0"/>
          <w:color w:val="000000" w:themeColor="text1"/>
          <w:sz w:val="24"/>
          <w:szCs w:val="24"/>
        </w:rPr>
        <w:t>P</w:t>
      </w:r>
      <w:r w:rsidR="001F7AA4" w:rsidRPr="00D7291E">
        <w:rPr>
          <w:rFonts w:cs="Times New Roman"/>
          <w:i w:val="0"/>
          <w:iCs w:val="0"/>
          <w:color w:val="000000" w:themeColor="text1"/>
          <w:sz w:val="24"/>
          <w:szCs w:val="24"/>
        </w:rPr>
        <w:t xml:space="preserve">lots </w:t>
      </w:r>
      <w:r w:rsidR="00F76FC0" w:rsidRPr="00D7291E">
        <w:rPr>
          <w:rFonts w:cs="Times New Roman"/>
          <w:i w:val="0"/>
          <w:iCs w:val="0"/>
          <w:color w:val="000000" w:themeColor="text1"/>
          <w:sz w:val="24"/>
          <w:szCs w:val="24"/>
        </w:rPr>
        <w:t>of</w:t>
      </w:r>
      <w:r w:rsidR="001B0153" w:rsidRPr="00D7291E">
        <w:rPr>
          <w:rFonts w:cs="Times New Roman"/>
          <w:i w:val="0"/>
          <w:iCs w:val="0"/>
          <w:color w:val="000000" w:themeColor="text1"/>
          <w:sz w:val="24"/>
          <w:szCs w:val="24"/>
        </w:rPr>
        <w:t xml:space="preserve"> raw</w:t>
      </w:r>
      <w:r w:rsidR="00F76FC0" w:rsidRPr="00D7291E">
        <w:rPr>
          <w:rFonts w:cs="Times New Roman"/>
          <w:i w:val="0"/>
          <w:iCs w:val="0"/>
          <w:color w:val="000000" w:themeColor="text1"/>
          <w:sz w:val="24"/>
          <w:szCs w:val="24"/>
        </w:rPr>
        <w:t xml:space="preserve"> </w:t>
      </w:r>
      <w:r w:rsidR="00400A06" w:rsidRPr="00D7291E">
        <w:rPr>
          <w:rFonts w:cs="Times New Roman"/>
          <w:i w:val="0"/>
          <w:iCs w:val="0"/>
          <w:color w:val="000000" w:themeColor="text1"/>
          <w:sz w:val="24"/>
          <w:szCs w:val="24"/>
        </w:rPr>
        <w:t xml:space="preserve">Normalized Difference Snow Index (NDSI) </w:t>
      </w:r>
      <w:r w:rsidR="00F76FC0" w:rsidRPr="00D7291E">
        <w:rPr>
          <w:rFonts w:cs="Times New Roman"/>
          <w:i w:val="0"/>
          <w:iCs w:val="0"/>
          <w:color w:val="000000" w:themeColor="text1"/>
          <w:sz w:val="24"/>
          <w:szCs w:val="24"/>
        </w:rPr>
        <w:t>and</w:t>
      </w:r>
      <w:r w:rsidR="00400A06" w:rsidRPr="00D7291E">
        <w:rPr>
          <w:rFonts w:cs="Times New Roman"/>
          <w:i w:val="0"/>
          <w:iCs w:val="0"/>
          <w:color w:val="000000" w:themeColor="text1"/>
          <w:sz w:val="24"/>
          <w:szCs w:val="24"/>
        </w:rPr>
        <w:t xml:space="preserve"> Normalized Difference Vegetation Index (NDVI) </w:t>
      </w:r>
      <w:r w:rsidR="008A2C72" w:rsidRPr="00D7291E">
        <w:rPr>
          <w:rFonts w:cs="Times New Roman"/>
          <w:i w:val="0"/>
          <w:iCs w:val="0"/>
          <w:color w:val="000000" w:themeColor="text1"/>
          <w:sz w:val="24"/>
          <w:szCs w:val="24"/>
        </w:rPr>
        <w:t xml:space="preserve">summer 2019 to summer 2022, </w:t>
      </w:r>
      <w:r w:rsidR="00400A06" w:rsidRPr="00D7291E">
        <w:rPr>
          <w:rFonts w:cs="Times New Roman"/>
          <w:i w:val="0"/>
          <w:iCs w:val="0"/>
          <w:color w:val="000000" w:themeColor="text1"/>
          <w:sz w:val="24"/>
          <w:szCs w:val="24"/>
        </w:rPr>
        <w:t>for 200</w:t>
      </w:r>
      <w:r w:rsidR="008A2C72" w:rsidRPr="00D7291E">
        <w:rPr>
          <w:rFonts w:cs="Times New Roman"/>
          <w:i w:val="0"/>
          <w:iCs w:val="0"/>
          <w:color w:val="000000" w:themeColor="text1"/>
          <w:sz w:val="24"/>
          <w:szCs w:val="24"/>
        </w:rPr>
        <w:t xml:space="preserve"> </w:t>
      </w:r>
      <w:r w:rsidR="00400A06" w:rsidRPr="00D7291E">
        <w:rPr>
          <w:rFonts w:cs="Times New Roman"/>
          <w:i w:val="0"/>
          <w:iCs w:val="0"/>
          <w:color w:val="000000" w:themeColor="text1"/>
          <w:sz w:val="24"/>
          <w:szCs w:val="24"/>
        </w:rPr>
        <w:t xml:space="preserve">m </w:t>
      </w:r>
      <w:r w:rsidR="008A2C72" w:rsidRPr="00D7291E">
        <w:rPr>
          <w:rFonts w:cs="Times New Roman"/>
          <w:i w:val="0"/>
          <w:iCs w:val="0"/>
          <w:color w:val="000000" w:themeColor="text1"/>
          <w:sz w:val="24"/>
          <w:szCs w:val="24"/>
        </w:rPr>
        <w:t xml:space="preserve">altitudinal ranges </w:t>
      </w:r>
      <w:r w:rsidR="00400A06" w:rsidRPr="00D7291E">
        <w:rPr>
          <w:rFonts w:cs="Times New Roman"/>
          <w:i w:val="0"/>
          <w:iCs w:val="0"/>
          <w:color w:val="000000" w:themeColor="text1"/>
          <w:sz w:val="24"/>
          <w:szCs w:val="24"/>
        </w:rPr>
        <w:t>covering the elevation gradient of the study area, in Patagonia, Argentin</w:t>
      </w:r>
      <w:r w:rsidR="006D541E" w:rsidRPr="00D7291E">
        <w:rPr>
          <w:rFonts w:cs="Times New Roman"/>
          <w:i w:val="0"/>
          <w:iCs w:val="0"/>
          <w:color w:val="000000" w:themeColor="text1"/>
          <w:sz w:val="24"/>
          <w:szCs w:val="24"/>
        </w:rPr>
        <w:t xml:space="preserve">a. </w:t>
      </w:r>
    </w:p>
    <w:sectPr w:rsidR="00E61CCA" w:rsidRPr="00D7291E" w:rsidSect="00400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20603050405020304"/>
    <w:charset w:val="00"/>
    <w:family w:val="roman"/>
    <w:notTrueType/>
    <w:pitch w:val="default"/>
  </w:font>
  <w:font w:name="Segoe UI">
    <w:panose1 w:val="020B0604020202020204"/>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isplayBackgroundShape/>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78AC"/>
    <w:rsid w:val="001B0153"/>
    <w:rsid w:val="001F7AA4"/>
    <w:rsid w:val="002435BD"/>
    <w:rsid w:val="00264D3D"/>
    <w:rsid w:val="00284B03"/>
    <w:rsid w:val="002978AC"/>
    <w:rsid w:val="002C72DF"/>
    <w:rsid w:val="002D3A55"/>
    <w:rsid w:val="002F56AD"/>
    <w:rsid w:val="00301A1E"/>
    <w:rsid w:val="003B1D11"/>
    <w:rsid w:val="00400A06"/>
    <w:rsid w:val="00420606"/>
    <w:rsid w:val="004D61BE"/>
    <w:rsid w:val="004F3983"/>
    <w:rsid w:val="00570531"/>
    <w:rsid w:val="005F2FC6"/>
    <w:rsid w:val="005F3832"/>
    <w:rsid w:val="006103D3"/>
    <w:rsid w:val="00696026"/>
    <w:rsid w:val="006D541E"/>
    <w:rsid w:val="007C5B6F"/>
    <w:rsid w:val="007C70DA"/>
    <w:rsid w:val="007F2DE9"/>
    <w:rsid w:val="007F53AE"/>
    <w:rsid w:val="007F7406"/>
    <w:rsid w:val="00817559"/>
    <w:rsid w:val="008A2C72"/>
    <w:rsid w:val="008B7A12"/>
    <w:rsid w:val="008F2148"/>
    <w:rsid w:val="0090183D"/>
    <w:rsid w:val="00922D1B"/>
    <w:rsid w:val="00954D7D"/>
    <w:rsid w:val="009869F4"/>
    <w:rsid w:val="00A53EE6"/>
    <w:rsid w:val="00A84FF7"/>
    <w:rsid w:val="00A87D9D"/>
    <w:rsid w:val="00B34660"/>
    <w:rsid w:val="00B71867"/>
    <w:rsid w:val="00C205EF"/>
    <w:rsid w:val="00C65160"/>
    <w:rsid w:val="00CE2B31"/>
    <w:rsid w:val="00CF3DEB"/>
    <w:rsid w:val="00D01FE7"/>
    <w:rsid w:val="00D27878"/>
    <w:rsid w:val="00D7291E"/>
    <w:rsid w:val="00D82BAB"/>
    <w:rsid w:val="00E61CCA"/>
    <w:rsid w:val="00EA03B7"/>
    <w:rsid w:val="00EC683F"/>
    <w:rsid w:val="00ED09A8"/>
    <w:rsid w:val="00F060E5"/>
    <w:rsid w:val="00F42622"/>
    <w:rsid w:val="00F76FC0"/>
    <w:rsid w:val="00FF2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6D90A"/>
  <w14:defaultImageDpi w14:val="32767"/>
  <w15:chartTrackingRefBased/>
  <w15:docId w15:val="{16A9DFA1-DEA8-434C-BD66-DB00F0529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8AC"/>
    <w:pPr>
      <w:spacing w:line="48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978AC"/>
    <w:pPr>
      <w:spacing w:after="200"/>
    </w:pPr>
    <w:rPr>
      <w:i/>
      <w:iCs/>
      <w:color w:val="44546A" w:themeColor="text2"/>
      <w:sz w:val="18"/>
      <w:szCs w:val="18"/>
    </w:rPr>
  </w:style>
  <w:style w:type="character" w:styleId="LineNumber">
    <w:name w:val="line number"/>
    <w:basedOn w:val="DefaultParagraphFont"/>
    <w:uiPriority w:val="99"/>
    <w:semiHidden/>
    <w:unhideWhenUsed/>
    <w:rsid w:val="007F2DE9"/>
  </w:style>
  <w:style w:type="paragraph" w:styleId="BalloonText">
    <w:name w:val="Balloon Text"/>
    <w:basedOn w:val="Normal"/>
    <w:link w:val="BalloonTextChar"/>
    <w:uiPriority w:val="99"/>
    <w:semiHidden/>
    <w:unhideWhenUsed/>
    <w:rsid w:val="00F76FC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6FC0"/>
    <w:rPr>
      <w:rFonts w:ascii="Segoe UI" w:hAnsi="Segoe UI" w:cs="Segoe UI"/>
      <w:sz w:val="18"/>
      <w:szCs w:val="18"/>
    </w:rPr>
  </w:style>
  <w:style w:type="table" w:styleId="TableGrid">
    <w:name w:val="Table Grid"/>
    <w:basedOn w:val="TableNormal"/>
    <w:uiPriority w:val="39"/>
    <w:rsid w:val="002C7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82BAB"/>
    <w:rPr>
      <w:color w:val="0563C1" w:themeColor="hyperlink"/>
      <w:u w:val="single"/>
    </w:rPr>
  </w:style>
  <w:style w:type="paragraph" w:styleId="Revision">
    <w:name w:val="Revision"/>
    <w:hidden/>
    <w:uiPriority w:val="99"/>
    <w:semiHidden/>
    <w:rsid w:val="00ED09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501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mailto:candino@wisc.edu"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D02ED-A60B-43FD-8D7A-A3CD03AFF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945</Words>
  <Characters>5388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MALENA CANDINO</dc:creator>
  <cp:keywords/>
  <dc:description/>
  <cp:lastModifiedBy>MALENA CANDINO</cp:lastModifiedBy>
  <cp:revision>3</cp:revision>
  <dcterms:created xsi:type="dcterms:W3CDTF">2022-04-17T19:27:00Z</dcterms:created>
  <dcterms:modified xsi:type="dcterms:W3CDTF">2022-04-17T19:31:00Z</dcterms:modified>
</cp:coreProperties>
</file>