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Times New Roman" w:cs="Times New Roman"/>
          <w:kern w:val="44"/>
          <w:sz w:val="24"/>
          <w:szCs w:val="24"/>
        </w:rPr>
      </w:pPr>
      <w:bookmarkStart w:id="2" w:name="_GoBack"/>
      <w:r>
        <w:rPr>
          <w:rFonts w:hint="eastAsia" w:ascii="Times New Roman" w:cs="Times New Roman"/>
          <w:sz w:val="24"/>
          <w:szCs w:val="24"/>
          <w:lang w:val="en-US" w:eastAsia="zh-CN"/>
        </w:rPr>
        <w:t xml:space="preserve">Appendix </w:t>
      </w:r>
      <w:r>
        <w:rPr>
          <w:rFonts w:ascii="Times New Roman" w:cs="Times New Roman"/>
          <w:sz w:val="24"/>
          <w:szCs w:val="24"/>
        </w:rPr>
        <w:t xml:space="preserve">Table </w:t>
      </w:r>
      <w:r>
        <w:rPr>
          <w:rFonts w:hint="eastAsia" w:ascii="Times New Roman" w:cs="Times New Roman"/>
          <w:sz w:val="24"/>
          <w:szCs w:val="24"/>
          <w:lang w:val="en-US" w:eastAsia="zh-CN"/>
        </w:rPr>
        <w:t xml:space="preserve">1. </w:t>
      </w:r>
      <w:r>
        <w:rPr>
          <w:rFonts w:ascii="Times New Roman" w:cs="Times New Roman"/>
          <w:sz w:val="24"/>
          <w:szCs w:val="24"/>
        </w:rPr>
        <w:t>Characteristics of the subjects included and excluded in the analysis (age ≥ 35 years old)</w:t>
      </w:r>
      <w:r>
        <w:rPr>
          <w:rFonts w:hint="eastAsia" w:ascii="Times New Roman" w:cs="Times New Roman"/>
          <w:sz w:val="24"/>
          <w:szCs w:val="24"/>
        </w:rPr>
        <w:t xml:space="preserve"> </w:t>
      </w:r>
    </w:p>
    <w:tbl>
      <w:tblPr>
        <w:tblStyle w:val="6"/>
        <w:tblW w:w="7369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8"/>
        <w:gridCol w:w="761"/>
        <w:gridCol w:w="1460"/>
        <w:gridCol w:w="781"/>
        <w:gridCol w:w="761"/>
        <w:gridCol w:w="1460"/>
        <w:gridCol w:w="76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72" w:type="dxa"/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08" w:type="dxa"/>
            <w:gridSpan w:val="2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Included(N=28717)</w:t>
            </w:r>
          </w:p>
        </w:tc>
        <w:tc>
          <w:tcPr>
            <w:tcW w:w="972" w:type="dxa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44" w:type="dxa"/>
            <w:gridSpan w:val="2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Excluded (N=6277)</w:t>
            </w:r>
          </w:p>
        </w:tc>
        <w:tc>
          <w:tcPr>
            <w:tcW w:w="972" w:type="dxa"/>
            <w:vMerge w:val="restart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</w:t>
            </w:r>
          </w:p>
        </w:tc>
        <w:tc>
          <w:tcPr>
            <w:tcW w:w="1536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statistics</w:t>
            </w:r>
          </w:p>
        </w:tc>
        <w:tc>
          <w:tcPr>
            <w:tcW w:w="97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</w:t>
            </w:r>
          </w:p>
        </w:tc>
        <w:tc>
          <w:tcPr>
            <w:tcW w:w="97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Statistics</w:t>
            </w:r>
          </w:p>
        </w:tc>
        <w:tc>
          <w:tcPr>
            <w:tcW w:w="972" w:type="dxa"/>
            <w:vMerge w:val="continue"/>
            <w:shd w:val="clear" w:color="auto" w:fill="auto"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 (years)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28717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52.0(51.2-52.7)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6277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51.7(49.6-53.9)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region (</w:t>
            </w:r>
            <w:r>
              <w:rPr>
                <w:rStyle w:val="16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 xml:space="preserve">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%)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East</w:t>
            </w: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12119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40.6(28.6-52.7)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46.41(34.67-58.16)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Central</w:t>
            </w: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11040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32.0(16.5-47.6)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29.93(20.32-39.54)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West</w:t>
            </w: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5558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27.3(17.3-37.3)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23.65(13.25-34.06)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Area (</w:t>
            </w:r>
            <w:r>
              <w:rPr>
                <w:rStyle w:val="16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 xml:space="preserve">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%)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urban</w:t>
            </w: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15376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65.8(46.3-85.3)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58.58(40.59-76.58)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rural</w:t>
            </w: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13341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34.2(14.7-53.7)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41.42(23.42-59.41)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gridSpan w:val="3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Education level (</w:t>
            </w:r>
            <w:r>
              <w:rPr>
                <w:rStyle w:val="16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 xml:space="preserve">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%)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Middle school or below</w:t>
            </w: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22796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81.4(75.3-86.2)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4856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80.49(74.99-85.98)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High school or vocational school</w:t>
            </w: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14.0(10.6-18.3)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13.74(9.15-18.32)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College and above</w:t>
            </w: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4.6(3.0-7.1)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5.77(3.37-8.18)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Smoking status (</w:t>
            </w:r>
            <w:r>
              <w:rPr>
                <w:rStyle w:val="16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 xml:space="preserve">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%)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No</w:t>
            </w: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22378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74.3(72.3-76.4)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76.37(72.92-79.82)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Yes</w:t>
            </w: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6339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25.7(23.6-27.7)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23.63(20.18-27.08)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Alcohol use (</w:t>
            </w:r>
            <w:r>
              <w:rPr>
                <w:rStyle w:val="16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 xml:space="preserve">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%)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No</w:t>
            </w: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79.5(76.0-82.6)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4913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79.39(76.56-82.22)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Yes</w:t>
            </w: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5409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20.5(17.4-24.0)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20.61(17.78-23.44)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WC (cm)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83.65(82.04-85.26)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5773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84.58(82.58-86.59)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 (mmol/L)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1.48(1.41-1.55)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1.37(1.25-1.49)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HDL (mmol/L)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1.31(1.26-1.37)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1.30(1.23-1.37)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FPG (mmol/L)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5.52(5.36-5.68)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5.22(4.93-5.50)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SBP (mmHg)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131.03(129.85-132.20)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5864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132.78(128.91-136.64)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DBP (mmHg)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78.08(77.36-78.80)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5826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79.46(77.09-81.82)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BMI (kg/m2)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24.57(24.06-25.09)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5717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24.84(24.08-25.60)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gridSpan w:val="3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CVD family history (n %)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No</w:t>
            </w: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24285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87.2(82.6-90.8)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5403</w:t>
            </w: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88.98(86.31-91.64)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Yes</w:t>
            </w: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4432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12.8(9.2-17.4)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874</w:t>
            </w:r>
          </w:p>
        </w:tc>
        <w:tc>
          <w:tcPr>
            <w:tcW w:w="972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contextualSpacing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11.02(8.36-13.69)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ind w:firstLine="0" w:firstLineChars="0"/>
        <w:rPr>
          <w:rFonts w:ascii="Times New Roman" w:eastAsia="宋体"/>
          <w:sz w:val="22"/>
        </w:rPr>
      </w:pPr>
    </w:p>
    <w:p>
      <w:pPr>
        <w:ind w:firstLine="0" w:firstLineChars="0"/>
        <w:rPr>
          <w:rFonts w:ascii="Times New Roman" w:cs="Times New Roman"/>
          <w:sz w:val="20"/>
          <w:szCs w:val="20"/>
        </w:rPr>
      </w:pPr>
      <w:r>
        <w:rPr>
          <w:rFonts w:hint="eastAsia" w:ascii="Times New Roman" w:eastAsia="宋体"/>
          <w:color w:val="000000"/>
          <w:kern w:val="0"/>
          <w:sz w:val="22"/>
        </w:rPr>
        <w:t xml:space="preserve">Data shown as values(95%CI). </w:t>
      </w:r>
      <w:r>
        <w:rPr>
          <w:rFonts w:ascii="Times New Roman" w:cs="Times New Roman"/>
          <w:sz w:val="20"/>
          <w:szCs w:val="20"/>
        </w:rPr>
        <w:t>All values were weighted to represent the total population of Chinese aged 18 years or older based on Chinese census 2010.</w:t>
      </w:r>
    </w:p>
    <w:p>
      <w:pPr>
        <w:ind w:firstLine="0" w:firstLineChars="0"/>
        <w:rPr>
          <w:rFonts w:ascii="Times New Roman" w:eastAsia="宋体"/>
          <w:sz w:val="20"/>
          <w:szCs w:val="20"/>
        </w:rPr>
      </w:pPr>
      <w:r>
        <w:rPr>
          <w:rFonts w:ascii="Times New Roman" w:eastAsia="宋体" w:cs="Times New Roman"/>
          <w:sz w:val="20"/>
          <w:szCs w:val="20"/>
        </w:rPr>
        <w:t>Abbreviations</w:t>
      </w:r>
      <w:r>
        <w:rPr>
          <w:rFonts w:hint="eastAsia" w:ascii="Times New Roman" w:eastAsia="宋体" w:cs="Times New Roman"/>
          <w:sz w:val="20"/>
          <w:szCs w:val="20"/>
        </w:rPr>
        <w:t xml:space="preserve">: </w:t>
      </w:r>
      <w:r>
        <w:rPr>
          <w:rFonts w:ascii="Times New Roman" w:eastAsia="宋体"/>
          <w:sz w:val="20"/>
          <w:szCs w:val="20"/>
        </w:rPr>
        <w:t>WC, waist circumference; TC, total cholesterol; TG, triglycerides</w:t>
      </w:r>
      <w:r>
        <w:rPr>
          <w:rFonts w:hint="eastAsia" w:ascii="Times New Roman" w:eastAsia="宋体"/>
          <w:sz w:val="20"/>
          <w:szCs w:val="20"/>
        </w:rPr>
        <w:t>;</w:t>
      </w:r>
      <w:r>
        <w:rPr>
          <w:rFonts w:ascii="Times New Roman" w:eastAsia="宋体"/>
          <w:sz w:val="20"/>
          <w:szCs w:val="20"/>
        </w:rPr>
        <w:t xml:space="preserve"> HDL, high-density lipoprotein cholesterol; LDL, low-density lipoprotein cholesterol; SBP, Systolic blood pressure</w:t>
      </w:r>
      <w:r>
        <w:rPr>
          <w:rFonts w:hint="eastAsia" w:ascii="Times New Roman" w:eastAsia="宋体"/>
          <w:sz w:val="20"/>
          <w:szCs w:val="20"/>
        </w:rPr>
        <w:t>;</w:t>
      </w:r>
      <w:r>
        <w:rPr>
          <w:rFonts w:ascii="Times New Roman" w:eastAsia="宋体"/>
          <w:sz w:val="20"/>
          <w:szCs w:val="20"/>
        </w:rPr>
        <w:t xml:space="preserve"> DBP, Diastolic blood pressure</w:t>
      </w:r>
      <w:r>
        <w:rPr>
          <w:rFonts w:hint="eastAsia" w:ascii="Times New Roman" w:eastAsia="宋体"/>
          <w:sz w:val="20"/>
          <w:szCs w:val="20"/>
        </w:rPr>
        <w:t>;</w:t>
      </w:r>
      <w:r>
        <w:rPr>
          <w:rFonts w:ascii="Times New Roman" w:eastAsia="宋体"/>
          <w:sz w:val="20"/>
          <w:szCs w:val="20"/>
        </w:rPr>
        <w:t xml:space="preserve"> FPG, fasting plasma glucose; </w:t>
      </w:r>
      <w:bookmarkStart w:id="0" w:name="OLE_LINK7"/>
      <w:r>
        <w:rPr>
          <w:rFonts w:ascii="Times New Roman" w:eastAsia="宋体"/>
          <w:sz w:val="20"/>
          <w:szCs w:val="20"/>
        </w:rPr>
        <w:t>BMI, body mass index</w:t>
      </w:r>
      <w:bookmarkEnd w:id="0"/>
      <w:r>
        <w:rPr>
          <w:rFonts w:ascii="Times New Roman" w:eastAsia="宋体"/>
          <w:sz w:val="20"/>
          <w:szCs w:val="20"/>
        </w:rPr>
        <w:t xml:space="preserve">; </w:t>
      </w:r>
      <w:bookmarkStart w:id="1" w:name="OLE_LINK8"/>
      <w:r>
        <w:rPr>
          <w:rFonts w:ascii="Times New Roman" w:eastAsia="宋体"/>
          <w:sz w:val="20"/>
          <w:szCs w:val="20"/>
        </w:rPr>
        <w:t>CVD, coronary cardiovascular disease.</w:t>
      </w:r>
    </w:p>
    <w:bookmarkEnd w:id="1"/>
    <w:p>
      <w:pPr>
        <w:ind w:firstLine="480"/>
        <w:rPr>
          <w:rFonts w:ascii="Times New Roman" w:cs="Times New Roman"/>
          <w:sz w:val="24"/>
          <w:szCs w:val="24"/>
        </w:rPr>
      </w:pPr>
    </w:p>
    <w:bookmarkEnd w:id="2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989"/>
    <w:rsid w:val="00056B97"/>
    <w:rsid w:val="001D7152"/>
    <w:rsid w:val="00291D52"/>
    <w:rsid w:val="00437C20"/>
    <w:rsid w:val="004B3D2E"/>
    <w:rsid w:val="004E71C7"/>
    <w:rsid w:val="00727F9A"/>
    <w:rsid w:val="00773C20"/>
    <w:rsid w:val="00940A75"/>
    <w:rsid w:val="00AA0446"/>
    <w:rsid w:val="00C448C4"/>
    <w:rsid w:val="00C75989"/>
    <w:rsid w:val="00CB6147"/>
    <w:rsid w:val="00D93575"/>
    <w:rsid w:val="275764A7"/>
    <w:rsid w:val="334B187E"/>
    <w:rsid w:val="36012D39"/>
    <w:rsid w:val="3ECD614F"/>
    <w:rsid w:val="3F436DFF"/>
    <w:rsid w:val="42314B33"/>
    <w:rsid w:val="49AB6B25"/>
    <w:rsid w:val="53F0526E"/>
    <w:rsid w:val="55481D87"/>
    <w:rsid w:val="5CE43900"/>
    <w:rsid w:val="62D207FF"/>
    <w:rsid w:val="6C2D1BDD"/>
    <w:rsid w:val="71EF2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360" w:lineRule="auto"/>
      <w:ind w:firstLine="200" w:firstLineChars="200"/>
      <w:contextualSpacing/>
      <w:jc w:val="both"/>
    </w:pPr>
    <w:rPr>
      <w:rFonts w:ascii="仿宋_GB2312" w:hAnsi="Times New Roman" w:eastAsia="仿宋_GB2312" w:cstheme="minorBidi"/>
      <w:kern w:val="11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9"/>
    <w:pPr>
      <w:keepNext/>
      <w:keepLines/>
      <w:snapToGrid/>
      <w:spacing w:before="340" w:after="330" w:line="576" w:lineRule="auto"/>
      <w:ind w:firstLine="0" w:firstLineChars="0"/>
      <w:contextualSpacing w:val="0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8">
    <w:name w:val="标题 1 字符"/>
    <w:basedOn w:val="7"/>
    <w:link w:val="2"/>
    <w:qFormat/>
    <w:uiPriority w:val="9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9">
    <w:name w:val="font31"/>
    <w:basedOn w:val="7"/>
    <w:qFormat/>
    <w:uiPriority w:val="0"/>
    <w:rPr>
      <w:rFonts w:hint="default" w:ascii="Times New Roman" w:hAnsi="Times New Roman" w:cs="Times New Roman"/>
      <w:i/>
      <w:iCs/>
      <w:color w:val="000000"/>
      <w:sz w:val="22"/>
      <w:szCs w:val="22"/>
      <w:u w:val="none"/>
    </w:rPr>
  </w:style>
  <w:style w:type="character" w:customStyle="1" w:styleId="10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2">
    <w:name w:val="font51"/>
    <w:basedOn w:val="7"/>
    <w:qFormat/>
    <w:uiPriority w:val="0"/>
    <w:rPr>
      <w:rFonts w:hint="default" w:ascii="Times New Roman" w:hAnsi="Times New Roman" w:cs="Times New Roman"/>
      <w:i/>
      <w:iCs/>
      <w:color w:val="000000"/>
      <w:sz w:val="22"/>
      <w:szCs w:val="22"/>
      <w:u w:val="none"/>
    </w:rPr>
  </w:style>
  <w:style w:type="character" w:customStyle="1" w:styleId="13">
    <w:name w:val="页眉 字符"/>
    <w:basedOn w:val="7"/>
    <w:link w:val="5"/>
    <w:qFormat/>
    <w:uiPriority w:val="99"/>
    <w:rPr>
      <w:rFonts w:ascii="仿宋_GB2312" w:eastAsia="仿宋_GB2312" w:cstheme="minorBidi"/>
      <w:kern w:val="11"/>
      <w:sz w:val="18"/>
      <w:szCs w:val="18"/>
    </w:rPr>
  </w:style>
  <w:style w:type="character" w:customStyle="1" w:styleId="14">
    <w:name w:val="页脚 字符"/>
    <w:basedOn w:val="7"/>
    <w:link w:val="4"/>
    <w:qFormat/>
    <w:uiPriority w:val="99"/>
    <w:rPr>
      <w:rFonts w:ascii="仿宋_GB2312" w:eastAsia="仿宋_GB2312" w:cstheme="minorBidi"/>
      <w:kern w:val="11"/>
      <w:sz w:val="18"/>
      <w:szCs w:val="18"/>
    </w:rPr>
  </w:style>
  <w:style w:type="character" w:customStyle="1" w:styleId="15">
    <w:name w:val="font11"/>
    <w:basedOn w:val="7"/>
    <w:qFormat/>
    <w:uiPriority w:val="0"/>
    <w:rPr>
      <w:rFonts w:hint="default" w:ascii="Times New Roman" w:hAnsi="Times New Roman" w:cs="Times New Roman"/>
      <w:i/>
      <w:iCs/>
      <w:color w:val="000000"/>
      <w:sz w:val="20"/>
      <w:szCs w:val="20"/>
      <w:u w:val="none"/>
    </w:rPr>
  </w:style>
  <w:style w:type="character" w:customStyle="1" w:styleId="16">
    <w:name w:val="font61"/>
    <w:basedOn w:val="7"/>
    <w:qFormat/>
    <w:uiPriority w:val="0"/>
    <w:rPr>
      <w:rFonts w:hint="default" w:ascii="Times New Roman" w:hAnsi="Times New Roman" w:cs="Times New Roman"/>
      <w:i/>
      <w:iCs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311</Words>
  <Characters>1775</Characters>
  <Lines>14</Lines>
  <Paragraphs>4</Paragraphs>
  <TotalTime>0</TotalTime>
  <ScaleCrop>false</ScaleCrop>
  <LinksUpToDate>false</LinksUpToDate>
  <CharactersWithSpaces>2082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2021-11-22T10:42:00Z</dcterms:created>
  <dc:creator>黄 宜林</dc:creator>
  <cp:lastModifiedBy>小夫子</cp:lastModifiedBy>
  <dcterms:modified xsi:type="dcterms:W3CDTF">2022-02-18T09:42:15Z</dcterms:modified>
  <dc:title>Table S2 Characteristics of the subjects included and excluded in the analysis (age ≥ 35 years old) 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25B43E42F8934D7F993BE32F047B594E</vt:lpwstr>
  </property>
</Properties>
</file>