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0A6DF9" w14:textId="77777777" w:rsidR="00F520EA" w:rsidRPr="00551A8E" w:rsidRDefault="005F50F1">
      <w:pPr>
        <w:rPr>
          <w:rFonts w:ascii="Times New Roman" w:hAnsi="Times New Roman" w:cs="Times New Roman"/>
          <w:b/>
          <w:sz w:val="24"/>
        </w:rPr>
      </w:pPr>
      <w:r w:rsidRPr="00551A8E">
        <w:rPr>
          <w:rFonts w:ascii="Times New Roman" w:hAnsi="Times New Roman" w:cs="Times New Roman"/>
          <w:b/>
          <w:sz w:val="24"/>
        </w:rPr>
        <w:t>Supporting information</w:t>
      </w:r>
    </w:p>
    <w:p w14:paraId="3128E9AD" w14:textId="77777777" w:rsidR="00674854" w:rsidRPr="00551A8E" w:rsidRDefault="00674854" w:rsidP="00AB4CEC">
      <w:pPr>
        <w:spacing w:before="120" w:line="480" w:lineRule="auto"/>
        <w:jc w:val="center"/>
        <w:rPr>
          <w:rFonts w:ascii="Times New Roman" w:eastAsia="Times New Roman" w:hAnsi="Times New Roman" w:cs="Times New Roman"/>
          <w:sz w:val="24"/>
          <w:szCs w:val="24"/>
          <w:lang w:eastAsia="en-US"/>
        </w:rPr>
      </w:pPr>
      <w:bookmarkStart w:id="0" w:name="_Hlk54543862"/>
      <w:proofErr w:type="spellStart"/>
      <w:r w:rsidRPr="00551A8E">
        <w:rPr>
          <w:rFonts w:ascii="Times New Roman" w:eastAsia="Times New Roman" w:hAnsi="Times New Roman" w:cs="Times New Roman"/>
          <w:sz w:val="24"/>
          <w:szCs w:val="24"/>
          <w:lang w:eastAsia="en-US"/>
        </w:rPr>
        <w:t>Chemogenomics</w:t>
      </w:r>
      <w:proofErr w:type="spellEnd"/>
      <w:r w:rsidRPr="00551A8E">
        <w:rPr>
          <w:rFonts w:ascii="Times New Roman" w:eastAsia="Times New Roman" w:hAnsi="Times New Roman" w:cs="Times New Roman"/>
          <w:sz w:val="24"/>
          <w:szCs w:val="24"/>
          <w:lang w:eastAsia="en-US"/>
        </w:rPr>
        <w:t xml:space="preserve"> Mapping of Potential Drugs and Targets for Treatment of Multiple Myeloma</w:t>
      </w:r>
    </w:p>
    <w:bookmarkEnd w:id="0"/>
    <w:p w14:paraId="49F39B76" w14:textId="13975F1F" w:rsidR="00AB4CEC" w:rsidRPr="00551A8E" w:rsidRDefault="00674854" w:rsidP="00AB4CEC">
      <w:pPr>
        <w:spacing w:before="120" w:line="480" w:lineRule="auto"/>
        <w:jc w:val="center"/>
        <w:rPr>
          <w:rFonts w:ascii="Times New Roman" w:hAnsi="Times New Roman" w:cs="Times New Roman"/>
          <w:vertAlign w:val="superscript"/>
        </w:rPr>
      </w:pPr>
      <w:r w:rsidRPr="00551A8E">
        <w:rPr>
          <w:rFonts w:ascii="Times New Roman" w:hAnsi="Times New Roman" w:cs="Times New Roman"/>
        </w:rPr>
        <w:t xml:space="preserve"> </w:t>
      </w:r>
      <w:r w:rsidR="00AB4CEC" w:rsidRPr="00551A8E">
        <w:rPr>
          <w:rFonts w:ascii="Times New Roman" w:hAnsi="Times New Roman" w:cs="Times New Roman"/>
        </w:rPr>
        <w:t>Shifan Ma</w:t>
      </w:r>
      <w:r w:rsidR="00AB4CEC" w:rsidRPr="00551A8E">
        <w:rPr>
          <w:rFonts w:ascii="Times New Roman" w:hAnsi="Times New Roman" w:cs="Times New Roman"/>
          <w:vertAlign w:val="superscript"/>
        </w:rPr>
        <w:t>1,2</w:t>
      </w:r>
      <w:r w:rsidR="00086356" w:rsidRPr="00551A8E">
        <w:rPr>
          <w:rFonts w:ascii="Times New Roman" w:hAnsi="Times New Roman" w:cs="Times New Roman"/>
        </w:rPr>
        <w:t xml:space="preserve"> </w:t>
      </w:r>
      <w:r w:rsidR="00AB4CEC" w:rsidRPr="00551A8E">
        <w:rPr>
          <w:rFonts w:ascii="Times New Roman" w:hAnsi="Times New Roman" w:cs="Times New Roman"/>
        </w:rPr>
        <w:t>and</w:t>
      </w:r>
      <w:r w:rsidR="00AB4CEC" w:rsidRPr="00551A8E">
        <w:rPr>
          <w:rFonts w:ascii="Times New Roman" w:hAnsi="Times New Roman" w:cs="Times New Roman"/>
          <w:b/>
        </w:rPr>
        <w:t xml:space="preserve"> </w:t>
      </w:r>
      <w:r w:rsidR="00AB4CEC" w:rsidRPr="00551A8E">
        <w:rPr>
          <w:rFonts w:ascii="Times New Roman" w:hAnsi="Times New Roman" w:cs="Times New Roman"/>
        </w:rPr>
        <w:t>Xiang-</w:t>
      </w:r>
      <w:proofErr w:type="spellStart"/>
      <w:r w:rsidR="00AB4CEC" w:rsidRPr="00551A8E">
        <w:rPr>
          <w:rFonts w:ascii="Times New Roman" w:hAnsi="Times New Roman" w:cs="Times New Roman"/>
        </w:rPr>
        <w:t>Qun</w:t>
      </w:r>
      <w:proofErr w:type="spellEnd"/>
      <w:r w:rsidR="00AB4CEC" w:rsidRPr="00551A8E">
        <w:rPr>
          <w:rFonts w:ascii="Times New Roman" w:hAnsi="Times New Roman" w:cs="Times New Roman"/>
        </w:rPr>
        <w:t xml:space="preserve"> Xie</w:t>
      </w:r>
      <w:r w:rsidR="00AB4CEC" w:rsidRPr="00551A8E" w:rsidDel="00685D38">
        <w:rPr>
          <w:rFonts w:ascii="Times New Roman" w:hAnsi="Times New Roman" w:cs="Times New Roman"/>
        </w:rPr>
        <w:t xml:space="preserve"> </w:t>
      </w:r>
      <w:r w:rsidR="00AB4CEC" w:rsidRPr="00551A8E">
        <w:rPr>
          <w:rFonts w:ascii="Times New Roman" w:hAnsi="Times New Roman" w:cs="Times New Roman"/>
          <w:vertAlign w:val="superscript"/>
        </w:rPr>
        <w:t>1,2,3*</w:t>
      </w:r>
    </w:p>
    <w:p w14:paraId="3DB3202A" w14:textId="77777777" w:rsidR="005F50F1" w:rsidRPr="00551A8E" w:rsidRDefault="005F50F1" w:rsidP="005F50F1">
      <w:pPr>
        <w:spacing w:line="360" w:lineRule="auto"/>
        <w:jc w:val="center"/>
        <w:rPr>
          <w:rFonts w:ascii="Times New Roman" w:hAnsi="Times New Roman" w:cs="Times New Roman"/>
          <w:b/>
          <w:bCs/>
          <w:color w:val="000000" w:themeColor="text1"/>
        </w:rPr>
      </w:pPr>
    </w:p>
    <w:p w14:paraId="1BE5CD44" w14:textId="77777777" w:rsidR="005F50F1" w:rsidRPr="00551A8E" w:rsidRDefault="005F50F1" w:rsidP="005F50F1">
      <w:pPr>
        <w:spacing w:line="360" w:lineRule="auto"/>
        <w:rPr>
          <w:rFonts w:ascii="Times New Roman" w:hAnsi="Times New Roman" w:cs="Times New Roman"/>
          <w:bCs/>
          <w:color w:val="000000" w:themeColor="text1"/>
        </w:rPr>
      </w:pPr>
      <w:r w:rsidRPr="00551A8E">
        <w:rPr>
          <w:rFonts w:ascii="Times New Roman" w:hAnsi="Times New Roman" w:cs="Times New Roman"/>
          <w:vertAlign w:val="superscript"/>
        </w:rPr>
        <w:t>1</w:t>
      </w:r>
      <w:r w:rsidRPr="00551A8E">
        <w:rPr>
          <w:rFonts w:ascii="Times New Roman" w:hAnsi="Times New Roman" w:cs="Times New Roman"/>
        </w:rPr>
        <w:t xml:space="preserve">Department of Pharmaceutical Sciences and Computational Chemical Genomics Screening Center, School of Pharmacy; </w:t>
      </w:r>
      <w:r w:rsidRPr="00551A8E">
        <w:rPr>
          <w:rFonts w:ascii="Times New Roman" w:hAnsi="Times New Roman" w:cs="Times New Roman"/>
          <w:vertAlign w:val="superscript"/>
        </w:rPr>
        <w:t>2</w:t>
      </w:r>
      <w:r w:rsidRPr="00551A8E">
        <w:rPr>
          <w:rFonts w:ascii="Times New Roman" w:hAnsi="Times New Roman" w:cs="Times New Roman"/>
        </w:rPr>
        <w:t>NIDA</w:t>
      </w:r>
      <w:r w:rsidRPr="00551A8E">
        <w:rPr>
          <w:rFonts w:ascii="Times New Roman" w:hAnsi="Times New Roman" w:cs="Times New Roman"/>
          <w:vertAlign w:val="superscript"/>
        </w:rPr>
        <w:t xml:space="preserve"> </w:t>
      </w:r>
      <w:r w:rsidRPr="00551A8E">
        <w:rPr>
          <w:rFonts w:ascii="Times New Roman" w:hAnsi="Times New Roman" w:cs="Times New Roman"/>
        </w:rPr>
        <w:t>National Center of Excellence for C</w:t>
      </w:r>
      <w:r w:rsidRPr="00551A8E">
        <w:rPr>
          <w:rFonts w:ascii="Times New Roman" w:hAnsi="Times New Roman" w:cs="Times New Roman"/>
          <w:color w:val="000000"/>
          <w:shd w:val="clear" w:color="auto" w:fill="FFFFFF"/>
        </w:rPr>
        <w:t>omputational Drug Abuse Research</w:t>
      </w:r>
      <w:r w:rsidRPr="00551A8E">
        <w:rPr>
          <w:rFonts w:ascii="Times New Roman" w:hAnsi="Times New Roman" w:cs="Times New Roman"/>
        </w:rPr>
        <w:t xml:space="preserve">; </w:t>
      </w:r>
      <w:r w:rsidRPr="00551A8E">
        <w:rPr>
          <w:rFonts w:ascii="Times New Roman" w:hAnsi="Times New Roman" w:cs="Times New Roman"/>
          <w:vertAlign w:val="superscript"/>
        </w:rPr>
        <w:t>3</w:t>
      </w:r>
      <w:r w:rsidRPr="00551A8E">
        <w:rPr>
          <w:rFonts w:ascii="Times New Roman" w:hAnsi="Times New Roman" w:cs="Times New Roman"/>
        </w:rPr>
        <w:t>Drug Discovery Institute;</w:t>
      </w:r>
      <w:r w:rsidRPr="00551A8E">
        <w:rPr>
          <w:rFonts w:ascii="Times New Roman" w:hAnsi="Times New Roman" w:cs="Times New Roman"/>
          <w:vertAlign w:val="superscript"/>
        </w:rPr>
        <w:t xml:space="preserve"> 4</w:t>
      </w:r>
      <w:r w:rsidRPr="00551A8E">
        <w:rPr>
          <w:rFonts w:ascii="Times New Roman" w:hAnsi="Times New Roman" w:cs="Times New Roman"/>
        </w:rPr>
        <w:t xml:space="preserve">Departments </w:t>
      </w:r>
      <w:r w:rsidRPr="00551A8E">
        <w:rPr>
          <w:rFonts w:ascii="Times New Roman" w:hAnsi="Times New Roman" w:cs="Times New Roman"/>
          <w:color w:val="000000"/>
          <w:shd w:val="clear" w:color="auto" w:fill="FFFFFF"/>
        </w:rPr>
        <w:t>of Computational Biology and</w:t>
      </w:r>
      <w:r w:rsidRPr="00551A8E">
        <w:rPr>
          <w:rFonts w:ascii="Times New Roman" w:hAnsi="Times New Roman" w:cs="Times New Roman"/>
        </w:rPr>
        <w:t xml:space="preserve"> of Structural Biology, University of Pittsburgh, Pittsburgh, Pennsylvania 15261.</w:t>
      </w:r>
    </w:p>
    <w:p w14:paraId="5A0073A8" w14:textId="77777777" w:rsidR="005F50F1" w:rsidRPr="00551A8E" w:rsidRDefault="005F50F1" w:rsidP="005F50F1">
      <w:pPr>
        <w:spacing w:line="360" w:lineRule="auto"/>
        <w:rPr>
          <w:rFonts w:ascii="Times New Roman" w:hAnsi="Times New Roman" w:cs="Times New Roman"/>
          <w:bCs/>
          <w:color w:val="000000" w:themeColor="text1"/>
        </w:rPr>
      </w:pPr>
    </w:p>
    <w:p w14:paraId="5E61D895" w14:textId="77777777" w:rsidR="005F50F1" w:rsidRPr="00551A8E" w:rsidRDefault="005F50F1" w:rsidP="005F50F1">
      <w:pPr>
        <w:spacing w:line="360" w:lineRule="auto"/>
        <w:ind w:left="450" w:hanging="450"/>
        <w:rPr>
          <w:rFonts w:ascii="Times New Roman" w:hAnsi="Times New Roman" w:cs="Times New Roman"/>
          <w:b/>
        </w:rPr>
      </w:pPr>
    </w:p>
    <w:p w14:paraId="6ABEC330" w14:textId="77777777" w:rsidR="005F50F1" w:rsidRPr="00551A8E" w:rsidRDefault="005F50F1" w:rsidP="005F50F1">
      <w:pPr>
        <w:spacing w:line="360" w:lineRule="auto"/>
        <w:ind w:left="450" w:hanging="450"/>
        <w:rPr>
          <w:rFonts w:ascii="Times New Roman" w:hAnsi="Times New Roman" w:cs="Times New Roman"/>
          <w:b/>
        </w:rPr>
      </w:pPr>
    </w:p>
    <w:p w14:paraId="3352FA54" w14:textId="77777777" w:rsidR="005F50F1" w:rsidRPr="00551A8E" w:rsidRDefault="005F50F1" w:rsidP="005F50F1">
      <w:pPr>
        <w:spacing w:line="360" w:lineRule="auto"/>
        <w:ind w:left="450" w:hanging="450"/>
        <w:rPr>
          <w:rFonts w:ascii="Times New Roman" w:hAnsi="Times New Roman" w:cs="Times New Roman"/>
          <w:b/>
        </w:rPr>
      </w:pPr>
    </w:p>
    <w:p w14:paraId="115A45F4" w14:textId="77777777" w:rsidR="005F50F1" w:rsidRPr="00551A8E" w:rsidRDefault="005F50F1" w:rsidP="005F50F1">
      <w:pPr>
        <w:spacing w:line="360" w:lineRule="auto"/>
        <w:ind w:left="450" w:hanging="450"/>
        <w:rPr>
          <w:rFonts w:ascii="Times New Roman" w:hAnsi="Times New Roman" w:cs="Times New Roman"/>
          <w:b/>
        </w:rPr>
      </w:pPr>
    </w:p>
    <w:p w14:paraId="4F3A6886" w14:textId="77777777" w:rsidR="005F50F1" w:rsidRPr="00551A8E" w:rsidRDefault="005F50F1" w:rsidP="005F50F1">
      <w:pPr>
        <w:spacing w:line="360" w:lineRule="auto"/>
        <w:ind w:left="450" w:hanging="450"/>
        <w:rPr>
          <w:rFonts w:ascii="Times New Roman" w:eastAsia="Times New Roman" w:hAnsi="Times New Roman" w:cs="Times New Roman"/>
          <w:color w:val="000000"/>
        </w:rPr>
      </w:pPr>
      <w:r w:rsidRPr="00551A8E">
        <w:rPr>
          <w:rFonts w:ascii="Times New Roman" w:hAnsi="Times New Roman" w:cs="Times New Roman"/>
          <w:b/>
        </w:rPr>
        <w:t xml:space="preserve">*Corresponding Author: </w:t>
      </w:r>
      <w:r w:rsidRPr="00551A8E">
        <w:rPr>
          <w:rFonts w:ascii="Times New Roman" w:eastAsia="Times New Roman" w:hAnsi="Times New Roman" w:cs="Times New Roman"/>
          <w:b/>
          <w:bCs/>
          <w:color w:val="000000"/>
        </w:rPr>
        <w:t>Xiang-</w:t>
      </w:r>
      <w:proofErr w:type="spellStart"/>
      <w:r w:rsidRPr="00551A8E">
        <w:rPr>
          <w:rFonts w:ascii="Times New Roman" w:eastAsia="Times New Roman" w:hAnsi="Times New Roman" w:cs="Times New Roman"/>
          <w:b/>
          <w:bCs/>
          <w:color w:val="000000"/>
        </w:rPr>
        <w:t>Qun</w:t>
      </w:r>
      <w:proofErr w:type="spellEnd"/>
      <w:r w:rsidRPr="00551A8E">
        <w:rPr>
          <w:rFonts w:ascii="Times New Roman" w:eastAsia="Times New Roman" w:hAnsi="Times New Roman" w:cs="Times New Roman"/>
          <w:b/>
          <w:bCs/>
          <w:color w:val="000000"/>
        </w:rPr>
        <w:t xml:space="preserve"> Xie, MBA, Ph.D.</w:t>
      </w:r>
      <w:r w:rsidRPr="00551A8E">
        <w:rPr>
          <w:rFonts w:ascii="Times New Roman" w:eastAsia="Times New Roman" w:hAnsi="Times New Roman" w:cs="Times New Roman"/>
          <w:color w:val="000000"/>
        </w:rPr>
        <w:t xml:space="preserve"> </w:t>
      </w:r>
    </w:p>
    <w:p w14:paraId="0EC8B014" w14:textId="77777777" w:rsidR="005F50F1" w:rsidRPr="00551A8E" w:rsidRDefault="005F50F1" w:rsidP="005F50F1">
      <w:pPr>
        <w:spacing w:line="360" w:lineRule="auto"/>
        <w:ind w:left="450" w:hanging="450"/>
        <w:rPr>
          <w:rFonts w:ascii="Times New Roman" w:eastAsia="Times New Roman" w:hAnsi="Times New Roman" w:cs="Times New Roman"/>
        </w:rPr>
      </w:pPr>
      <w:r w:rsidRPr="00551A8E">
        <w:rPr>
          <w:rFonts w:ascii="Times New Roman" w:eastAsia="Times New Roman" w:hAnsi="Times New Roman" w:cs="Times New Roman"/>
        </w:rPr>
        <w:t>Professor of Pharmaceutical Sciences/Drug Discovery Institute</w:t>
      </w:r>
    </w:p>
    <w:p w14:paraId="4417A91C" w14:textId="77777777" w:rsidR="005F50F1" w:rsidRPr="00551A8E" w:rsidRDefault="005F50F1" w:rsidP="005F50F1">
      <w:pPr>
        <w:spacing w:line="360" w:lineRule="auto"/>
        <w:ind w:left="450" w:hanging="450"/>
        <w:rPr>
          <w:rFonts w:ascii="Times New Roman" w:eastAsia="Times New Roman" w:hAnsi="Times New Roman" w:cs="Times New Roman"/>
        </w:rPr>
      </w:pPr>
      <w:r w:rsidRPr="00551A8E">
        <w:rPr>
          <w:rFonts w:ascii="Times New Roman" w:eastAsia="Times New Roman" w:hAnsi="Times New Roman" w:cs="Times New Roman"/>
        </w:rPr>
        <w:t>Director of CCGS and NIDA CDAR Centers</w:t>
      </w:r>
    </w:p>
    <w:p w14:paraId="5ABF79B4" w14:textId="77777777" w:rsidR="005F50F1" w:rsidRPr="00551A8E" w:rsidRDefault="005F50F1" w:rsidP="005F50F1">
      <w:pPr>
        <w:spacing w:line="360" w:lineRule="auto"/>
        <w:ind w:left="450" w:hanging="450"/>
        <w:rPr>
          <w:rFonts w:ascii="Times New Roman" w:eastAsia="Times New Roman" w:hAnsi="Times New Roman" w:cs="Times New Roman"/>
          <w:color w:val="000000"/>
        </w:rPr>
      </w:pPr>
      <w:r w:rsidRPr="00551A8E">
        <w:rPr>
          <w:rFonts w:ascii="Times New Roman" w:eastAsia="Times New Roman" w:hAnsi="Times New Roman" w:cs="Times New Roman"/>
          <w:color w:val="000000"/>
        </w:rPr>
        <w:t>335 Sutherland Dr., 206 Salk Hall Pavilion</w:t>
      </w:r>
    </w:p>
    <w:p w14:paraId="7EACC2C2" w14:textId="77777777" w:rsidR="005F50F1" w:rsidRPr="00551A8E" w:rsidRDefault="005F50F1" w:rsidP="005F50F1">
      <w:pPr>
        <w:spacing w:line="360" w:lineRule="auto"/>
        <w:ind w:left="450" w:hanging="450"/>
        <w:rPr>
          <w:rFonts w:ascii="Times New Roman" w:eastAsia="Times New Roman" w:hAnsi="Times New Roman" w:cs="Times New Roman"/>
        </w:rPr>
      </w:pPr>
      <w:r w:rsidRPr="00551A8E">
        <w:rPr>
          <w:rFonts w:ascii="Times New Roman" w:eastAsia="Times New Roman" w:hAnsi="Times New Roman" w:cs="Times New Roman"/>
        </w:rPr>
        <w:t>University of Pittsburgh</w:t>
      </w:r>
    </w:p>
    <w:p w14:paraId="44B87A8C" w14:textId="77777777" w:rsidR="005F50F1" w:rsidRPr="00551A8E" w:rsidRDefault="005F50F1" w:rsidP="005F50F1">
      <w:pPr>
        <w:spacing w:line="360" w:lineRule="auto"/>
        <w:ind w:left="450" w:hanging="450"/>
        <w:rPr>
          <w:rFonts w:ascii="Times New Roman" w:eastAsia="Times New Roman" w:hAnsi="Times New Roman" w:cs="Times New Roman"/>
        </w:rPr>
      </w:pPr>
      <w:r w:rsidRPr="00551A8E">
        <w:rPr>
          <w:rFonts w:ascii="Times New Roman" w:eastAsia="Times New Roman" w:hAnsi="Times New Roman" w:cs="Times New Roman"/>
        </w:rPr>
        <w:t>Pittsburgh, PA 15261, USA</w:t>
      </w:r>
    </w:p>
    <w:p w14:paraId="74422040" w14:textId="77777777" w:rsidR="005F50F1" w:rsidRPr="00551A8E" w:rsidRDefault="005F50F1" w:rsidP="005F50F1">
      <w:pPr>
        <w:spacing w:line="360" w:lineRule="auto"/>
        <w:ind w:left="450" w:hanging="450"/>
        <w:rPr>
          <w:rFonts w:ascii="Times New Roman" w:eastAsia="SimSun" w:hAnsi="Times New Roman" w:cs="Times New Roman"/>
        </w:rPr>
      </w:pPr>
      <w:r w:rsidRPr="00551A8E">
        <w:rPr>
          <w:rFonts w:ascii="Times New Roman" w:eastAsia="Times New Roman" w:hAnsi="Times New Roman" w:cs="Times New Roman"/>
        </w:rPr>
        <w:t>412-383-5276 (Phone)</w:t>
      </w:r>
    </w:p>
    <w:p w14:paraId="27DC3DD3" w14:textId="77777777" w:rsidR="005F50F1" w:rsidRPr="00551A8E" w:rsidRDefault="005F50F1" w:rsidP="005F50F1">
      <w:pPr>
        <w:spacing w:line="360" w:lineRule="auto"/>
        <w:ind w:left="450" w:hanging="450"/>
        <w:rPr>
          <w:rFonts w:ascii="Times New Roman" w:eastAsia="Times New Roman" w:hAnsi="Times New Roman" w:cs="Times New Roman"/>
        </w:rPr>
      </w:pPr>
      <w:r w:rsidRPr="00551A8E">
        <w:rPr>
          <w:rFonts w:ascii="Times New Roman" w:eastAsia="Times New Roman" w:hAnsi="Times New Roman" w:cs="Times New Roman"/>
        </w:rPr>
        <w:t>412-383-7436 (Fax)</w:t>
      </w:r>
    </w:p>
    <w:p w14:paraId="473C83D2" w14:textId="77777777" w:rsidR="005F50F1" w:rsidRPr="00551A8E" w:rsidRDefault="005F50F1" w:rsidP="005F50F1">
      <w:pPr>
        <w:spacing w:line="360" w:lineRule="auto"/>
        <w:ind w:left="450" w:hanging="450"/>
        <w:rPr>
          <w:rFonts w:ascii="Times New Roman" w:eastAsia="Times New Roman" w:hAnsi="Times New Roman" w:cs="Times New Roman"/>
          <w:color w:val="000000"/>
        </w:rPr>
      </w:pPr>
      <w:r w:rsidRPr="00551A8E">
        <w:rPr>
          <w:rFonts w:ascii="Times New Roman" w:eastAsia="Times New Roman" w:hAnsi="Times New Roman" w:cs="Times New Roman"/>
        </w:rPr>
        <w:t>Email: xix15@pitt.edu</w:t>
      </w:r>
    </w:p>
    <w:p w14:paraId="7799E3A8" w14:textId="77777777" w:rsidR="00E7013B" w:rsidRPr="00551A8E" w:rsidRDefault="00E7013B" w:rsidP="00E7013B">
      <w:pPr>
        <w:rPr>
          <w:rFonts w:ascii="Times New Roman" w:hAnsi="Times New Roman" w:cs="Times New Roman"/>
        </w:rPr>
      </w:pPr>
    </w:p>
    <w:p w14:paraId="7C3F27BE" w14:textId="77777777" w:rsidR="00C977E6" w:rsidRPr="00551A8E" w:rsidRDefault="00C977E6" w:rsidP="00C977E6">
      <w:pPr>
        <w:pStyle w:val="PHS398CharCharCharCharCharCharChar"/>
        <w:tabs>
          <w:tab w:val="left" w:pos="0"/>
        </w:tabs>
        <w:spacing w:before="120" w:beforeAutospacing="0" w:after="0" w:afterAutospacing="0" w:line="480" w:lineRule="auto"/>
        <w:rPr>
          <w:rFonts w:ascii="Times New Roman" w:hAnsi="Times New Roman"/>
          <w:b/>
          <w:sz w:val="22"/>
          <w:lang w:eastAsia="zh-CN"/>
        </w:rPr>
      </w:pPr>
      <w:r w:rsidRPr="00551A8E">
        <w:rPr>
          <w:rFonts w:ascii="Times New Roman" w:hAnsi="Times New Roman"/>
          <w:b/>
          <w:sz w:val="22"/>
          <w:lang w:eastAsia="zh-CN"/>
        </w:rPr>
        <w:lastRenderedPageBreak/>
        <w:t>Material and Methods</w:t>
      </w:r>
    </w:p>
    <w:p w14:paraId="4493CFD1" w14:textId="77777777" w:rsidR="003814FD" w:rsidRPr="00551A8E" w:rsidRDefault="003814FD" w:rsidP="003814FD">
      <w:pPr>
        <w:spacing w:before="120" w:line="480" w:lineRule="auto"/>
        <w:outlineLvl w:val="0"/>
        <w:rPr>
          <w:rFonts w:ascii="Times New Roman" w:hAnsi="Times New Roman" w:cs="Times New Roman"/>
          <w:b/>
        </w:rPr>
      </w:pPr>
      <w:bookmarkStart w:id="1" w:name="_Hlk53524609"/>
      <w:r w:rsidRPr="00551A8E">
        <w:rPr>
          <w:rFonts w:ascii="Times New Roman" w:hAnsi="Times New Roman" w:cs="Times New Roman"/>
          <w:b/>
        </w:rPr>
        <w:t>Methods and Materials</w:t>
      </w:r>
    </w:p>
    <w:p w14:paraId="75986BF3" w14:textId="77777777" w:rsidR="003814FD" w:rsidRPr="00551A8E" w:rsidRDefault="003814FD" w:rsidP="003814FD">
      <w:pPr>
        <w:pStyle w:val="ListParagraph"/>
        <w:autoSpaceDE w:val="0"/>
        <w:autoSpaceDN w:val="0"/>
        <w:adjustRightInd w:val="0"/>
        <w:spacing w:before="120" w:after="120" w:line="480" w:lineRule="auto"/>
        <w:ind w:left="0"/>
        <w:jc w:val="both"/>
        <w:outlineLvl w:val="0"/>
        <w:rPr>
          <w:sz w:val="22"/>
          <w:szCs w:val="22"/>
          <w:lang w:eastAsia="zh-CN"/>
        </w:rPr>
      </w:pPr>
      <w:r w:rsidRPr="00551A8E">
        <w:rPr>
          <w:b/>
          <w:sz w:val="22"/>
          <w:szCs w:val="22"/>
          <w:lang w:eastAsia="zh-CN"/>
        </w:rPr>
        <w:t>Drugs and chemicals</w:t>
      </w:r>
      <w:r w:rsidRPr="00551A8E">
        <w:rPr>
          <w:sz w:val="22"/>
          <w:szCs w:val="22"/>
          <w:lang w:eastAsia="zh-CN"/>
        </w:rPr>
        <w:t xml:space="preserve"> </w:t>
      </w:r>
    </w:p>
    <w:p w14:paraId="7372401C" w14:textId="77777777" w:rsidR="003814FD" w:rsidRPr="00551A8E" w:rsidRDefault="003814FD" w:rsidP="003814FD">
      <w:pPr>
        <w:pStyle w:val="ListParagraph"/>
        <w:autoSpaceDE w:val="0"/>
        <w:autoSpaceDN w:val="0"/>
        <w:adjustRightInd w:val="0"/>
        <w:spacing w:before="120" w:after="120" w:line="480" w:lineRule="auto"/>
        <w:ind w:left="0"/>
        <w:jc w:val="both"/>
        <w:rPr>
          <w:sz w:val="22"/>
          <w:szCs w:val="22"/>
          <w:lang w:eastAsia="zh-CN"/>
        </w:rPr>
      </w:pPr>
      <w:r w:rsidRPr="00551A8E">
        <w:rPr>
          <w:sz w:val="22"/>
          <w:szCs w:val="22"/>
          <w:lang w:eastAsia="zh-CN"/>
        </w:rPr>
        <w:t>We collected MM drugs from clinicaltrial.gov (</w:t>
      </w:r>
      <w:hyperlink r:id="rId6" w:history="1">
        <w:r w:rsidRPr="00551A8E">
          <w:rPr>
            <w:rStyle w:val="Hyperlink"/>
            <w:sz w:val="22"/>
            <w:szCs w:val="22"/>
            <w:lang w:eastAsia="zh-CN"/>
          </w:rPr>
          <w:t>https://clinicaltrials.gov/</w:t>
        </w:r>
      </w:hyperlink>
      <w:r w:rsidRPr="00551A8E">
        <w:rPr>
          <w:sz w:val="22"/>
          <w:szCs w:val="22"/>
          <w:lang w:eastAsia="zh-CN"/>
        </w:rPr>
        <w:t xml:space="preserve">) and </w:t>
      </w:r>
      <w:proofErr w:type="spellStart"/>
      <w:r w:rsidRPr="00551A8E">
        <w:rPr>
          <w:sz w:val="22"/>
          <w:szCs w:val="22"/>
          <w:lang w:eastAsia="zh-CN"/>
        </w:rPr>
        <w:t>MetaCore</w:t>
      </w:r>
      <w:proofErr w:type="spellEnd"/>
      <w:r w:rsidRPr="00551A8E">
        <w:rPr>
          <w:sz w:val="22"/>
          <w:szCs w:val="22"/>
          <w:lang w:eastAsia="zh-CN"/>
        </w:rPr>
        <w:t xml:space="preserve"> (</w:t>
      </w:r>
      <w:hyperlink r:id="rId7" w:history="1">
        <w:r w:rsidRPr="00551A8E">
          <w:rPr>
            <w:rStyle w:val="Hyperlink"/>
            <w:sz w:val="22"/>
            <w:szCs w:val="22"/>
            <w:lang w:eastAsia="zh-CN"/>
          </w:rPr>
          <w:t>https://portal.genego.com/</w:t>
        </w:r>
      </w:hyperlink>
      <w:r w:rsidRPr="00551A8E">
        <w:rPr>
          <w:sz w:val="22"/>
          <w:szCs w:val="22"/>
          <w:lang w:eastAsia="zh-CN"/>
        </w:rPr>
        <w:t xml:space="preserve">) with “multiple myeloma” as the keyword, and the corresponding drug target information from </w:t>
      </w:r>
      <w:proofErr w:type="spellStart"/>
      <w:r w:rsidRPr="00551A8E">
        <w:rPr>
          <w:sz w:val="22"/>
          <w:szCs w:val="22"/>
          <w:lang w:eastAsia="zh-CN"/>
        </w:rPr>
        <w:t>DrugBank</w:t>
      </w:r>
      <w:proofErr w:type="spellEnd"/>
      <w:r w:rsidRPr="00551A8E">
        <w:rPr>
          <w:sz w:val="22"/>
          <w:szCs w:val="22"/>
          <w:lang w:eastAsia="zh-CN"/>
        </w:rPr>
        <w:t xml:space="preserve"> and CHEMBL database. </w:t>
      </w:r>
    </w:p>
    <w:p w14:paraId="011275AD" w14:textId="77777777" w:rsidR="003814FD" w:rsidRPr="00551A8E" w:rsidRDefault="003814FD" w:rsidP="003814FD">
      <w:pPr>
        <w:pStyle w:val="ListParagraph"/>
        <w:autoSpaceDE w:val="0"/>
        <w:autoSpaceDN w:val="0"/>
        <w:adjustRightInd w:val="0"/>
        <w:spacing w:before="120" w:after="120" w:line="480" w:lineRule="auto"/>
        <w:ind w:left="0"/>
        <w:jc w:val="both"/>
        <w:rPr>
          <w:sz w:val="22"/>
          <w:szCs w:val="22"/>
          <w:lang w:eastAsia="zh-CN"/>
        </w:rPr>
      </w:pPr>
      <w:r w:rsidRPr="00551A8E">
        <w:rPr>
          <w:b/>
          <w:sz w:val="22"/>
          <w:szCs w:val="22"/>
          <w:lang w:eastAsia="zh-CN"/>
        </w:rPr>
        <w:t>Differentially expressed genes (DEGs) induced by MM, chemical and genetic perturbations</w:t>
      </w:r>
      <w:r w:rsidRPr="00551A8E">
        <w:rPr>
          <w:sz w:val="22"/>
          <w:szCs w:val="22"/>
          <w:lang w:eastAsia="zh-CN"/>
        </w:rPr>
        <w:t xml:space="preserve"> We collected the MM DEGs from commercial software Illumina </w:t>
      </w:r>
      <w:proofErr w:type="spellStart"/>
      <w:r w:rsidRPr="00551A8E">
        <w:rPr>
          <w:sz w:val="22"/>
          <w:szCs w:val="22"/>
          <w:lang w:eastAsia="zh-CN"/>
        </w:rPr>
        <w:t>BaseSpace</w:t>
      </w:r>
      <w:proofErr w:type="spellEnd"/>
      <w:r w:rsidRPr="00551A8E">
        <w:rPr>
          <w:sz w:val="22"/>
          <w:szCs w:val="22"/>
          <w:lang w:eastAsia="zh-CN"/>
        </w:rPr>
        <w:t xml:space="preserve"> </w:t>
      </w:r>
      <w:r w:rsidRPr="00551A8E">
        <w:rPr>
          <w:bCs/>
          <w:sz w:val="22"/>
          <w:szCs w:val="22"/>
          <w:lang w:eastAsia="zh-CN"/>
        </w:rPr>
        <w:t xml:space="preserve">(former </w:t>
      </w:r>
      <w:proofErr w:type="spellStart"/>
      <w:r w:rsidRPr="00551A8E">
        <w:rPr>
          <w:bCs/>
          <w:sz w:val="22"/>
          <w:szCs w:val="22"/>
          <w:lang w:eastAsia="zh-CN"/>
        </w:rPr>
        <w:t>Nextbio</w:t>
      </w:r>
      <w:proofErr w:type="spellEnd"/>
      <w:r w:rsidRPr="00551A8E">
        <w:rPr>
          <w:bCs/>
          <w:sz w:val="22"/>
          <w:szCs w:val="22"/>
          <w:lang w:eastAsia="zh-CN"/>
        </w:rPr>
        <w:t xml:space="preserve">™) software (Santa Clara, CA, USA, </w:t>
      </w:r>
      <w:hyperlink r:id="rId8" w:history="1">
        <w:r w:rsidRPr="00551A8E">
          <w:rPr>
            <w:rStyle w:val="Hyperlink"/>
            <w:bCs/>
            <w:sz w:val="22"/>
            <w:szCs w:val="22"/>
            <w:lang w:eastAsia="zh-CN"/>
          </w:rPr>
          <w:t>http://www.nextbio.com</w:t>
        </w:r>
      </w:hyperlink>
      <w:r w:rsidRPr="00551A8E">
        <w:rPr>
          <w:bCs/>
          <w:sz w:val="22"/>
          <w:szCs w:val="22"/>
          <w:lang w:eastAsia="zh-CN"/>
        </w:rPr>
        <w:t xml:space="preserve">) by a key word search with “multiple </w:t>
      </w:r>
      <w:proofErr w:type="gramStart"/>
      <w:r w:rsidRPr="00551A8E">
        <w:rPr>
          <w:bCs/>
          <w:sz w:val="22"/>
          <w:szCs w:val="22"/>
          <w:lang w:eastAsia="zh-CN"/>
        </w:rPr>
        <w:t>myeloma”(</w:t>
      </w:r>
      <w:proofErr w:type="gramEnd"/>
      <w:r w:rsidRPr="00551A8E">
        <w:rPr>
          <w:bCs/>
          <w:sz w:val="22"/>
          <w:szCs w:val="22"/>
          <w:lang w:eastAsia="zh-CN"/>
        </w:rPr>
        <w:t>phenotype), and refined by an advanced search with experiment design “disease vs. normal,” organisms “homo sapiens,” and Data types “RNA expression.”</w:t>
      </w:r>
      <w:r w:rsidRPr="00551A8E">
        <w:rPr>
          <w:sz w:val="22"/>
          <w:szCs w:val="22"/>
          <w:lang w:eastAsia="zh-CN"/>
        </w:rPr>
        <w:t xml:space="preserve"> The gene expression data in </w:t>
      </w:r>
      <w:proofErr w:type="spellStart"/>
      <w:r w:rsidRPr="00551A8E">
        <w:rPr>
          <w:sz w:val="22"/>
          <w:szCs w:val="22"/>
          <w:lang w:eastAsia="zh-CN"/>
        </w:rPr>
        <w:t>BaseSpace</w:t>
      </w:r>
      <w:proofErr w:type="spellEnd"/>
      <w:r w:rsidRPr="00551A8E">
        <w:rPr>
          <w:sz w:val="22"/>
          <w:szCs w:val="22"/>
          <w:lang w:eastAsia="zh-CN"/>
        </w:rPr>
        <w:t xml:space="preserve"> are mainly from the GEO database (</w:t>
      </w:r>
      <w:hyperlink r:id="rId9" w:history="1">
        <w:r w:rsidRPr="00551A8E">
          <w:rPr>
            <w:rStyle w:val="Hyperlink"/>
            <w:sz w:val="22"/>
            <w:szCs w:val="22"/>
            <w:lang w:eastAsia="zh-CN"/>
          </w:rPr>
          <w:t>http://www.ncbi.nlm.nih.gov/geo/</w:t>
        </w:r>
      </w:hyperlink>
      <w:r w:rsidRPr="00551A8E">
        <w:rPr>
          <w:sz w:val="22"/>
          <w:szCs w:val="22"/>
          <w:lang w:eastAsia="zh-CN"/>
        </w:rPr>
        <w:t xml:space="preserve">). In </w:t>
      </w:r>
      <w:proofErr w:type="spellStart"/>
      <w:r w:rsidRPr="00551A8E">
        <w:rPr>
          <w:sz w:val="22"/>
          <w:szCs w:val="22"/>
          <w:lang w:eastAsia="zh-CN"/>
        </w:rPr>
        <w:t>BaseSpace</w:t>
      </w:r>
      <w:proofErr w:type="spellEnd"/>
      <w:r w:rsidRPr="00551A8E">
        <w:rPr>
          <w:sz w:val="22"/>
          <w:szCs w:val="22"/>
          <w:lang w:eastAsia="zh-CN"/>
        </w:rPr>
        <w:t>, only genes with the P values &lt;0.05 and absolute fold changes &gt;1.2 are considered as DEGs</w:t>
      </w:r>
      <w:r w:rsidRPr="00551A8E">
        <w:rPr>
          <w:bCs/>
          <w:sz w:val="22"/>
          <w:szCs w:val="22"/>
        </w:rPr>
        <w:t>.</w:t>
      </w:r>
    </w:p>
    <w:p w14:paraId="3C3918EF" w14:textId="77777777" w:rsidR="003814FD" w:rsidRPr="00551A8E" w:rsidRDefault="003814FD" w:rsidP="003814FD">
      <w:pPr>
        <w:spacing w:before="120" w:line="480" w:lineRule="auto"/>
        <w:outlineLvl w:val="0"/>
        <w:rPr>
          <w:rFonts w:ascii="Times New Roman" w:hAnsi="Times New Roman" w:cs="Times New Roman"/>
          <w:b/>
        </w:rPr>
      </w:pPr>
      <w:r w:rsidRPr="00551A8E">
        <w:rPr>
          <w:rFonts w:ascii="Times New Roman" w:hAnsi="Times New Roman" w:cs="Times New Roman"/>
          <w:b/>
        </w:rPr>
        <w:t>MM datasets</w:t>
      </w:r>
    </w:p>
    <w:p w14:paraId="757E4D4F" w14:textId="54F65468" w:rsidR="003814FD" w:rsidRPr="00551A8E" w:rsidRDefault="003814FD" w:rsidP="003814FD">
      <w:pPr>
        <w:autoSpaceDE w:val="0"/>
        <w:autoSpaceDN w:val="0"/>
        <w:adjustRightInd w:val="0"/>
        <w:spacing w:before="120" w:after="120" w:line="480" w:lineRule="auto"/>
        <w:jc w:val="both"/>
        <w:rPr>
          <w:rFonts w:ascii="Times New Roman" w:hAnsi="Times New Roman" w:cs="Times New Roman"/>
          <w:b/>
        </w:rPr>
      </w:pPr>
      <w:r w:rsidRPr="00551A8E">
        <w:rPr>
          <w:rFonts w:ascii="Times New Roman" w:hAnsi="Times New Roman" w:cs="Times New Roman"/>
        </w:rPr>
        <w:t xml:space="preserve">The full list of 30 qualified MM gene expression datasets in </w:t>
      </w:r>
      <w:proofErr w:type="spellStart"/>
      <w:r w:rsidRPr="00551A8E">
        <w:rPr>
          <w:rFonts w:ascii="Times New Roman" w:hAnsi="Times New Roman" w:cs="Times New Roman"/>
        </w:rPr>
        <w:t>BaseSpace</w:t>
      </w:r>
      <w:proofErr w:type="spellEnd"/>
      <w:r w:rsidRPr="00551A8E">
        <w:rPr>
          <w:rFonts w:ascii="Times New Roman" w:hAnsi="Times New Roman" w:cs="Times New Roman"/>
        </w:rPr>
        <w:t xml:space="preserve"> that were used in this study are shown in </w:t>
      </w:r>
      <w:r w:rsidR="007B667A" w:rsidRPr="00551A8E">
        <w:rPr>
          <w:rFonts w:ascii="Times New Roman" w:hAnsi="Times New Roman" w:cs="Times New Roman"/>
          <w:b/>
          <w:bCs/>
        </w:rPr>
        <w:t>Supplementary</w:t>
      </w:r>
      <w:r w:rsidR="007B667A" w:rsidRPr="00551A8E">
        <w:rPr>
          <w:rFonts w:ascii="Times New Roman" w:hAnsi="Times New Roman" w:cs="Times New Roman"/>
        </w:rPr>
        <w:t xml:space="preserve"> </w:t>
      </w:r>
      <w:r w:rsidRPr="00551A8E">
        <w:rPr>
          <w:rFonts w:ascii="Times New Roman" w:hAnsi="Times New Roman" w:cs="Times New Roman"/>
          <w:b/>
        </w:rPr>
        <w:t xml:space="preserve">Table 1. </w:t>
      </w:r>
      <w:r w:rsidRPr="00551A8E">
        <w:rPr>
          <w:rFonts w:ascii="Times New Roman" w:hAnsi="Times New Roman" w:cs="Times New Roman"/>
        </w:rPr>
        <w:t>The datasets were all from patient samples in comparison with the health donors. They are all RNA expression data.</w:t>
      </w:r>
    </w:p>
    <w:p w14:paraId="0968B5C1" w14:textId="3060A8A6" w:rsidR="003814FD" w:rsidRPr="00551A8E" w:rsidRDefault="007B667A" w:rsidP="003814FD">
      <w:pPr>
        <w:pStyle w:val="Caption"/>
        <w:keepNext/>
        <w:spacing w:before="120"/>
        <w:outlineLvl w:val="0"/>
        <w:rPr>
          <w:rFonts w:ascii="Times New Roman" w:hAnsi="Times New Roman" w:cs="Times New Roman"/>
          <w:color w:val="auto"/>
          <w:sz w:val="22"/>
          <w:szCs w:val="22"/>
        </w:rPr>
      </w:pPr>
      <w:r w:rsidRPr="00551A8E">
        <w:rPr>
          <w:rFonts w:ascii="Times New Roman" w:hAnsi="Times New Roman" w:cs="Times New Roman"/>
          <w:color w:val="auto"/>
          <w:sz w:val="22"/>
          <w:szCs w:val="22"/>
        </w:rPr>
        <w:t xml:space="preserve">Supplementary </w:t>
      </w:r>
      <w:r w:rsidR="003814FD" w:rsidRPr="00551A8E">
        <w:rPr>
          <w:rFonts w:ascii="Times New Roman" w:hAnsi="Times New Roman" w:cs="Times New Roman"/>
          <w:color w:val="auto"/>
          <w:sz w:val="22"/>
          <w:szCs w:val="22"/>
        </w:rPr>
        <w:t xml:space="preserve">Table </w:t>
      </w:r>
      <w:r w:rsidR="003814FD" w:rsidRPr="00551A8E">
        <w:rPr>
          <w:rFonts w:ascii="Times New Roman" w:hAnsi="Times New Roman" w:cs="Times New Roman"/>
          <w:color w:val="auto"/>
          <w:sz w:val="22"/>
          <w:szCs w:val="22"/>
        </w:rPr>
        <w:fldChar w:fldCharType="begin"/>
      </w:r>
      <w:r w:rsidR="003814FD" w:rsidRPr="00551A8E">
        <w:rPr>
          <w:rFonts w:ascii="Times New Roman" w:hAnsi="Times New Roman" w:cs="Times New Roman"/>
          <w:color w:val="auto"/>
          <w:sz w:val="22"/>
          <w:szCs w:val="22"/>
        </w:rPr>
        <w:instrText xml:space="preserve"> SEQ Table \* ARABIC </w:instrText>
      </w:r>
      <w:r w:rsidR="003814FD" w:rsidRPr="00551A8E">
        <w:rPr>
          <w:rFonts w:ascii="Times New Roman" w:hAnsi="Times New Roman" w:cs="Times New Roman"/>
          <w:color w:val="auto"/>
          <w:sz w:val="22"/>
          <w:szCs w:val="22"/>
        </w:rPr>
        <w:fldChar w:fldCharType="separate"/>
      </w:r>
      <w:r w:rsidR="003814FD" w:rsidRPr="00551A8E">
        <w:rPr>
          <w:rFonts w:ascii="Times New Roman" w:hAnsi="Times New Roman" w:cs="Times New Roman"/>
          <w:noProof/>
          <w:color w:val="auto"/>
          <w:sz w:val="22"/>
          <w:szCs w:val="22"/>
        </w:rPr>
        <w:t>1</w:t>
      </w:r>
      <w:r w:rsidR="003814FD" w:rsidRPr="00551A8E">
        <w:rPr>
          <w:rFonts w:ascii="Times New Roman" w:hAnsi="Times New Roman" w:cs="Times New Roman"/>
          <w:color w:val="auto"/>
          <w:sz w:val="22"/>
          <w:szCs w:val="22"/>
        </w:rPr>
        <w:fldChar w:fldCharType="end"/>
      </w:r>
      <w:r w:rsidR="003814FD" w:rsidRPr="00551A8E">
        <w:rPr>
          <w:rFonts w:ascii="Times New Roman" w:hAnsi="Times New Roman" w:cs="Times New Roman"/>
          <w:color w:val="auto"/>
          <w:sz w:val="22"/>
          <w:szCs w:val="22"/>
        </w:rPr>
        <w:t xml:space="preserve">. The List of TBI related </w:t>
      </w:r>
      <w:proofErr w:type="spellStart"/>
      <w:r w:rsidR="003814FD" w:rsidRPr="00551A8E">
        <w:rPr>
          <w:rFonts w:ascii="Times New Roman" w:hAnsi="Times New Roman" w:cs="Times New Roman"/>
          <w:color w:val="auto"/>
          <w:sz w:val="22"/>
          <w:szCs w:val="22"/>
        </w:rPr>
        <w:t>biosets</w:t>
      </w:r>
      <w:proofErr w:type="spellEnd"/>
      <w:r w:rsidR="003814FD" w:rsidRPr="00551A8E">
        <w:rPr>
          <w:rFonts w:ascii="Times New Roman" w:hAnsi="Times New Roman" w:cs="Times New Roman"/>
          <w:color w:val="auto"/>
          <w:sz w:val="22"/>
          <w:szCs w:val="22"/>
        </w:rPr>
        <w:t>, features, test samples, and associated GEO IDs</w:t>
      </w:r>
    </w:p>
    <w:tbl>
      <w:tblPr>
        <w:tblStyle w:val="LightShading-Accent5"/>
        <w:tblW w:w="8928" w:type="dxa"/>
        <w:tblLayout w:type="fixed"/>
        <w:tblLook w:val="0620" w:firstRow="1" w:lastRow="0" w:firstColumn="0" w:lastColumn="0" w:noHBand="1" w:noVBand="1"/>
      </w:tblPr>
      <w:tblGrid>
        <w:gridCol w:w="5418"/>
        <w:gridCol w:w="1211"/>
        <w:gridCol w:w="1129"/>
        <w:gridCol w:w="1170"/>
      </w:tblGrid>
      <w:tr w:rsidR="003814FD" w:rsidRPr="00551A8E" w14:paraId="5BEC8A40" w14:textId="77777777" w:rsidTr="007B667A">
        <w:trPr>
          <w:cnfStyle w:val="100000000000" w:firstRow="1" w:lastRow="0" w:firstColumn="0" w:lastColumn="0" w:oddVBand="0" w:evenVBand="0" w:oddHBand="0" w:evenHBand="0" w:firstRowFirstColumn="0" w:firstRowLastColumn="0" w:lastRowFirstColumn="0" w:lastRowLastColumn="0"/>
          <w:trHeight w:val="53"/>
        </w:trPr>
        <w:tc>
          <w:tcPr>
            <w:tcW w:w="5418" w:type="dxa"/>
            <w:noWrap/>
            <w:hideMark/>
          </w:tcPr>
          <w:p w14:paraId="11116FE1"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Biosets</w:t>
            </w:r>
            <w:proofErr w:type="spellEnd"/>
          </w:p>
        </w:tc>
        <w:tc>
          <w:tcPr>
            <w:tcW w:w="1211" w:type="dxa"/>
            <w:noWrap/>
            <w:hideMark/>
          </w:tcPr>
          <w:p w14:paraId="64FDB82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GEO ID</w:t>
            </w:r>
          </w:p>
        </w:tc>
        <w:tc>
          <w:tcPr>
            <w:tcW w:w="1129" w:type="dxa"/>
            <w:noWrap/>
            <w:hideMark/>
          </w:tcPr>
          <w:p w14:paraId="748E4020"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Test Samples</w:t>
            </w:r>
          </w:p>
        </w:tc>
        <w:tc>
          <w:tcPr>
            <w:tcW w:w="1170" w:type="dxa"/>
            <w:noWrap/>
            <w:hideMark/>
          </w:tcPr>
          <w:p w14:paraId="103EFFEB"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Features</w:t>
            </w:r>
          </w:p>
        </w:tc>
      </w:tr>
      <w:tr w:rsidR="003814FD" w:rsidRPr="00551A8E" w14:paraId="1ED81764" w14:textId="77777777" w:rsidTr="007B667A">
        <w:trPr>
          <w:trHeight w:val="511"/>
        </w:trPr>
        <w:tc>
          <w:tcPr>
            <w:tcW w:w="5418" w:type="dxa"/>
            <w:noWrap/>
            <w:hideMark/>
          </w:tcPr>
          <w:p w14:paraId="1C8095B7"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 PBMCs from multiple myeloma patients on bisphosphonates without osteonecrosis of jaw _vs_ healthy </w:t>
            </w:r>
          </w:p>
        </w:tc>
        <w:tc>
          <w:tcPr>
            <w:tcW w:w="1211" w:type="dxa"/>
            <w:noWrap/>
            <w:hideMark/>
          </w:tcPr>
          <w:p w14:paraId="0BFC4681"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GSE7116</w:t>
            </w:r>
          </w:p>
        </w:tc>
        <w:tc>
          <w:tcPr>
            <w:tcW w:w="1129" w:type="dxa"/>
            <w:noWrap/>
            <w:hideMark/>
          </w:tcPr>
          <w:p w14:paraId="68297F1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11</w:t>
            </w:r>
          </w:p>
        </w:tc>
        <w:tc>
          <w:tcPr>
            <w:tcW w:w="1170" w:type="dxa"/>
            <w:noWrap/>
            <w:hideMark/>
          </w:tcPr>
          <w:p w14:paraId="1AFE0A2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14259</w:t>
            </w:r>
          </w:p>
        </w:tc>
      </w:tr>
      <w:tr w:rsidR="003814FD" w:rsidRPr="00551A8E" w14:paraId="1988A36B" w14:textId="77777777" w:rsidTr="007B667A">
        <w:trPr>
          <w:trHeight w:val="300"/>
        </w:trPr>
        <w:tc>
          <w:tcPr>
            <w:tcW w:w="5418" w:type="dxa"/>
            <w:noWrap/>
            <w:hideMark/>
          </w:tcPr>
          <w:p w14:paraId="63062B05"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 Plasma cells CD138+ from bone marrows - Chr13 deleted multiple myeloma _vs_ healthy </w:t>
            </w:r>
          </w:p>
        </w:tc>
        <w:tc>
          <w:tcPr>
            <w:tcW w:w="1211" w:type="dxa"/>
            <w:noWrap/>
            <w:hideMark/>
          </w:tcPr>
          <w:p w14:paraId="7EAD5AE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5B84FB9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61</w:t>
            </w:r>
          </w:p>
        </w:tc>
        <w:tc>
          <w:tcPr>
            <w:tcW w:w="1170" w:type="dxa"/>
            <w:noWrap/>
            <w:hideMark/>
          </w:tcPr>
          <w:p w14:paraId="17B518E4" w14:textId="77777777" w:rsidR="003814FD" w:rsidRPr="00551A8E" w:rsidRDefault="003814FD" w:rsidP="007B667A">
            <w:pPr>
              <w:spacing w:before="120"/>
              <w:rPr>
                <w:rFonts w:ascii="Times New Roman" w:eastAsia="SimSun" w:hAnsi="Times New Roman" w:cs="Times New Roman"/>
                <w:color w:val="auto"/>
                <w:sz w:val="22"/>
                <w:szCs w:val="22"/>
                <w:lang w:eastAsia="zh-CN"/>
              </w:rPr>
            </w:pPr>
            <w:r w:rsidRPr="00551A8E">
              <w:rPr>
                <w:rFonts w:ascii="Times New Roman" w:hAnsi="Times New Roman" w:cs="Times New Roman"/>
                <w:color w:val="auto"/>
                <w:sz w:val="22"/>
                <w:szCs w:val="22"/>
              </w:rPr>
              <w:t>4243</w:t>
            </w:r>
          </w:p>
        </w:tc>
      </w:tr>
      <w:tr w:rsidR="003814FD" w:rsidRPr="00551A8E" w14:paraId="441C1FD8" w14:textId="77777777" w:rsidTr="007B667A">
        <w:trPr>
          <w:trHeight w:val="300"/>
        </w:trPr>
        <w:tc>
          <w:tcPr>
            <w:tcW w:w="5418" w:type="dxa"/>
            <w:noWrap/>
            <w:hideMark/>
          </w:tcPr>
          <w:p w14:paraId="29F20961"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3: Plasma cells CD138+ from bone marrows - Chr13 wildtype multiple myeloma _vs_ healthy </w:t>
            </w:r>
          </w:p>
        </w:tc>
        <w:tc>
          <w:tcPr>
            <w:tcW w:w="1211" w:type="dxa"/>
            <w:noWrap/>
            <w:hideMark/>
          </w:tcPr>
          <w:p w14:paraId="455E88FB"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56B9EE9B"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82</w:t>
            </w:r>
          </w:p>
        </w:tc>
        <w:tc>
          <w:tcPr>
            <w:tcW w:w="1170" w:type="dxa"/>
            <w:noWrap/>
            <w:hideMark/>
          </w:tcPr>
          <w:p w14:paraId="36039FF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3899</w:t>
            </w:r>
          </w:p>
        </w:tc>
      </w:tr>
      <w:tr w:rsidR="003814FD" w:rsidRPr="00551A8E" w14:paraId="48BED2E7" w14:textId="77777777" w:rsidTr="007B667A">
        <w:trPr>
          <w:trHeight w:val="300"/>
        </w:trPr>
        <w:tc>
          <w:tcPr>
            <w:tcW w:w="5418" w:type="dxa"/>
            <w:noWrap/>
            <w:hideMark/>
          </w:tcPr>
          <w:p w14:paraId="05FE70E6"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lastRenderedPageBreak/>
              <w:t>Bioset</w:t>
            </w:r>
            <w:proofErr w:type="spellEnd"/>
            <w:r w:rsidRPr="00551A8E">
              <w:rPr>
                <w:rFonts w:ascii="Times New Roman" w:hAnsi="Times New Roman" w:cs="Times New Roman"/>
                <w:color w:val="auto"/>
                <w:sz w:val="22"/>
                <w:szCs w:val="22"/>
              </w:rPr>
              <w:t xml:space="preserve"> 4: Plasma cells CD138+ from bone marrows - </w:t>
            </w:r>
            <w:proofErr w:type="spellStart"/>
            <w:r w:rsidRPr="00551A8E">
              <w:rPr>
                <w:rFonts w:ascii="Times New Roman" w:hAnsi="Times New Roman" w:cs="Times New Roman"/>
                <w:color w:val="auto"/>
                <w:sz w:val="22"/>
                <w:szCs w:val="22"/>
              </w:rPr>
              <w:t>hyperdiploid</w:t>
            </w:r>
            <w:proofErr w:type="spellEnd"/>
            <w:r w:rsidRPr="00551A8E">
              <w:rPr>
                <w:rFonts w:ascii="Times New Roman" w:hAnsi="Times New Roman" w:cs="Times New Roman"/>
                <w:color w:val="auto"/>
                <w:sz w:val="22"/>
                <w:szCs w:val="22"/>
              </w:rPr>
              <w:t xml:space="preserve"> multiple myeloma _vs_ healthy </w:t>
            </w:r>
          </w:p>
        </w:tc>
        <w:tc>
          <w:tcPr>
            <w:tcW w:w="1211" w:type="dxa"/>
            <w:noWrap/>
            <w:hideMark/>
          </w:tcPr>
          <w:p w14:paraId="0D3DC95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1662321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70</w:t>
            </w:r>
          </w:p>
        </w:tc>
        <w:tc>
          <w:tcPr>
            <w:tcW w:w="1170" w:type="dxa"/>
            <w:noWrap/>
            <w:hideMark/>
          </w:tcPr>
          <w:p w14:paraId="5028CFF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4551</w:t>
            </w:r>
          </w:p>
        </w:tc>
      </w:tr>
      <w:tr w:rsidR="003814FD" w:rsidRPr="00551A8E" w14:paraId="1AE46C2C" w14:textId="77777777" w:rsidTr="007B667A">
        <w:trPr>
          <w:trHeight w:val="300"/>
        </w:trPr>
        <w:tc>
          <w:tcPr>
            <w:tcW w:w="5418" w:type="dxa"/>
            <w:noWrap/>
            <w:hideMark/>
          </w:tcPr>
          <w:p w14:paraId="5BADCD25"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5: Plasma cells CD138+ from bone marrows - MGUS multiple myeloma _vs_ healthy </w:t>
            </w:r>
          </w:p>
        </w:tc>
        <w:tc>
          <w:tcPr>
            <w:tcW w:w="1211" w:type="dxa"/>
            <w:noWrap/>
            <w:hideMark/>
          </w:tcPr>
          <w:p w14:paraId="35A3ED7E"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6CDAC793"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22</w:t>
            </w:r>
          </w:p>
        </w:tc>
        <w:tc>
          <w:tcPr>
            <w:tcW w:w="1170" w:type="dxa"/>
            <w:noWrap/>
            <w:hideMark/>
          </w:tcPr>
          <w:p w14:paraId="2027333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3272</w:t>
            </w:r>
          </w:p>
        </w:tc>
      </w:tr>
      <w:tr w:rsidR="003814FD" w:rsidRPr="00551A8E" w14:paraId="3E5888AB" w14:textId="77777777" w:rsidTr="007B667A">
        <w:trPr>
          <w:trHeight w:val="300"/>
        </w:trPr>
        <w:tc>
          <w:tcPr>
            <w:tcW w:w="5418" w:type="dxa"/>
            <w:noWrap/>
            <w:hideMark/>
          </w:tcPr>
          <w:p w14:paraId="48168763"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6: Plasma cells CD138+ from bone marrows - newly diagnosed multiple myeloma _vs_ healthy </w:t>
            </w:r>
          </w:p>
        </w:tc>
        <w:tc>
          <w:tcPr>
            <w:tcW w:w="1211" w:type="dxa"/>
            <w:noWrap/>
            <w:hideMark/>
          </w:tcPr>
          <w:p w14:paraId="2354ABA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024A9CA3"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73</w:t>
            </w:r>
          </w:p>
        </w:tc>
        <w:tc>
          <w:tcPr>
            <w:tcW w:w="1170" w:type="dxa"/>
            <w:noWrap/>
            <w:hideMark/>
          </w:tcPr>
          <w:p w14:paraId="0367C0B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4305</w:t>
            </w:r>
          </w:p>
        </w:tc>
      </w:tr>
      <w:tr w:rsidR="003814FD" w:rsidRPr="00551A8E" w14:paraId="6F1A09D7" w14:textId="77777777" w:rsidTr="007B667A">
        <w:trPr>
          <w:trHeight w:val="300"/>
        </w:trPr>
        <w:tc>
          <w:tcPr>
            <w:tcW w:w="5418" w:type="dxa"/>
            <w:noWrap/>
            <w:hideMark/>
          </w:tcPr>
          <w:p w14:paraId="657FD955"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7: Plasma cells CD138+ from bone marrows - non-</w:t>
            </w:r>
            <w:proofErr w:type="spellStart"/>
            <w:r w:rsidRPr="00551A8E">
              <w:rPr>
                <w:rFonts w:ascii="Times New Roman" w:hAnsi="Times New Roman" w:cs="Times New Roman"/>
                <w:color w:val="auto"/>
                <w:sz w:val="22"/>
                <w:szCs w:val="22"/>
              </w:rPr>
              <w:t>hyperdiploid</w:t>
            </w:r>
            <w:proofErr w:type="spellEnd"/>
            <w:r w:rsidRPr="00551A8E">
              <w:rPr>
                <w:rFonts w:ascii="Times New Roman" w:hAnsi="Times New Roman" w:cs="Times New Roman"/>
                <w:color w:val="auto"/>
                <w:sz w:val="22"/>
                <w:szCs w:val="22"/>
              </w:rPr>
              <w:t xml:space="preserve"> multiple myeloma _vs_ healthy </w:t>
            </w:r>
          </w:p>
        </w:tc>
        <w:tc>
          <w:tcPr>
            <w:tcW w:w="1211" w:type="dxa"/>
            <w:noWrap/>
            <w:hideMark/>
          </w:tcPr>
          <w:p w14:paraId="74C17EE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3E2E2269"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70</w:t>
            </w:r>
          </w:p>
        </w:tc>
        <w:tc>
          <w:tcPr>
            <w:tcW w:w="1170" w:type="dxa"/>
            <w:noWrap/>
            <w:hideMark/>
          </w:tcPr>
          <w:p w14:paraId="0AEADC81"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3638</w:t>
            </w:r>
          </w:p>
        </w:tc>
      </w:tr>
      <w:tr w:rsidR="003814FD" w:rsidRPr="00551A8E" w14:paraId="1FE65FFA" w14:textId="77777777" w:rsidTr="007B667A">
        <w:trPr>
          <w:trHeight w:val="300"/>
        </w:trPr>
        <w:tc>
          <w:tcPr>
            <w:tcW w:w="5418" w:type="dxa"/>
            <w:noWrap/>
            <w:hideMark/>
          </w:tcPr>
          <w:p w14:paraId="54F87A29"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8: Plasma cells CD138+ from bone marrows - relapsed multiple myeloma _vs_ healthy </w:t>
            </w:r>
          </w:p>
        </w:tc>
        <w:tc>
          <w:tcPr>
            <w:tcW w:w="1211" w:type="dxa"/>
            <w:noWrap/>
            <w:hideMark/>
          </w:tcPr>
          <w:p w14:paraId="5B7356E0"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72D8C35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28</w:t>
            </w:r>
          </w:p>
        </w:tc>
        <w:tc>
          <w:tcPr>
            <w:tcW w:w="1170" w:type="dxa"/>
            <w:noWrap/>
            <w:hideMark/>
          </w:tcPr>
          <w:p w14:paraId="00CBA78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4424</w:t>
            </w:r>
          </w:p>
        </w:tc>
      </w:tr>
      <w:tr w:rsidR="003814FD" w:rsidRPr="00551A8E" w14:paraId="1A985522" w14:textId="77777777" w:rsidTr="007B667A">
        <w:trPr>
          <w:trHeight w:val="300"/>
        </w:trPr>
        <w:tc>
          <w:tcPr>
            <w:tcW w:w="5418" w:type="dxa"/>
            <w:noWrap/>
            <w:hideMark/>
          </w:tcPr>
          <w:p w14:paraId="63FCB84F"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9: Plasma cells CD138+ from bone marrows - smoldering multiple myeloma _vs_ healthy </w:t>
            </w:r>
          </w:p>
        </w:tc>
        <w:tc>
          <w:tcPr>
            <w:tcW w:w="1211" w:type="dxa"/>
            <w:noWrap/>
            <w:hideMark/>
          </w:tcPr>
          <w:p w14:paraId="7137A6C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GSE6477</w:t>
            </w:r>
          </w:p>
        </w:tc>
        <w:tc>
          <w:tcPr>
            <w:tcW w:w="1129" w:type="dxa"/>
            <w:noWrap/>
            <w:hideMark/>
          </w:tcPr>
          <w:p w14:paraId="7F05C3A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24</w:t>
            </w:r>
          </w:p>
        </w:tc>
        <w:tc>
          <w:tcPr>
            <w:tcW w:w="1170" w:type="dxa"/>
            <w:noWrap/>
            <w:hideMark/>
          </w:tcPr>
          <w:p w14:paraId="1B2FFA0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4100</w:t>
            </w:r>
          </w:p>
        </w:tc>
      </w:tr>
      <w:tr w:rsidR="003814FD" w:rsidRPr="00551A8E" w14:paraId="3F806001" w14:textId="77777777" w:rsidTr="007B667A">
        <w:trPr>
          <w:trHeight w:val="300"/>
        </w:trPr>
        <w:tc>
          <w:tcPr>
            <w:tcW w:w="5418" w:type="dxa"/>
            <w:noWrap/>
            <w:hideMark/>
          </w:tcPr>
          <w:p w14:paraId="6106CAB9"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10: Bone marrow endothelial cells from MM patients _vs_ normal umbilical vein endothelial cells </w:t>
            </w:r>
          </w:p>
        </w:tc>
        <w:tc>
          <w:tcPr>
            <w:tcW w:w="1211" w:type="dxa"/>
            <w:noWrap/>
            <w:hideMark/>
          </w:tcPr>
          <w:p w14:paraId="5C9BFF1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GSE14230</w:t>
            </w:r>
          </w:p>
        </w:tc>
        <w:tc>
          <w:tcPr>
            <w:tcW w:w="1129" w:type="dxa"/>
            <w:noWrap/>
            <w:hideMark/>
          </w:tcPr>
          <w:p w14:paraId="6795CDB3"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70" w:type="dxa"/>
            <w:noWrap/>
            <w:hideMark/>
          </w:tcPr>
          <w:p w14:paraId="79013CA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4468</w:t>
            </w:r>
          </w:p>
        </w:tc>
      </w:tr>
      <w:tr w:rsidR="003814FD" w:rsidRPr="00551A8E" w14:paraId="35EFF89E" w14:textId="77777777" w:rsidTr="007B667A">
        <w:trPr>
          <w:trHeight w:val="300"/>
        </w:trPr>
        <w:tc>
          <w:tcPr>
            <w:tcW w:w="5418" w:type="dxa"/>
            <w:noWrap/>
            <w:hideMark/>
          </w:tcPr>
          <w:p w14:paraId="3AEFED17"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11: Common myeloid progenitor cells from multiple myeloma patient _vs_ healthy donor</w:t>
            </w:r>
          </w:p>
        </w:tc>
        <w:tc>
          <w:tcPr>
            <w:tcW w:w="1211" w:type="dxa"/>
            <w:noWrap/>
            <w:hideMark/>
          </w:tcPr>
          <w:p w14:paraId="2167665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GSE14230</w:t>
            </w:r>
          </w:p>
        </w:tc>
        <w:tc>
          <w:tcPr>
            <w:tcW w:w="1129" w:type="dxa"/>
            <w:noWrap/>
            <w:hideMark/>
          </w:tcPr>
          <w:p w14:paraId="16CD1EE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70" w:type="dxa"/>
            <w:noWrap/>
            <w:hideMark/>
          </w:tcPr>
          <w:p w14:paraId="56271F7E"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1855</w:t>
            </w:r>
          </w:p>
        </w:tc>
      </w:tr>
      <w:tr w:rsidR="003814FD" w:rsidRPr="00551A8E" w14:paraId="57470FD6" w14:textId="77777777" w:rsidTr="007B667A">
        <w:trPr>
          <w:trHeight w:val="300"/>
        </w:trPr>
        <w:tc>
          <w:tcPr>
            <w:tcW w:w="5418" w:type="dxa"/>
            <w:noWrap/>
            <w:hideMark/>
          </w:tcPr>
          <w:p w14:paraId="5221A90D"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12: Granulocyte-monocyte progenitor cells from multiple myeloma patient _vs_ healthy donor </w:t>
            </w:r>
          </w:p>
        </w:tc>
        <w:tc>
          <w:tcPr>
            <w:tcW w:w="1211" w:type="dxa"/>
            <w:noWrap/>
            <w:hideMark/>
          </w:tcPr>
          <w:p w14:paraId="705F47E3"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GSE14230</w:t>
            </w:r>
          </w:p>
        </w:tc>
        <w:tc>
          <w:tcPr>
            <w:tcW w:w="1129" w:type="dxa"/>
            <w:noWrap/>
            <w:hideMark/>
          </w:tcPr>
          <w:p w14:paraId="1255CC73"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70" w:type="dxa"/>
            <w:noWrap/>
            <w:hideMark/>
          </w:tcPr>
          <w:p w14:paraId="00910A5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2410</w:t>
            </w:r>
          </w:p>
        </w:tc>
      </w:tr>
      <w:tr w:rsidR="003814FD" w:rsidRPr="00551A8E" w14:paraId="6B89DEC3" w14:textId="77777777" w:rsidTr="007B667A">
        <w:trPr>
          <w:trHeight w:val="300"/>
        </w:trPr>
        <w:tc>
          <w:tcPr>
            <w:tcW w:w="5418" w:type="dxa"/>
            <w:noWrap/>
            <w:hideMark/>
          </w:tcPr>
          <w:p w14:paraId="5C376939"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13: Hematopoietic stem cells from multiple myeloma patient _vs_ healthy donor </w:t>
            </w:r>
          </w:p>
        </w:tc>
        <w:tc>
          <w:tcPr>
            <w:tcW w:w="1211" w:type="dxa"/>
            <w:noWrap/>
            <w:hideMark/>
          </w:tcPr>
          <w:p w14:paraId="54CC84E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GSE14230</w:t>
            </w:r>
          </w:p>
        </w:tc>
        <w:tc>
          <w:tcPr>
            <w:tcW w:w="1129" w:type="dxa"/>
            <w:noWrap/>
            <w:hideMark/>
          </w:tcPr>
          <w:p w14:paraId="4513598D"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70" w:type="dxa"/>
            <w:noWrap/>
            <w:hideMark/>
          </w:tcPr>
          <w:p w14:paraId="125F429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3105</w:t>
            </w:r>
          </w:p>
        </w:tc>
      </w:tr>
      <w:tr w:rsidR="003814FD" w:rsidRPr="00551A8E" w14:paraId="39340E36" w14:textId="77777777" w:rsidTr="007B667A">
        <w:trPr>
          <w:trHeight w:val="300"/>
        </w:trPr>
        <w:tc>
          <w:tcPr>
            <w:tcW w:w="5418" w:type="dxa"/>
            <w:noWrap/>
            <w:hideMark/>
          </w:tcPr>
          <w:p w14:paraId="2333C51E"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14: Megakaryocyte-erythroid progenitor cells from multiple myeloma patient _vs_ healthy donor </w:t>
            </w:r>
          </w:p>
        </w:tc>
        <w:tc>
          <w:tcPr>
            <w:tcW w:w="1211" w:type="dxa"/>
            <w:noWrap/>
            <w:hideMark/>
          </w:tcPr>
          <w:p w14:paraId="141DE77E"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GSE14230</w:t>
            </w:r>
          </w:p>
        </w:tc>
        <w:tc>
          <w:tcPr>
            <w:tcW w:w="1129" w:type="dxa"/>
            <w:noWrap/>
            <w:hideMark/>
          </w:tcPr>
          <w:p w14:paraId="5A468D3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5</w:t>
            </w:r>
          </w:p>
        </w:tc>
        <w:tc>
          <w:tcPr>
            <w:tcW w:w="1170" w:type="dxa"/>
            <w:noWrap/>
            <w:hideMark/>
          </w:tcPr>
          <w:p w14:paraId="5FA4328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1760</w:t>
            </w:r>
          </w:p>
        </w:tc>
      </w:tr>
      <w:tr w:rsidR="003814FD" w:rsidRPr="00551A8E" w14:paraId="1CE44E5B" w14:textId="77777777" w:rsidTr="007B667A">
        <w:trPr>
          <w:trHeight w:val="300"/>
        </w:trPr>
        <w:tc>
          <w:tcPr>
            <w:tcW w:w="5418" w:type="dxa"/>
            <w:noWrap/>
            <w:hideMark/>
          </w:tcPr>
          <w:p w14:paraId="1D11EFEE"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15: T cells from peripheral blood of patients with multiple myeloma _vs_ healthy donors </w:t>
            </w:r>
          </w:p>
        </w:tc>
        <w:tc>
          <w:tcPr>
            <w:tcW w:w="1211" w:type="dxa"/>
            <w:noWrap/>
            <w:hideMark/>
          </w:tcPr>
          <w:p w14:paraId="542E4DC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GSE28107</w:t>
            </w:r>
          </w:p>
        </w:tc>
        <w:tc>
          <w:tcPr>
            <w:tcW w:w="1129" w:type="dxa"/>
            <w:noWrap/>
            <w:hideMark/>
          </w:tcPr>
          <w:p w14:paraId="0F6AE71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c>
          <w:tcPr>
            <w:tcW w:w="1170" w:type="dxa"/>
            <w:noWrap/>
            <w:hideMark/>
          </w:tcPr>
          <w:p w14:paraId="132F693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546</w:t>
            </w:r>
          </w:p>
        </w:tc>
      </w:tr>
      <w:tr w:rsidR="003814FD" w:rsidRPr="00551A8E" w14:paraId="7DCE0D6A" w14:textId="77777777" w:rsidTr="007B667A">
        <w:trPr>
          <w:trHeight w:val="300"/>
        </w:trPr>
        <w:tc>
          <w:tcPr>
            <w:tcW w:w="5418" w:type="dxa"/>
            <w:noWrap/>
            <w:hideMark/>
          </w:tcPr>
          <w:p w14:paraId="7D9EB7B2"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16: Bone-marrow mesenchymal stromal cells from multiple myeloma patients _vs_ healthy donors </w:t>
            </w:r>
          </w:p>
        </w:tc>
        <w:tc>
          <w:tcPr>
            <w:tcW w:w="1211" w:type="dxa"/>
            <w:noWrap/>
            <w:hideMark/>
          </w:tcPr>
          <w:p w14:paraId="4CFA222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GSE36474</w:t>
            </w:r>
          </w:p>
        </w:tc>
        <w:tc>
          <w:tcPr>
            <w:tcW w:w="1129" w:type="dxa"/>
            <w:noWrap/>
            <w:hideMark/>
          </w:tcPr>
          <w:p w14:paraId="32FDCB3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w:t>
            </w:r>
          </w:p>
        </w:tc>
        <w:tc>
          <w:tcPr>
            <w:tcW w:w="1170" w:type="dxa"/>
            <w:noWrap/>
            <w:hideMark/>
          </w:tcPr>
          <w:p w14:paraId="4D6A305C"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4105</w:t>
            </w:r>
          </w:p>
        </w:tc>
      </w:tr>
      <w:tr w:rsidR="003814FD" w:rsidRPr="00551A8E" w14:paraId="36AA9B55" w14:textId="77777777" w:rsidTr="007B667A">
        <w:trPr>
          <w:trHeight w:val="300"/>
        </w:trPr>
        <w:tc>
          <w:tcPr>
            <w:tcW w:w="5418" w:type="dxa"/>
            <w:noWrap/>
            <w:hideMark/>
          </w:tcPr>
          <w:p w14:paraId="64E58D19"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17: Mesenchymal stroma cocultured with MM.1S cells 24hr - multiple myeloma patients _vs_ healthy donors </w:t>
            </w:r>
          </w:p>
        </w:tc>
        <w:tc>
          <w:tcPr>
            <w:tcW w:w="1211" w:type="dxa"/>
            <w:noWrap/>
            <w:hideMark/>
          </w:tcPr>
          <w:p w14:paraId="5562E00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GSE46053</w:t>
            </w:r>
          </w:p>
        </w:tc>
        <w:tc>
          <w:tcPr>
            <w:tcW w:w="1129" w:type="dxa"/>
            <w:noWrap/>
            <w:hideMark/>
          </w:tcPr>
          <w:p w14:paraId="4D38841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N/A</w:t>
            </w:r>
          </w:p>
        </w:tc>
        <w:tc>
          <w:tcPr>
            <w:tcW w:w="1170" w:type="dxa"/>
            <w:noWrap/>
            <w:hideMark/>
          </w:tcPr>
          <w:p w14:paraId="0C305E9E"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2461</w:t>
            </w:r>
          </w:p>
        </w:tc>
      </w:tr>
      <w:tr w:rsidR="003814FD" w:rsidRPr="00551A8E" w14:paraId="7594ABD6" w14:textId="77777777" w:rsidTr="007B667A">
        <w:trPr>
          <w:trHeight w:val="300"/>
        </w:trPr>
        <w:tc>
          <w:tcPr>
            <w:tcW w:w="5418" w:type="dxa"/>
            <w:noWrap/>
            <w:hideMark/>
          </w:tcPr>
          <w:p w14:paraId="4A15CDBE"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18: Mesenchymal stromal cells - multiple myeloma patients _vs_ healthy donors </w:t>
            </w:r>
          </w:p>
        </w:tc>
        <w:tc>
          <w:tcPr>
            <w:tcW w:w="1211" w:type="dxa"/>
            <w:noWrap/>
            <w:hideMark/>
          </w:tcPr>
          <w:p w14:paraId="4182BEE6"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GSE46053</w:t>
            </w:r>
          </w:p>
        </w:tc>
        <w:tc>
          <w:tcPr>
            <w:tcW w:w="1129" w:type="dxa"/>
            <w:noWrap/>
            <w:hideMark/>
          </w:tcPr>
          <w:p w14:paraId="4FE2655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N/A</w:t>
            </w:r>
          </w:p>
        </w:tc>
        <w:tc>
          <w:tcPr>
            <w:tcW w:w="1170" w:type="dxa"/>
            <w:noWrap/>
            <w:hideMark/>
          </w:tcPr>
          <w:p w14:paraId="3B56374F"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3281</w:t>
            </w:r>
          </w:p>
        </w:tc>
      </w:tr>
      <w:tr w:rsidR="003814FD" w:rsidRPr="00551A8E" w14:paraId="2FF5C7CC" w14:textId="77777777" w:rsidTr="007B667A">
        <w:trPr>
          <w:trHeight w:val="300"/>
        </w:trPr>
        <w:tc>
          <w:tcPr>
            <w:tcW w:w="5418" w:type="dxa"/>
            <w:noWrap/>
            <w:hideMark/>
          </w:tcPr>
          <w:p w14:paraId="63911E49"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19: Plasma cells from multiple myeloma patients _vs_ healthy bone marrow_GPL8300 </w:t>
            </w:r>
          </w:p>
        </w:tc>
        <w:tc>
          <w:tcPr>
            <w:tcW w:w="1211" w:type="dxa"/>
            <w:noWrap/>
            <w:hideMark/>
          </w:tcPr>
          <w:p w14:paraId="5143C5F0"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GSE9656</w:t>
            </w:r>
          </w:p>
        </w:tc>
        <w:tc>
          <w:tcPr>
            <w:tcW w:w="1129" w:type="dxa"/>
            <w:noWrap/>
            <w:hideMark/>
          </w:tcPr>
          <w:p w14:paraId="300D65D9"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12</w:t>
            </w:r>
          </w:p>
        </w:tc>
        <w:tc>
          <w:tcPr>
            <w:tcW w:w="1170" w:type="dxa"/>
            <w:noWrap/>
            <w:hideMark/>
          </w:tcPr>
          <w:p w14:paraId="0D09119F"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3306</w:t>
            </w:r>
          </w:p>
        </w:tc>
      </w:tr>
      <w:tr w:rsidR="003814FD" w:rsidRPr="00551A8E" w14:paraId="065B4C5D" w14:textId="77777777" w:rsidTr="007B667A">
        <w:trPr>
          <w:trHeight w:val="300"/>
        </w:trPr>
        <w:tc>
          <w:tcPr>
            <w:tcW w:w="5418" w:type="dxa"/>
            <w:noWrap/>
            <w:hideMark/>
          </w:tcPr>
          <w:p w14:paraId="02FE9815"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20: Plasma cells - multiple myeloma patients _vs_ normal </w:t>
            </w:r>
          </w:p>
        </w:tc>
        <w:tc>
          <w:tcPr>
            <w:tcW w:w="1211" w:type="dxa"/>
            <w:noWrap/>
            <w:hideMark/>
          </w:tcPr>
          <w:p w14:paraId="7C1D0F3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GSE47552</w:t>
            </w:r>
          </w:p>
        </w:tc>
        <w:tc>
          <w:tcPr>
            <w:tcW w:w="1129" w:type="dxa"/>
            <w:noWrap/>
            <w:hideMark/>
          </w:tcPr>
          <w:p w14:paraId="01DE2DB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41</w:t>
            </w:r>
          </w:p>
        </w:tc>
        <w:tc>
          <w:tcPr>
            <w:tcW w:w="1170" w:type="dxa"/>
            <w:noWrap/>
            <w:hideMark/>
          </w:tcPr>
          <w:p w14:paraId="438CA9CF"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8977</w:t>
            </w:r>
          </w:p>
        </w:tc>
      </w:tr>
      <w:tr w:rsidR="003814FD" w:rsidRPr="00551A8E" w14:paraId="541FDCFF" w14:textId="77777777" w:rsidTr="007B667A">
        <w:trPr>
          <w:trHeight w:val="300"/>
        </w:trPr>
        <w:tc>
          <w:tcPr>
            <w:tcW w:w="5418" w:type="dxa"/>
            <w:noWrap/>
            <w:hideMark/>
          </w:tcPr>
          <w:p w14:paraId="778D2DF3"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21: Plasma cells - smoldering multiple myeloma patients _vs_ normal </w:t>
            </w:r>
          </w:p>
        </w:tc>
        <w:tc>
          <w:tcPr>
            <w:tcW w:w="1211" w:type="dxa"/>
            <w:noWrap/>
            <w:hideMark/>
          </w:tcPr>
          <w:p w14:paraId="7E28BCE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GSE47552</w:t>
            </w:r>
          </w:p>
        </w:tc>
        <w:tc>
          <w:tcPr>
            <w:tcW w:w="1129" w:type="dxa"/>
            <w:noWrap/>
            <w:hideMark/>
          </w:tcPr>
          <w:p w14:paraId="7BE322CF"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33</w:t>
            </w:r>
          </w:p>
        </w:tc>
        <w:tc>
          <w:tcPr>
            <w:tcW w:w="1170" w:type="dxa"/>
            <w:noWrap/>
            <w:hideMark/>
          </w:tcPr>
          <w:p w14:paraId="53BB510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6993</w:t>
            </w:r>
          </w:p>
        </w:tc>
      </w:tr>
      <w:tr w:rsidR="003814FD" w:rsidRPr="00551A8E" w14:paraId="33FC2E8E" w14:textId="77777777" w:rsidTr="007B667A">
        <w:trPr>
          <w:trHeight w:val="300"/>
        </w:trPr>
        <w:tc>
          <w:tcPr>
            <w:tcW w:w="5418" w:type="dxa"/>
            <w:noWrap/>
            <w:hideMark/>
          </w:tcPr>
          <w:p w14:paraId="656DF49B"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22: Plasma cells - monoclonal gammopathy of undetermined significance patients _vs_ normal </w:t>
            </w:r>
          </w:p>
        </w:tc>
        <w:tc>
          <w:tcPr>
            <w:tcW w:w="1211" w:type="dxa"/>
            <w:noWrap/>
            <w:hideMark/>
          </w:tcPr>
          <w:p w14:paraId="464DD39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GSE47552</w:t>
            </w:r>
          </w:p>
        </w:tc>
        <w:tc>
          <w:tcPr>
            <w:tcW w:w="1129" w:type="dxa"/>
            <w:noWrap/>
            <w:hideMark/>
          </w:tcPr>
          <w:p w14:paraId="32BA6C2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20</w:t>
            </w:r>
          </w:p>
        </w:tc>
        <w:tc>
          <w:tcPr>
            <w:tcW w:w="1170" w:type="dxa"/>
            <w:noWrap/>
            <w:hideMark/>
          </w:tcPr>
          <w:p w14:paraId="34D394B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7962</w:t>
            </w:r>
          </w:p>
        </w:tc>
      </w:tr>
      <w:tr w:rsidR="003814FD" w:rsidRPr="00551A8E" w14:paraId="2C522E54" w14:textId="77777777" w:rsidTr="007B667A">
        <w:trPr>
          <w:trHeight w:val="300"/>
        </w:trPr>
        <w:tc>
          <w:tcPr>
            <w:tcW w:w="5418" w:type="dxa"/>
            <w:noWrap/>
            <w:hideMark/>
          </w:tcPr>
          <w:p w14:paraId="6C92D8C5"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23: Bone marrow plasma cells - smoldering myeloma patients _vs_ normal </w:t>
            </w:r>
          </w:p>
        </w:tc>
        <w:tc>
          <w:tcPr>
            <w:tcW w:w="1211" w:type="dxa"/>
            <w:noWrap/>
            <w:hideMark/>
          </w:tcPr>
          <w:p w14:paraId="5892FFF1"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GSE5900</w:t>
            </w:r>
          </w:p>
        </w:tc>
        <w:tc>
          <w:tcPr>
            <w:tcW w:w="1129" w:type="dxa"/>
            <w:noWrap/>
            <w:hideMark/>
          </w:tcPr>
          <w:p w14:paraId="1A719C7E"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12</w:t>
            </w:r>
          </w:p>
        </w:tc>
        <w:tc>
          <w:tcPr>
            <w:tcW w:w="1170" w:type="dxa"/>
            <w:noWrap/>
            <w:hideMark/>
          </w:tcPr>
          <w:p w14:paraId="138D3C6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22568</w:t>
            </w:r>
          </w:p>
        </w:tc>
      </w:tr>
      <w:tr w:rsidR="003814FD" w:rsidRPr="00551A8E" w14:paraId="7F9D9D74" w14:textId="77777777" w:rsidTr="007B667A">
        <w:trPr>
          <w:trHeight w:val="300"/>
        </w:trPr>
        <w:tc>
          <w:tcPr>
            <w:tcW w:w="5418" w:type="dxa"/>
            <w:noWrap/>
            <w:hideMark/>
          </w:tcPr>
          <w:p w14:paraId="67C8253B"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lastRenderedPageBreak/>
              <w:t>Bioset</w:t>
            </w:r>
            <w:proofErr w:type="spellEnd"/>
            <w:r w:rsidRPr="00551A8E">
              <w:rPr>
                <w:rFonts w:ascii="Times New Roman" w:hAnsi="Times New Roman" w:cs="Times New Roman"/>
                <w:color w:val="auto"/>
                <w:sz w:val="22"/>
                <w:szCs w:val="22"/>
              </w:rPr>
              <w:t xml:space="preserve"> 24: NK cells expanded 10d in IL-2 + K562-mb15-41BBL cells - myeloma patients _vs_ healthy </w:t>
            </w:r>
            <w:proofErr w:type="gramStart"/>
            <w:r w:rsidRPr="00551A8E">
              <w:rPr>
                <w:rFonts w:ascii="Times New Roman" w:hAnsi="Times New Roman" w:cs="Times New Roman"/>
                <w:color w:val="auto"/>
                <w:sz w:val="22"/>
                <w:szCs w:val="22"/>
              </w:rPr>
              <w:t>donors</w:t>
            </w:r>
            <w:proofErr w:type="gramEnd"/>
            <w:r w:rsidRPr="00551A8E">
              <w:rPr>
                <w:rFonts w:ascii="Times New Roman" w:hAnsi="Times New Roman" w:cs="Times New Roman"/>
                <w:color w:val="auto"/>
                <w:sz w:val="22"/>
                <w:szCs w:val="22"/>
              </w:rPr>
              <w:t xml:space="preserve"> cells </w:t>
            </w:r>
          </w:p>
        </w:tc>
        <w:tc>
          <w:tcPr>
            <w:tcW w:w="1211" w:type="dxa"/>
            <w:noWrap/>
            <w:hideMark/>
          </w:tcPr>
          <w:p w14:paraId="044924AD"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GSE27838</w:t>
            </w:r>
          </w:p>
        </w:tc>
        <w:tc>
          <w:tcPr>
            <w:tcW w:w="1129" w:type="dxa"/>
            <w:noWrap/>
            <w:hideMark/>
          </w:tcPr>
          <w:p w14:paraId="0510A4F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8</w:t>
            </w:r>
          </w:p>
        </w:tc>
        <w:tc>
          <w:tcPr>
            <w:tcW w:w="1170" w:type="dxa"/>
            <w:noWrap/>
            <w:hideMark/>
          </w:tcPr>
          <w:p w14:paraId="6A95605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830</w:t>
            </w:r>
          </w:p>
        </w:tc>
      </w:tr>
      <w:tr w:rsidR="003814FD" w:rsidRPr="00551A8E" w14:paraId="48336C41" w14:textId="77777777" w:rsidTr="007B667A">
        <w:trPr>
          <w:trHeight w:val="300"/>
        </w:trPr>
        <w:tc>
          <w:tcPr>
            <w:tcW w:w="5418" w:type="dxa"/>
            <w:noWrap/>
            <w:hideMark/>
          </w:tcPr>
          <w:p w14:paraId="5CAE5FA7"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25: NK cells non-expanded - myeloma patients _vs_ healthy donors </w:t>
            </w:r>
          </w:p>
        </w:tc>
        <w:tc>
          <w:tcPr>
            <w:tcW w:w="1211" w:type="dxa"/>
            <w:noWrap/>
            <w:hideMark/>
          </w:tcPr>
          <w:p w14:paraId="289874E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GSE27838</w:t>
            </w:r>
          </w:p>
        </w:tc>
        <w:tc>
          <w:tcPr>
            <w:tcW w:w="1129" w:type="dxa"/>
            <w:noWrap/>
            <w:hideMark/>
          </w:tcPr>
          <w:p w14:paraId="7BC925E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8</w:t>
            </w:r>
          </w:p>
        </w:tc>
        <w:tc>
          <w:tcPr>
            <w:tcW w:w="1170" w:type="dxa"/>
            <w:noWrap/>
            <w:hideMark/>
          </w:tcPr>
          <w:p w14:paraId="6EBF9E93"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5206</w:t>
            </w:r>
          </w:p>
        </w:tc>
      </w:tr>
      <w:tr w:rsidR="003814FD" w:rsidRPr="00551A8E" w14:paraId="4340648E" w14:textId="77777777" w:rsidTr="007B667A">
        <w:trPr>
          <w:trHeight w:val="300"/>
        </w:trPr>
        <w:tc>
          <w:tcPr>
            <w:tcW w:w="5418" w:type="dxa"/>
            <w:noWrap/>
            <w:hideMark/>
          </w:tcPr>
          <w:p w14:paraId="77CCE761"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26: Bone marrow plasma cells of multiple myeloma patients _vs_ normal donors </w:t>
            </w:r>
          </w:p>
        </w:tc>
        <w:tc>
          <w:tcPr>
            <w:tcW w:w="1211" w:type="dxa"/>
            <w:noWrap/>
            <w:hideMark/>
          </w:tcPr>
          <w:p w14:paraId="0AD5786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GSE13591</w:t>
            </w:r>
          </w:p>
        </w:tc>
        <w:tc>
          <w:tcPr>
            <w:tcW w:w="1129" w:type="dxa"/>
            <w:noWrap/>
            <w:hideMark/>
          </w:tcPr>
          <w:p w14:paraId="3A793DDE"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133</w:t>
            </w:r>
          </w:p>
        </w:tc>
        <w:tc>
          <w:tcPr>
            <w:tcW w:w="1170" w:type="dxa"/>
            <w:noWrap/>
            <w:hideMark/>
          </w:tcPr>
          <w:p w14:paraId="584752CD"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3446</w:t>
            </w:r>
          </w:p>
        </w:tc>
      </w:tr>
      <w:tr w:rsidR="003814FD" w:rsidRPr="00551A8E" w14:paraId="0E12AA85" w14:textId="77777777" w:rsidTr="007B667A">
        <w:trPr>
          <w:trHeight w:val="300"/>
        </w:trPr>
        <w:tc>
          <w:tcPr>
            <w:tcW w:w="5418" w:type="dxa"/>
            <w:noWrap/>
            <w:hideMark/>
          </w:tcPr>
          <w:p w14:paraId="185E6C83"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27: Bone marrow plasma cells of plasma cell leukemia patients _vs_ normal donors </w:t>
            </w:r>
          </w:p>
        </w:tc>
        <w:tc>
          <w:tcPr>
            <w:tcW w:w="1211" w:type="dxa"/>
            <w:noWrap/>
            <w:hideMark/>
          </w:tcPr>
          <w:p w14:paraId="797597A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GSE13591</w:t>
            </w:r>
          </w:p>
        </w:tc>
        <w:tc>
          <w:tcPr>
            <w:tcW w:w="1129" w:type="dxa"/>
            <w:noWrap/>
            <w:hideMark/>
          </w:tcPr>
          <w:p w14:paraId="2F47FF78"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9</w:t>
            </w:r>
          </w:p>
        </w:tc>
        <w:tc>
          <w:tcPr>
            <w:tcW w:w="1170" w:type="dxa"/>
            <w:noWrap/>
            <w:hideMark/>
          </w:tcPr>
          <w:p w14:paraId="782066BF"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6635</w:t>
            </w:r>
          </w:p>
        </w:tc>
      </w:tr>
      <w:tr w:rsidR="003814FD" w:rsidRPr="00551A8E" w14:paraId="41343906" w14:textId="77777777" w:rsidTr="007B667A">
        <w:trPr>
          <w:trHeight w:val="300"/>
        </w:trPr>
        <w:tc>
          <w:tcPr>
            <w:tcW w:w="5418" w:type="dxa"/>
            <w:noWrap/>
            <w:hideMark/>
          </w:tcPr>
          <w:p w14:paraId="7D2470FA"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28: PBMCs from multiple myeloma patients on bisphosphonates with osteonecrosis of jaw _vs_ healthy </w:t>
            </w:r>
          </w:p>
        </w:tc>
        <w:tc>
          <w:tcPr>
            <w:tcW w:w="1211" w:type="dxa"/>
            <w:noWrap/>
            <w:hideMark/>
          </w:tcPr>
          <w:p w14:paraId="7A0F1DA7"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GSE7116</w:t>
            </w:r>
          </w:p>
        </w:tc>
        <w:tc>
          <w:tcPr>
            <w:tcW w:w="1129" w:type="dxa"/>
            <w:noWrap/>
            <w:hideMark/>
          </w:tcPr>
          <w:p w14:paraId="30F1932B"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10</w:t>
            </w:r>
          </w:p>
        </w:tc>
        <w:tc>
          <w:tcPr>
            <w:tcW w:w="1170" w:type="dxa"/>
            <w:noWrap/>
            <w:hideMark/>
          </w:tcPr>
          <w:p w14:paraId="3EA7AA1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9059</w:t>
            </w:r>
          </w:p>
        </w:tc>
      </w:tr>
      <w:tr w:rsidR="003814FD" w:rsidRPr="00551A8E" w14:paraId="716D449E" w14:textId="77777777" w:rsidTr="007B667A">
        <w:trPr>
          <w:trHeight w:val="300"/>
        </w:trPr>
        <w:tc>
          <w:tcPr>
            <w:tcW w:w="5418" w:type="dxa"/>
            <w:noWrap/>
            <w:hideMark/>
          </w:tcPr>
          <w:p w14:paraId="0B7C75C6"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29: MSCs of multiple myeloma patients GFP+ pooled - engrafted mice bone marrow _vs_ parental </w:t>
            </w:r>
          </w:p>
        </w:tc>
        <w:tc>
          <w:tcPr>
            <w:tcW w:w="1211" w:type="dxa"/>
            <w:noWrap/>
            <w:hideMark/>
          </w:tcPr>
          <w:p w14:paraId="40BED132"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GSE68538</w:t>
            </w:r>
          </w:p>
        </w:tc>
        <w:tc>
          <w:tcPr>
            <w:tcW w:w="1129" w:type="dxa"/>
            <w:noWrap/>
            <w:hideMark/>
          </w:tcPr>
          <w:p w14:paraId="736C41B4"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c>
          <w:tcPr>
            <w:tcW w:w="1170" w:type="dxa"/>
            <w:noWrap/>
            <w:hideMark/>
          </w:tcPr>
          <w:p w14:paraId="1B218EBA"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4235</w:t>
            </w:r>
          </w:p>
        </w:tc>
      </w:tr>
      <w:tr w:rsidR="003814FD" w:rsidRPr="00551A8E" w14:paraId="1550932B" w14:textId="77777777" w:rsidTr="007B667A">
        <w:trPr>
          <w:trHeight w:val="300"/>
        </w:trPr>
        <w:tc>
          <w:tcPr>
            <w:tcW w:w="5418" w:type="dxa"/>
            <w:noWrap/>
            <w:hideMark/>
          </w:tcPr>
          <w:p w14:paraId="07EE5371" w14:textId="77777777" w:rsidR="003814FD" w:rsidRPr="00551A8E" w:rsidRDefault="003814FD" w:rsidP="007B667A">
            <w:pPr>
              <w:spacing w:before="12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Bioset</w:t>
            </w:r>
            <w:proofErr w:type="spellEnd"/>
            <w:r w:rsidRPr="00551A8E">
              <w:rPr>
                <w:rFonts w:ascii="Times New Roman" w:hAnsi="Times New Roman" w:cs="Times New Roman"/>
                <w:color w:val="auto"/>
                <w:sz w:val="22"/>
                <w:szCs w:val="22"/>
              </w:rPr>
              <w:t xml:space="preserve"> 30: Multiple myeloma cells _vs_ normal plasma cells </w:t>
            </w:r>
          </w:p>
        </w:tc>
        <w:tc>
          <w:tcPr>
            <w:tcW w:w="1211" w:type="dxa"/>
            <w:noWrap/>
            <w:hideMark/>
          </w:tcPr>
          <w:p w14:paraId="5D03DB35"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GSE6691</w:t>
            </w:r>
          </w:p>
        </w:tc>
        <w:tc>
          <w:tcPr>
            <w:tcW w:w="1129" w:type="dxa"/>
            <w:noWrap/>
            <w:hideMark/>
          </w:tcPr>
          <w:p w14:paraId="77FD7331"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12</w:t>
            </w:r>
          </w:p>
        </w:tc>
        <w:tc>
          <w:tcPr>
            <w:tcW w:w="1170" w:type="dxa"/>
            <w:noWrap/>
            <w:hideMark/>
          </w:tcPr>
          <w:p w14:paraId="51391111" w14:textId="77777777" w:rsidR="003814FD" w:rsidRPr="00551A8E" w:rsidRDefault="003814FD"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7235</w:t>
            </w:r>
          </w:p>
        </w:tc>
      </w:tr>
    </w:tbl>
    <w:p w14:paraId="4F2A91DE" w14:textId="77777777" w:rsidR="003814FD" w:rsidRPr="00551A8E" w:rsidRDefault="003814FD" w:rsidP="003814FD">
      <w:pPr>
        <w:spacing w:before="120" w:line="480" w:lineRule="auto"/>
        <w:rPr>
          <w:rFonts w:ascii="Times New Roman" w:hAnsi="Times New Roman" w:cs="Times New Roman"/>
          <w:b/>
        </w:rPr>
      </w:pPr>
    </w:p>
    <w:p w14:paraId="26B03712" w14:textId="5EE9CA86" w:rsidR="00C977E6" w:rsidRPr="00551A8E" w:rsidRDefault="00C977E6" w:rsidP="00C977E6">
      <w:pPr>
        <w:pStyle w:val="PHS398CharCharCharCharCharCharChar"/>
        <w:tabs>
          <w:tab w:val="left" w:pos="0"/>
        </w:tabs>
        <w:spacing w:before="120" w:beforeAutospacing="0" w:after="0" w:afterAutospacing="0" w:line="480" w:lineRule="auto"/>
        <w:rPr>
          <w:rFonts w:ascii="Times New Roman" w:hAnsi="Times New Roman"/>
          <w:b/>
          <w:sz w:val="22"/>
          <w:lang w:eastAsia="zh-CN"/>
        </w:rPr>
      </w:pPr>
      <w:r w:rsidRPr="00551A8E">
        <w:rPr>
          <w:rFonts w:ascii="Times New Roman" w:hAnsi="Times New Roman"/>
          <w:b/>
          <w:sz w:val="22"/>
          <w:lang w:eastAsia="zh-CN"/>
        </w:rPr>
        <w:t>Differentially expressed genes (DEGs) induced by MM, chemical and genetic perturbations</w:t>
      </w:r>
      <w:r w:rsidRPr="00551A8E">
        <w:rPr>
          <w:rFonts w:ascii="Times New Roman" w:hAnsi="Times New Roman"/>
          <w:sz w:val="22"/>
          <w:lang w:eastAsia="zh-CN"/>
        </w:rPr>
        <w:t xml:space="preserve"> We collected the MM DEGs from commercial software Illumina </w:t>
      </w:r>
      <w:bookmarkStart w:id="2" w:name="OLE_LINK3"/>
      <w:bookmarkStart w:id="3" w:name="OLE_LINK4"/>
      <w:bookmarkStart w:id="4" w:name="OLE_LINK5"/>
      <w:bookmarkStart w:id="5" w:name="OLE_LINK8"/>
      <w:bookmarkStart w:id="6" w:name="OLE_LINK12"/>
      <w:bookmarkStart w:id="7" w:name="OLE_LINK43"/>
      <w:bookmarkStart w:id="8" w:name="OLE_LINK44"/>
      <w:proofErr w:type="spellStart"/>
      <w:r w:rsidRPr="00551A8E">
        <w:rPr>
          <w:rFonts w:ascii="Times New Roman" w:hAnsi="Times New Roman"/>
          <w:sz w:val="22"/>
          <w:lang w:eastAsia="zh-CN"/>
        </w:rPr>
        <w:t>BaseSpace</w:t>
      </w:r>
      <w:bookmarkEnd w:id="2"/>
      <w:bookmarkEnd w:id="3"/>
      <w:bookmarkEnd w:id="4"/>
      <w:bookmarkEnd w:id="5"/>
      <w:bookmarkEnd w:id="6"/>
      <w:proofErr w:type="spellEnd"/>
      <w:r w:rsidRPr="00551A8E">
        <w:rPr>
          <w:rFonts w:ascii="Times New Roman" w:hAnsi="Times New Roman"/>
          <w:sz w:val="22"/>
          <w:lang w:eastAsia="zh-CN"/>
        </w:rPr>
        <w:t xml:space="preserve"> </w:t>
      </w:r>
      <w:bookmarkEnd w:id="7"/>
      <w:bookmarkEnd w:id="8"/>
      <w:r w:rsidRPr="00551A8E">
        <w:rPr>
          <w:rFonts w:ascii="Times New Roman" w:hAnsi="Times New Roman"/>
          <w:bCs w:val="0"/>
          <w:sz w:val="22"/>
          <w:lang w:eastAsia="zh-CN"/>
        </w:rPr>
        <w:t xml:space="preserve">(former </w:t>
      </w:r>
      <w:proofErr w:type="spellStart"/>
      <w:r w:rsidRPr="00551A8E">
        <w:rPr>
          <w:rFonts w:ascii="Times New Roman" w:hAnsi="Times New Roman"/>
          <w:bCs w:val="0"/>
          <w:sz w:val="22"/>
          <w:lang w:eastAsia="zh-CN"/>
        </w:rPr>
        <w:t>Nextbio</w:t>
      </w:r>
      <w:proofErr w:type="spellEnd"/>
      <w:r w:rsidRPr="00551A8E">
        <w:rPr>
          <w:rFonts w:ascii="Times New Roman" w:hAnsi="Times New Roman"/>
          <w:bCs w:val="0"/>
          <w:sz w:val="22"/>
          <w:lang w:eastAsia="zh-CN"/>
        </w:rPr>
        <w:t xml:space="preserve">™) software (Santa Clara, CA, USA, </w:t>
      </w:r>
      <w:hyperlink r:id="rId10" w:history="1">
        <w:r w:rsidRPr="00551A8E">
          <w:rPr>
            <w:rStyle w:val="Hyperlink"/>
            <w:rFonts w:ascii="Times New Roman" w:hAnsi="Times New Roman"/>
            <w:bCs w:val="0"/>
            <w:sz w:val="22"/>
            <w:lang w:eastAsia="zh-CN"/>
          </w:rPr>
          <w:t>http://www.nextbio.com</w:t>
        </w:r>
      </w:hyperlink>
      <w:r w:rsidRPr="00551A8E">
        <w:rPr>
          <w:rFonts w:ascii="Times New Roman" w:hAnsi="Times New Roman"/>
          <w:bCs w:val="0"/>
          <w:sz w:val="22"/>
          <w:lang w:eastAsia="zh-CN"/>
        </w:rPr>
        <w:t xml:space="preserve">) by a key word search with “multiple </w:t>
      </w:r>
      <w:proofErr w:type="gramStart"/>
      <w:r w:rsidRPr="00551A8E">
        <w:rPr>
          <w:rFonts w:ascii="Times New Roman" w:hAnsi="Times New Roman"/>
          <w:bCs w:val="0"/>
          <w:sz w:val="22"/>
          <w:lang w:eastAsia="zh-CN"/>
        </w:rPr>
        <w:t>myeloma”(</w:t>
      </w:r>
      <w:proofErr w:type="gramEnd"/>
      <w:r w:rsidRPr="00551A8E">
        <w:rPr>
          <w:rFonts w:ascii="Times New Roman" w:hAnsi="Times New Roman"/>
          <w:bCs w:val="0"/>
          <w:sz w:val="22"/>
          <w:lang w:eastAsia="zh-CN"/>
        </w:rPr>
        <w:t>phenotype), and refined by an advanced search with experiment design “disease vs. normal,” organisms “homo sapiens,” and Data types “RNA expression.”</w:t>
      </w:r>
      <w:r w:rsidRPr="00551A8E">
        <w:rPr>
          <w:rFonts w:ascii="Times New Roman" w:hAnsi="Times New Roman"/>
          <w:sz w:val="22"/>
          <w:lang w:eastAsia="zh-CN"/>
        </w:rPr>
        <w:t xml:space="preserve"> The gene expression data in </w:t>
      </w:r>
      <w:proofErr w:type="spellStart"/>
      <w:r w:rsidRPr="00551A8E">
        <w:rPr>
          <w:rFonts w:ascii="Times New Roman" w:hAnsi="Times New Roman"/>
          <w:sz w:val="22"/>
          <w:lang w:eastAsia="zh-CN"/>
        </w:rPr>
        <w:t>BaseSpace</w:t>
      </w:r>
      <w:proofErr w:type="spellEnd"/>
      <w:r w:rsidRPr="00551A8E">
        <w:rPr>
          <w:rFonts w:ascii="Times New Roman" w:hAnsi="Times New Roman"/>
          <w:sz w:val="22"/>
          <w:lang w:eastAsia="zh-CN"/>
        </w:rPr>
        <w:t xml:space="preserve"> are mainly from the GEO database (</w:t>
      </w:r>
      <w:hyperlink r:id="rId11" w:history="1">
        <w:r w:rsidRPr="00551A8E">
          <w:rPr>
            <w:rStyle w:val="Hyperlink"/>
            <w:rFonts w:ascii="Times New Roman" w:hAnsi="Times New Roman"/>
            <w:sz w:val="22"/>
            <w:lang w:eastAsia="zh-CN"/>
          </w:rPr>
          <w:t>http://www.ncbi.nlm.nih.gov/geo/</w:t>
        </w:r>
      </w:hyperlink>
      <w:r w:rsidRPr="00551A8E">
        <w:rPr>
          <w:rFonts w:ascii="Times New Roman" w:hAnsi="Times New Roman"/>
          <w:sz w:val="22"/>
          <w:lang w:eastAsia="zh-CN"/>
        </w:rPr>
        <w:t xml:space="preserve">). In </w:t>
      </w:r>
      <w:proofErr w:type="spellStart"/>
      <w:r w:rsidRPr="00551A8E">
        <w:rPr>
          <w:rFonts w:ascii="Times New Roman" w:hAnsi="Times New Roman"/>
          <w:sz w:val="22"/>
          <w:lang w:eastAsia="zh-CN"/>
        </w:rPr>
        <w:t>BaseSpace</w:t>
      </w:r>
      <w:proofErr w:type="spellEnd"/>
      <w:r w:rsidRPr="00551A8E">
        <w:rPr>
          <w:rFonts w:ascii="Times New Roman" w:hAnsi="Times New Roman"/>
          <w:sz w:val="22"/>
          <w:lang w:eastAsia="zh-CN"/>
        </w:rPr>
        <w:t>, only genes with the P values &lt;0.05 and absolute fold changes &gt;1.2 are considered as DEGs</w:t>
      </w:r>
      <w:r w:rsidRPr="00551A8E">
        <w:rPr>
          <w:rFonts w:ascii="Times New Roman" w:hAnsi="Times New Roman"/>
          <w:bCs w:val="0"/>
          <w:sz w:val="22"/>
        </w:rPr>
        <w:t xml:space="preserve">. </w:t>
      </w:r>
      <w:bookmarkEnd w:id="1"/>
      <w:r w:rsidRPr="00551A8E">
        <w:rPr>
          <w:rFonts w:ascii="Times New Roman" w:hAnsi="Times New Roman"/>
          <w:sz w:val="22"/>
          <w:lang w:eastAsia="zh-CN"/>
        </w:rPr>
        <w:t>The DEGs</w:t>
      </w:r>
      <w:r w:rsidRPr="00551A8E">
        <w:rPr>
          <w:rFonts w:ascii="Times New Roman" w:hAnsi="Times New Roman"/>
          <w:b/>
          <w:sz w:val="22"/>
          <w:lang w:eastAsia="zh-CN"/>
        </w:rPr>
        <w:t xml:space="preserve"> </w:t>
      </w:r>
      <w:r w:rsidRPr="00551A8E">
        <w:rPr>
          <w:rFonts w:ascii="Times New Roman" w:hAnsi="Times New Roman"/>
          <w:sz w:val="22"/>
          <w:lang w:eastAsia="zh-CN"/>
        </w:rPr>
        <w:t xml:space="preserve">of each MM dataset were used as the input to search against other gene expression datasets in </w:t>
      </w:r>
      <w:proofErr w:type="spellStart"/>
      <w:r w:rsidRPr="00551A8E">
        <w:rPr>
          <w:rFonts w:ascii="Times New Roman" w:hAnsi="Times New Roman"/>
          <w:sz w:val="22"/>
          <w:lang w:eastAsia="zh-CN"/>
        </w:rPr>
        <w:t>BaseSpace</w:t>
      </w:r>
      <w:proofErr w:type="spellEnd"/>
      <w:r w:rsidRPr="00551A8E">
        <w:rPr>
          <w:rFonts w:ascii="Times New Roman" w:hAnsi="Times New Roman"/>
          <w:sz w:val="22"/>
          <w:lang w:eastAsia="zh-CN"/>
        </w:rPr>
        <w:t xml:space="preserve"> in order to identify the top most associated gene profiles induced by drugs, disease conditions, and genetic perturbations through </w:t>
      </w:r>
      <w:bookmarkStart w:id="9" w:name="OLE_LINK6"/>
      <w:bookmarkStart w:id="10" w:name="OLE_LINK7"/>
      <w:proofErr w:type="spellStart"/>
      <w:r w:rsidRPr="00551A8E">
        <w:rPr>
          <w:rFonts w:ascii="Times New Roman" w:hAnsi="Times New Roman"/>
          <w:sz w:val="22"/>
          <w:lang w:eastAsia="zh-CN"/>
        </w:rPr>
        <w:t>Pharmaco</w:t>
      </w:r>
      <w:proofErr w:type="spellEnd"/>
      <w:r w:rsidRPr="00551A8E">
        <w:rPr>
          <w:rFonts w:ascii="Times New Roman" w:hAnsi="Times New Roman"/>
          <w:sz w:val="22"/>
          <w:lang w:eastAsia="zh-CN"/>
        </w:rPr>
        <w:t xml:space="preserve"> Atlas </w:t>
      </w:r>
      <w:bookmarkEnd w:id="9"/>
      <w:bookmarkEnd w:id="10"/>
      <w:r w:rsidRPr="00551A8E">
        <w:rPr>
          <w:rFonts w:ascii="Times New Roman" w:hAnsi="Times New Roman"/>
          <w:sz w:val="22"/>
          <w:lang w:eastAsia="zh-CN"/>
        </w:rPr>
        <w:t xml:space="preserve">search, Disease </w:t>
      </w:r>
      <w:proofErr w:type="spellStart"/>
      <w:r w:rsidRPr="00551A8E">
        <w:rPr>
          <w:rFonts w:ascii="Times New Roman" w:hAnsi="Times New Roman"/>
          <w:sz w:val="22"/>
          <w:lang w:eastAsia="zh-CN"/>
        </w:rPr>
        <w:t>Altas</w:t>
      </w:r>
      <w:proofErr w:type="spellEnd"/>
      <w:r w:rsidRPr="00551A8E">
        <w:rPr>
          <w:rFonts w:ascii="Times New Roman" w:hAnsi="Times New Roman"/>
          <w:sz w:val="22"/>
          <w:lang w:eastAsia="zh-CN"/>
        </w:rPr>
        <w:t xml:space="preserve">, and Knockdown Atlas search, respectively. </w:t>
      </w:r>
      <w:proofErr w:type="spellStart"/>
      <w:r w:rsidRPr="00551A8E">
        <w:rPr>
          <w:rFonts w:ascii="Times New Roman" w:hAnsi="Times New Roman"/>
          <w:sz w:val="22"/>
          <w:lang w:eastAsia="zh-CN"/>
        </w:rPr>
        <w:t>Pharmaco</w:t>
      </w:r>
      <w:proofErr w:type="spellEnd"/>
      <w:r w:rsidRPr="00551A8E">
        <w:rPr>
          <w:rFonts w:ascii="Times New Roman" w:hAnsi="Times New Roman"/>
          <w:sz w:val="22"/>
          <w:lang w:eastAsia="zh-CN"/>
        </w:rPr>
        <w:t xml:space="preserve"> Atlas contains drug induced DEGs; Disease </w:t>
      </w:r>
      <w:proofErr w:type="spellStart"/>
      <w:r w:rsidRPr="00551A8E">
        <w:rPr>
          <w:rFonts w:ascii="Times New Roman" w:hAnsi="Times New Roman"/>
          <w:sz w:val="22"/>
          <w:lang w:eastAsia="zh-CN"/>
        </w:rPr>
        <w:t>Altas</w:t>
      </w:r>
      <w:proofErr w:type="spellEnd"/>
      <w:r w:rsidRPr="00551A8E">
        <w:rPr>
          <w:rFonts w:ascii="Times New Roman" w:hAnsi="Times New Roman"/>
          <w:sz w:val="22"/>
          <w:lang w:eastAsia="zh-CN"/>
        </w:rPr>
        <w:t xml:space="preserve"> stores disease induced DEGS, while the Knockdown Atlas archives the DEGs influenced by single gene perturbations, including gene knockdown, knockout, mutation or overexpression. </w:t>
      </w:r>
      <w:r w:rsidRPr="00551A8E">
        <w:rPr>
          <w:rFonts w:ascii="Times New Roman" w:hAnsi="Times New Roman"/>
          <w:bCs w:val="0"/>
          <w:sz w:val="22"/>
          <w:lang w:eastAsia="zh-CN"/>
        </w:rPr>
        <w:t xml:space="preserve">In addition, pathway analysis can also be done by determining the associations between MM-induced DEGs and gene sets in the pathways from different molecular signatures databases, such as </w:t>
      </w:r>
      <w:proofErr w:type="spellStart"/>
      <w:r w:rsidRPr="00551A8E">
        <w:rPr>
          <w:rFonts w:ascii="Times New Roman" w:hAnsi="Times New Roman"/>
          <w:bCs w:val="0"/>
          <w:sz w:val="22"/>
          <w:lang w:eastAsia="zh-CN"/>
        </w:rPr>
        <w:lastRenderedPageBreak/>
        <w:t>MSigDB</w:t>
      </w:r>
      <w:proofErr w:type="spellEnd"/>
      <w:r w:rsidRPr="00551A8E">
        <w:rPr>
          <w:rFonts w:ascii="Times New Roman" w:hAnsi="Times New Roman"/>
          <w:bCs w:val="0"/>
          <w:sz w:val="22"/>
          <w:lang w:eastAsia="zh-CN"/>
        </w:rPr>
        <w:t xml:space="preserve"> </w:t>
      </w:r>
      <w:r w:rsidRPr="00551A8E">
        <w:rPr>
          <w:rFonts w:ascii="Times New Roman" w:hAnsi="Times New Roman"/>
          <w:bCs w:val="0"/>
          <w:sz w:val="22"/>
          <w:lang w:eastAsia="zh-CN"/>
        </w:rPr>
        <w:fldChar w:fldCharType="begin"/>
      </w:r>
      <w:r w:rsidR="00010D3F" w:rsidRPr="00551A8E">
        <w:rPr>
          <w:rFonts w:ascii="Times New Roman" w:hAnsi="Times New Roman"/>
          <w:bCs w:val="0"/>
          <w:sz w:val="22"/>
          <w:lang w:eastAsia="zh-CN"/>
        </w:rPr>
        <w:instrText xml:space="preserve"> ADDIN EN.CITE &lt;EndNote&gt;&lt;Cite&gt;&lt;Author&gt;Liberzon&lt;/Author&gt;&lt;Year&gt;2011&lt;/Year&gt;&lt;RecNum&gt;3&lt;/RecNum&gt;&lt;DisplayText&gt;(1)&lt;/DisplayText&gt;&lt;record&gt;&lt;rec-number&gt;3&lt;/rec-number&gt;&lt;foreign-keys&gt;&lt;key app="EN" db-id="9sxvtsa9azp05xetzd2xw0x3eraaaz5p5zzr" timestamp="1534601229"&gt;3&lt;/key&gt;&lt;/foreign-keys&gt;&lt;ref-type name="Journal Article"&gt;17&lt;/ref-type&gt;&lt;contributors&gt;&lt;authors&gt;&lt;author&gt;Liberzon, Arthur&lt;/author&gt;&lt;author&gt;Subramanian, Aravind&lt;/author&gt;&lt;author&gt;Pinchback, Reid&lt;/author&gt;&lt;author&gt;Thorvaldsdóttir, Helga&lt;/author&gt;&lt;author&gt;Tamayo, Pablo&lt;/author&gt;&lt;author&gt;Mesirov, Jill P&lt;/author&gt;&lt;/authors&gt;&lt;/contributors&gt;&lt;titles&gt;&lt;title&gt;Molecular signatures database (MSigDB) 3.0&lt;/title&gt;&lt;secondary-title&gt;Bioinformatics&lt;/secondary-title&gt;&lt;/titles&gt;&lt;periodical&gt;&lt;full-title&gt;Bioinformatics&lt;/full-title&gt;&lt;/periodical&gt;&lt;pages&gt;1739-1740&lt;/pages&gt;&lt;volume&gt;27&lt;/volume&gt;&lt;number&gt;12&lt;/number&gt;&lt;dates&gt;&lt;year&gt;2011&lt;/year&gt;&lt;/dates&gt;&lt;isbn&gt;1460-2059&lt;/isbn&gt;&lt;urls&gt;&lt;/urls&gt;&lt;/record&gt;&lt;/Cite&gt;&lt;/EndNote&gt;</w:instrText>
      </w:r>
      <w:r w:rsidRPr="00551A8E">
        <w:rPr>
          <w:rFonts w:ascii="Times New Roman" w:hAnsi="Times New Roman"/>
          <w:bCs w:val="0"/>
          <w:sz w:val="22"/>
          <w:lang w:eastAsia="zh-CN"/>
        </w:rPr>
        <w:fldChar w:fldCharType="separate"/>
      </w:r>
      <w:r w:rsidR="00010D3F" w:rsidRPr="00551A8E">
        <w:rPr>
          <w:rFonts w:ascii="Times New Roman" w:hAnsi="Times New Roman"/>
          <w:bCs w:val="0"/>
          <w:noProof/>
          <w:sz w:val="22"/>
          <w:lang w:eastAsia="zh-CN"/>
        </w:rPr>
        <w:t>(1)</w:t>
      </w:r>
      <w:r w:rsidRPr="00551A8E">
        <w:rPr>
          <w:rFonts w:ascii="Times New Roman" w:hAnsi="Times New Roman"/>
          <w:bCs w:val="0"/>
          <w:sz w:val="22"/>
          <w:lang w:eastAsia="zh-CN"/>
        </w:rPr>
        <w:fldChar w:fldCharType="end"/>
      </w:r>
      <w:r w:rsidRPr="00551A8E">
        <w:rPr>
          <w:rFonts w:ascii="Times New Roman" w:hAnsi="Times New Roman"/>
          <w:bCs w:val="0"/>
          <w:sz w:val="22"/>
          <w:lang w:eastAsia="zh-CN"/>
        </w:rPr>
        <w:t xml:space="preserve"> and GO </w:t>
      </w:r>
      <w:r w:rsidRPr="00551A8E">
        <w:rPr>
          <w:rFonts w:ascii="Times New Roman" w:hAnsi="Times New Roman"/>
          <w:bCs w:val="0"/>
          <w:sz w:val="22"/>
          <w:lang w:eastAsia="zh-CN"/>
        </w:rPr>
        <w:fldChar w:fldCharType="begin"/>
      </w:r>
      <w:r w:rsidR="00010D3F" w:rsidRPr="00551A8E">
        <w:rPr>
          <w:rFonts w:ascii="Times New Roman" w:hAnsi="Times New Roman"/>
          <w:bCs w:val="0"/>
          <w:sz w:val="22"/>
          <w:lang w:eastAsia="zh-CN"/>
        </w:rPr>
        <w:instrText xml:space="preserve"> ADDIN EN.CITE &lt;EndNote&gt;&lt;Cite&gt;&lt;Author&gt;Consortium&lt;/Author&gt;&lt;Year&gt;2004&lt;/Year&gt;&lt;RecNum&gt;4&lt;/RecNum&gt;&lt;DisplayText&gt;(2)&lt;/DisplayText&gt;&lt;record&gt;&lt;rec-number&gt;4&lt;/rec-number&gt;&lt;foreign-keys&gt;&lt;key app="EN" db-id="9sxvtsa9azp05xetzd2xw0x3eraaaz5p5zzr" timestamp="1534601229"&gt;4&lt;/key&gt;&lt;/foreign-keys&gt;&lt;ref-type name="Journal Article"&gt;17&lt;/ref-type&gt;&lt;contributors&gt;&lt;authors&gt;&lt;author&gt;Gene Ontology Consortium&lt;/author&gt;&lt;/authors&gt;&lt;/contributors&gt;&lt;titles&gt;&lt;title&gt;The Gene Ontology (GO) database and informatics resource&lt;/title&gt;&lt;secondary-title&gt;Nucleic acids research&lt;/secondary-title&gt;&lt;/titles&gt;&lt;periodical&gt;&lt;full-title&gt;Nucleic acids research&lt;/full-title&gt;&lt;/periodical&gt;&lt;pages&gt;D258-D261&lt;/pages&gt;&lt;volume&gt;32&lt;/volume&gt;&lt;number&gt;suppl 1&lt;/number&gt;&lt;dates&gt;&lt;year&gt;2004&lt;/year&gt;&lt;/dates&gt;&lt;isbn&gt;0305-1048&lt;/isbn&gt;&lt;urls&gt;&lt;/urls&gt;&lt;/record&gt;&lt;/Cite&gt;&lt;/EndNote&gt;</w:instrText>
      </w:r>
      <w:r w:rsidRPr="00551A8E">
        <w:rPr>
          <w:rFonts w:ascii="Times New Roman" w:hAnsi="Times New Roman"/>
          <w:bCs w:val="0"/>
          <w:sz w:val="22"/>
          <w:lang w:eastAsia="zh-CN"/>
        </w:rPr>
        <w:fldChar w:fldCharType="separate"/>
      </w:r>
      <w:r w:rsidR="00010D3F" w:rsidRPr="00551A8E">
        <w:rPr>
          <w:rFonts w:ascii="Times New Roman" w:hAnsi="Times New Roman"/>
          <w:bCs w:val="0"/>
          <w:noProof/>
          <w:sz w:val="22"/>
          <w:lang w:eastAsia="zh-CN"/>
        </w:rPr>
        <w:t>(2)</w:t>
      </w:r>
      <w:r w:rsidRPr="00551A8E">
        <w:rPr>
          <w:rFonts w:ascii="Times New Roman" w:hAnsi="Times New Roman"/>
          <w:bCs w:val="0"/>
          <w:sz w:val="22"/>
          <w:lang w:eastAsia="zh-CN"/>
        </w:rPr>
        <w:fldChar w:fldCharType="end"/>
      </w:r>
      <w:r w:rsidRPr="00551A8E">
        <w:rPr>
          <w:rFonts w:ascii="Times New Roman" w:hAnsi="Times New Roman"/>
          <w:bCs w:val="0"/>
          <w:sz w:val="22"/>
          <w:lang w:eastAsia="zh-CN"/>
        </w:rPr>
        <w:t xml:space="preserve">. </w:t>
      </w:r>
      <w:r w:rsidRPr="00551A8E">
        <w:rPr>
          <w:rFonts w:ascii="Times New Roman" w:hAnsi="Times New Roman"/>
          <w:sz w:val="22"/>
          <w:lang w:eastAsia="zh-CN"/>
        </w:rPr>
        <w:t>The searching algorithm for gene signature (DEGs) associations was described in their publications, and we will discuss it in the following part.</w:t>
      </w:r>
    </w:p>
    <w:p w14:paraId="513D81FC" w14:textId="77777777" w:rsidR="00C977E6" w:rsidRPr="00551A8E" w:rsidRDefault="00C977E6" w:rsidP="00C977E6">
      <w:pPr>
        <w:spacing w:before="120" w:line="480" w:lineRule="auto"/>
        <w:outlineLvl w:val="0"/>
        <w:rPr>
          <w:rFonts w:ascii="Times New Roman" w:hAnsi="Times New Roman" w:cs="Times New Roman"/>
          <w:bCs/>
          <w:color w:val="000000"/>
        </w:rPr>
      </w:pPr>
      <w:r w:rsidRPr="00551A8E">
        <w:rPr>
          <w:rFonts w:ascii="Times New Roman" w:hAnsi="Times New Roman" w:cs="Times New Roman"/>
          <w:b/>
          <w:bCs/>
          <w:color w:val="000000"/>
        </w:rPr>
        <w:t>Calculation of gene signature (DEGs) correlation</w:t>
      </w:r>
      <w:r w:rsidRPr="00551A8E">
        <w:rPr>
          <w:rFonts w:ascii="Times New Roman" w:hAnsi="Times New Roman" w:cs="Times New Roman"/>
          <w:bCs/>
          <w:color w:val="000000"/>
        </w:rPr>
        <w:t xml:space="preserve"> </w:t>
      </w:r>
    </w:p>
    <w:p w14:paraId="3FB06F39" w14:textId="75FF4724" w:rsidR="00C977E6" w:rsidRPr="00551A8E" w:rsidRDefault="00C977E6" w:rsidP="00C977E6">
      <w:pPr>
        <w:spacing w:before="120" w:line="480" w:lineRule="auto"/>
        <w:rPr>
          <w:rFonts w:ascii="Times New Roman" w:eastAsia="SimSun" w:hAnsi="Times New Roman" w:cs="Times New Roman"/>
          <w:bCs/>
        </w:rPr>
      </w:pPr>
      <w:r w:rsidRPr="00551A8E">
        <w:rPr>
          <w:rFonts w:ascii="Times New Roman" w:hAnsi="Times New Roman" w:cs="Times New Roman"/>
          <w:bCs/>
          <w:color w:val="000000"/>
        </w:rPr>
        <w:t xml:space="preserve">The association between different gene signature datasets is determined by a combination of a rank-based enrichment statistic, meta-analysis and biological ontologies provided by the </w:t>
      </w:r>
      <w:proofErr w:type="spellStart"/>
      <w:r w:rsidRPr="00551A8E">
        <w:rPr>
          <w:rFonts w:ascii="Times New Roman" w:hAnsi="Times New Roman" w:cs="Times New Roman"/>
          <w:bCs/>
          <w:color w:val="000000"/>
        </w:rPr>
        <w:t>BaseSpace</w:t>
      </w:r>
      <w:proofErr w:type="spellEnd"/>
      <w:r w:rsidRPr="00551A8E">
        <w:rPr>
          <w:rFonts w:ascii="Times New Roman" w:hAnsi="Times New Roman" w:cs="Times New Roman"/>
          <w:bCs/>
          <w:color w:val="000000"/>
        </w:rPr>
        <w:t xml:space="preserve"> software </w:t>
      </w:r>
      <w:r w:rsidRPr="00551A8E">
        <w:rPr>
          <w:rFonts w:ascii="Times New Roman" w:hAnsi="Times New Roman" w:cs="Times New Roman"/>
          <w:bCs/>
          <w:color w:val="000000"/>
        </w:rPr>
        <w:fldChar w:fldCharType="begin">
          <w:fldData xml:space="preserve">PEVuZE5vdGU+PENpdGU+PEF1dGhvcj5LdXBlcnNobWlkdDwvQXV0aG9yPjxZZWFyPjIwMTA8L1ll
YXI+PFJlY051bT41PC9SZWNOdW0+PERpc3BsYXlUZXh0PigzLTUpPC9EaXNwbGF5VGV4dD48cmVj
b3JkPjxyZWMtbnVtYmVyPjU8L3JlYy1udW1iZXI+PGZvcmVpZ24ta2V5cz48a2V5IGFwcD0iRU4i
IGRiLWlkPSI5c3h2dHNhOWF6cDA1eGV0emQyeHcweDNlcmFhYXo1cDV6enIiIHRpbWVzdGFtcD0i
MTUzNDYwMTIyOSI+NTwva2V5PjwvZm9yZWlnbi1rZXlzPjxyZWYtdHlwZSBuYW1lPSJKb3VybmFs
IEFydGljbGUiPjE3PC9yZWYtdHlwZT48Y29udHJpYnV0b3JzPjxhdXRob3JzPjxhdXRob3I+S3Vw
ZXJzaG1pZHQsIElseWE8L2F1dGhvcj48YXV0aG9yPlN1LCBRaWFvanVhbiBKYW5lPC9hdXRob3I+
PGF1dGhvcj5HcmV3YWwsIEFub29wPC9hdXRob3I+PGF1dGhvcj5TdW5kYXJlc2gsIFN1bWFuPC9h
dXRob3I+PGF1dGhvcj5IYWxwZXJpbiwgSW5iYWw8L2F1dGhvcj48YXV0aG9yPkZseW5uLCBKYW1l
czwvYXV0aG9yPjxhdXRob3I+U2hla2FyLCBNYW1hdGhhPC9hdXRob3I+PGF1dGhvcj5XYW5nLCBI
ZWxlbjwvYXV0aG9yPjxhdXRob3I+UGFyaywgSmVubnk8L2F1dGhvcj48YXV0aG9yPkN1aSwgV2Vu
d3U8L2F1dGhvcj48YXV0aG9yPldhbGwsIEdyZWdvcnkgRC48L2F1dGhvcj48YXV0aG9yPldpc290
emtleSwgUm9iZXJ0PC9hdXRob3I+PGF1dGhvcj5BbGFnLCBTYXRuYW08L2F1dGhvcj48YXV0aG9y
PkFraHRhcmksIFNhZWlkPC9hdXRob3I+PGF1dGhvcj5Sb25hZ2hpLCBNb3N0YWZhPC9hdXRob3I+
PC9hdXRob3JzPjwvY29udHJpYnV0b3JzPjx0aXRsZXM+PHRpdGxlPk9udG9sb2d5LUJhc2VkIE1l
dGEtQW5hbHlzaXMgb2YgR2xvYmFsIENvbGxlY3Rpb25zIG9mIEhpZ2gtVGhyb3VnaHB1dCBQdWJs
aWMgRGF0YTwvdGl0bGU+PHNlY29uZGFyeS10aXRsZT5QTE9TIE9ORTwvc2Vjb25kYXJ5LXRpdGxl
PjwvdGl0bGVzPjxwZXJpb2RpY2FsPjxmdWxsLXRpdGxlPlBMT1MgT05FPC9mdWxsLXRpdGxlPjwv
cGVyaW9kaWNhbD48cGFnZXM+ZTEzMDY2PC9wYWdlcz48dm9sdW1lPjU8L3ZvbHVtZT48bnVtYmVy
Pjk8L251bWJlcj48ZGF0ZXM+PHllYXI+MjAxMDwveWVhcj48L2RhdGVzPjxwdWJsaXNoZXI+UHVi
bGljIExpYnJhcnkgb2YgU2NpZW5jZTwvcHVibGlzaGVyPjx1cmxzPjxyZWxhdGVkLXVybHM+PHVy
bD5odHRwczovL2RvaS5vcmcvMTAuMTM3MS9qb3VybmFsLnBvbmUuMDAxMzA2NjwvdXJsPjwvcmVs
YXRlZC11cmxzPjwvdXJscz48ZWxlY3Ryb25pYy1yZXNvdXJjZS1udW0+MTAuMTM3MS9qb3VybmFs
LnBvbmUuMDAxMzA2NjwvZWxlY3Ryb25pYy1yZXNvdXJjZS1udW0+PC9yZWNvcmQ+PC9DaXRlPjxD
aXRlPjxBdXRob3I+TGFtYjwvQXV0aG9yPjxZZWFyPjIwMDY8L1llYXI+PFJlY051bT42PC9SZWNO
dW0+PHJlY29yZD48cmVjLW51bWJlcj42PC9yZWMtbnVtYmVyPjxmb3JlaWduLWtleXM+PGtleSBh
cHA9IkVOIiBkYi1pZD0iOXN4dnRzYTlhenAwNXhldHpkMnh3MHgzZXJhYWF6NXA1enpyIiB0aW1l
c3RhbXA9IjE1MzQ2MDEyMjkiPjY8L2tleT48L2ZvcmVpZ24ta2V5cz48cmVmLXR5cGUgbmFtZT0i
Sm91cm5hbCBBcnRpY2xlIj4xNzwvcmVmLXR5cGU+PGNvbnRyaWJ1dG9ycz48YXV0aG9ycz48YXV0
aG9yPkxhbWIsIEouPC9hdXRob3I+PGF1dGhvcj5DcmF3Zm9yZCwgRS4gRC48L2F1dGhvcj48YXV0
aG9yPlBlY2ssIEQuPC9hdXRob3I+PGF1dGhvcj5Nb2RlbGwsIEouIFcuPC9hdXRob3I+PGF1dGhv
cj5CbGF0LCBJLiBDLjwvYXV0aG9yPjxhdXRob3I+V3JvYmVsLCBNLiBKLjwvYXV0aG9yPjxhdXRo
b3I+TGVybmVyLCBKLjwvYXV0aG9yPjxhdXRob3I+QnJ1bmV0LCBKLiBQLjwvYXV0aG9yPjxhdXRo
b3I+U3VicmFtYW5pYW4sIEEuPC9hdXRob3I+PGF1dGhvcj5Sb3NzLCBLLiBOLjwvYXV0aG9yPjxh
dXRob3I+UmVpY2gsIE0uPC9hdXRob3I+PGF1dGhvcj5IaWVyb255bXVzLCBILjwvYXV0aG9yPjxh
dXRob3I+V2VpLCBHLjwvYXV0aG9yPjxhdXRob3I+QXJtc3Ryb25nLCBTLiBBLjwvYXV0aG9yPjxh
dXRob3I+SGFnZ2FydHksIFMuIEouPC9hdXRob3I+PGF1dGhvcj5DbGVtb25zLCBQLiBBLjwvYXV0
aG9yPjxhdXRob3I+V2VpLCBSLjwvYXV0aG9yPjxhdXRob3I+Q2FyciwgUy4gQS48L2F1dGhvcj48
YXV0aG9yPkxhbmRlciwgRS4gUy48L2F1dGhvcj48YXV0aG9yPkdvbHViLCBULiBSLjwvYXV0aG9y
PjwvYXV0aG9ycz48L2NvbnRyaWJ1dG9ycz48YXV0aC1hZGRyZXNzPkJyb2FkIEluc3RpdHV0ZSBv
ZiBNYXNzYWNodXNldHRzIEluc3RpdHV0ZSBvZiBUZWNobm9sb2d5IGFuZCBIYXJ2YXJkIFVuaXZl
cnNpdHksIENhbWJyaWRnZSwgTUEgMDIxNDIsIFVTQS4ganVzdGluQGJyb2FkLm1pdC5lZHU8L2F1
dGgtYWRkcmVzcz48dGl0bGVzPjx0aXRsZT5UaGUgQ29ubmVjdGl2aXR5IE1hcDogdXNpbmcgZ2Vu
ZS1leHByZXNzaW9uIHNpZ25hdHVyZXMgdG8gY29ubmVjdCBzbWFsbCBtb2xlY3VsZXMsIGdlbmVz
LCBhbmQgZGlzZWFzZTwvdGl0bGU+PHNlY29uZGFyeS10aXRsZT5TY2llbmNlPC9zZWNvbmRhcnkt
dGl0bGU+PGFsdC10aXRsZT5TY2llbmNlPC9hbHQtdGl0bGU+PC90aXRsZXM+PHBlcmlvZGljYWw+
PGZ1bGwtdGl0bGU+U2NpZW5jZTwvZnVsbC10aXRsZT48YWJici0xPlNjaWVuY2U8L2FiYnItMT48
L3BlcmlvZGljYWw+PGFsdC1wZXJpb2RpY2FsPjxmdWxsLXRpdGxlPlNjaWVuY2U8L2Z1bGwtdGl0
bGU+PGFiYnItMT5TY2llbmNlPC9hYmJyLTE+PC9hbHQtcGVyaW9kaWNhbD48cGFnZXM+MTkyOS0z
NTwvcGFnZXM+PHZvbHVtZT4zMTM8L3ZvbHVtZT48bnVtYmVyPjU3OTU8L251bWJlcj48a2V5d29y
ZHM+PGtleXdvcmQ+QWx6aGVpbWVyIERpc2Vhc2UvZHJ1ZyB0aGVyYXB5L2dlbmV0aWNzPC9rZXl3
b3JkPjxrZXl3b3JkPkNlbGwgTGluZTwva2V5d29yZD48a2V5d29yZD5DZWxsIExpbmUsIFR1bW9y
PC9rZXl3b3JkPjxrZXl3b3JkPipEYXRhYmFzZXMsIEZhY3R1YWw8L2tleXdvcmQ+PGtleXdvcmQ+
RGV4YW1ldGhhc29uZS9waGFybWFjb2xvZ3kvdGhlcmFwZXV0aWMgdXNlPC9rZXl3b3JkPjxrZXl3
b3JkPkRydWcgRXZhbHVhdGlvbiwgUHJlY2xpbmljYWwvKm1ldGhvZHM8L2tleXdvcmQ+PGtleXdv
cmQ+RHJ1ZyBSZXNpc3RhbmNlLCBOZW9wbGFzbTwva2V5d29yZD48a2V5d29yZD5Fbnp5bWUgSW5o
aWJpdG9ycy9waGFybWFjb2xvZ3k8L2tleXdvcmQ+PGtleXdvcmQ+RXN0cm9nZW5zL3BoYXJtYWNv
bG9neTwva2V5d29yZD48a2V5d29yZD5HZW5lIEV4cHJlc3Npb24vKmRydWcgZWZmZWN0czwva2V5
d29yZD48a2V5d29yZD4qR2VuZSBFeHByZXNzaW9uIFByb2ZpbGluZzwva2V5d29yZD48a2V5d29y
ZD5IU1A5MCBIZWF0LVNob2NrIFByb3RlaW5zL2FudGFnb25pc3RzICZhbXA7IGluaGliaXRvcnM8
L2tleXdvcmQ+PGtleXdvcmQ+SGlzdG9uZSBEZWFjZXR5bGFzZSBJbmhpYml0b3JzPC9rZXl3b3Jk
PjxrZXl3b3JkPkh1bWFuczwva2V5d29yZD48a2V5d29yZD5MaW1vbmlucy9waGFybWFjb2xvZ3k8
L2tleXdvcmQ+PGtleXdvcmQ+T2Jlc2l0eS9nZW5ldGljcy9waHlzaW9wYXRob2xvZ3k8L2tleXdv
cmQ+PGtleXdvcmQ+T2xpZ29udWNsZW90aWRlIEFycmF5IFNlcXVlbmNlIEFuYWx5c2lzPC9rZXl3
b3JkPjxrZXl3b3JkPlBoZW5vdGhpYXppbmVzL3BoYXJtYWNvbG9neTwva2V5d29yZD48a2V5d29y
ZD5QcmVjdXJzb3IgQ2VsbCBMeW1waG9ibGFzdGljIExldWtlbWlhLUx5bXBob21hL2RydWc8L2tl
eXdvcmQ+PGtleXdvcmQ+dGhlcmFweS9nZW5ldGljcy9waHlzaW9wYXRob2xvZ3k8L2tleXdvcmQ+
PGtleXdvcmQ+U2lyb2xpbXVzL3BoYXJtYWNvbG9neS90aGVyYXBldXRpYyB1c2U8L2tleXdvcmQ+
PGtleXdvcmQ+U29mdHdhcmU8L2tleXdvcmQ+PC9rZXl3b3Jkcz48ZGF0ZXM+PHllYXI+MjAwNjwv
eWVhcj48cHViLWRhdGVzPjxkYXRlPlNlcCAyOTwvZGF0ZT48L3B1Yi1kYXRlcz48L2RhdGVzPjxp
c2JuPjEwOTUtOTIwMyAoRWxlY3Ryb25pYykmI3hEOzAwMzYtODA3NSAoTGlua2luZyk8L2lzYm4+
PGFjY2Vzc2lvbi1udW0+MTcwMDg1MjY8L2FjY2Vzc2lvbi1udW0+PHVybHM+PHJlbGF0ZWQtdXJs
cz48dXJsPmh0dHA6Ly93d3cubmNiaS5ubG0ubmloLmdvdi9wdWJtZWQvMTcwMDg1MjY8L3VybD48
L3JlbGF0ZWQtdXJscz48L3VybHM+PGVsZWN0cm9uaWMtcmVzb3VyY2UtbnVtPjEwLjExMjYvc2Np
ZW5jZS4xMTMyOTM5PC9lbGVjdHJvbmljLXJlc291cmNlLW51bT48L3JlY29yZD48L0NpdGU+PENp
dGU+PEF1dGhvcj5MYW1iPC9BdXRob3I+PFllYXI+MjAwNzwvWWVhcj48UmVjTnVtPjc8L1JlY051
bT48cmVjb3JkPjxyZWMtbnVtYmVyPjc8L3JlYy1udW1iZXI+PGZvcmVpZ24ta2V5cz48a2V5IGFw
cD0iRU4iIGRiLWlkPSI5c3h2dHNhOWF6cDA1eGV0emQyeHcweDNlcmFhYXo1cDV6enIiIHRpbWVz
dGFtcD0iMTUzNDYwMTIyOSI+Nzwva2V5PjwvZm9yZWlnbi1rZXlzPjxyZWYtdHlwZSBuYW1lPSJK
b3VybmFsIEFydGljbGUiPjE3PC9yZWYtdHlwZT48Y29udHJpYnV0b3JzPjxhdXRob3JzPjxhdXRo
b3I+TGFtYiwgSi48L2F1dGhvcj48L2F1dGhvcnM+PC9jb250cmlidXRvcnM+PGF1dGgtYWRkcmVz
cz5Ccm9hZCBJbnN0aXR1dGUgb2YgdGhlIE1hc3NhY2h1c2V0dHMgSW5zdGl0dXRlIG9mIFRlY2hu
b2xvZ3kgYW5kIEhhcnZhcmQgVW5pdmVyc2l0eSwgQ2FtYnJpZGdlLCBNYXNzYWNodXNldHRzIDAy
MTQyLCBVU0EuIGp1c3RpbkBicm9hZC5taXQuZWR1PC9hdXRoLWFkZHJlc3M+PHRpdGxlcz48dGl0
bGU+VGhlIENvbm5lY3Rpdml0eSBNYXA6IGEgbmV3IHRvb2wgZm9yIGJpb21lZGljYWwgcmVzZWFy
Y2g8L3RpdGxlPjxzZWNvbmRhcnktdGl0bGU+TmF0IFJldiBDYW5jZXI8L3NlY29uZGFyeS10aXRs
ZT48YWx0LXRpdGxlPk5hdHVyZSByZXZpZXdzLiBDYW5jZXI8L2FsdC10aXRsZT48L3RpdGxlcz48
cGVyaW9kaWNhbD48ZnVsbC10aXRsZT5OYXQgUmV2IENhbmNlcjwvZnVsbC10aXRsZT48YWJici0x
Pk5hdHVyZSByZXZpZXdzLiBDYW5jZXI8L2FiYnItMT48L3BlcmlvZGljYWw+PGFsdC1wZXJpb2Rp
Y2FsPjxmdWxsLXRpdGxlPk5hdCBSZXYgQ2FuY2VyPC9mdWxsLXRpdGxlPjxhYmJyLTE+TmF0dXJl
IHJldmlld3MuIENhbmNlcjwvYWJici0xPjwvYWx0LXBlcmlvZGljYWw+PHBhZ2VzPjU0LTYwPC9w
YWdlcz48dm9sdW1lPjc8L3ZvbHVtZT48bnVtYmVyPjE8L251bWJlcj48a2V5d29yZHM+PGtleXdv
cmQ+QWxnb3JpdGhtczwva2V5d29yZD48a2V5d29yZD5BbmltYWxzPC9rZXl3b3JkPjxrZXl3b3Jk
PipCaW9tZWRpY2FsIFJlc2VhcmNoPC9rZXl3b3JkPjxrZXl3b3JkPkNvbXB1dGF0aW9uYWwgQmlv
bG9neS8qbWV0aG9kczwva2V5d29yZD48a2V5d29yZD5HZW5lIEV4cHJlc3Npb24gUmVndWxhdGlv
bjwva2V5d29yZD48a2V5d29yZD5HZW5vbWU8L2tleXdvcmQ+PGtleXdvcmQ+SHVtYW5zPC9rZXl3
b3JkPjxrZXl3b3JkPkluZm9ybWF0aW9uIFNlcnZpY2VzPC9rZXl3b3JkPjxrZXl3b3JkPkluZm9y
bWF0aW9uIFN0b3JhZ2UgYW5kIFJldHJpZXZhbDwva2V5d29yZD48a2V5d29yZD5Nb2RlbHMsIEJp
b2xvZ2ljYWw8L2tleXdvcmQ+PGtleXdvcmQ+TW9kZWxzLCBHZW5ldGljPC9rZXl3b3JkPjxrZXl3
b3JkPk5lb3BsYXNtcy9nZW5ldGljczwva2V5d29yZD48a2V5d29yZD5QaGVub3R5cGU8L2tleXdv
cmQ+PGtleXdvcmQ+U29mdHdhcmU8L2tleXdvcmQ+PC9rZXl3b3Jkcz48ZGF0ZXM+PHllYXI+MjAw
NzwveWVhcj48cHViLWRhdGVzPjxkYXRlPkphbjwvZGF0ZT48L3B1Yi1kYXRlcz48L2RhdGVzPjxp
c2JuPjE0NzQtMTc1WCAoUHJpbnQpJiN4RDsxNDc0LTE3NVggKExpbmtpbmcpPC9pc2JuPjxhY2Nl
c3Npb24tbnVtPjE3MTg2MDE4PC9hY2Nlc3Npb24tbnVtPjx1cmxzPjxyZWxhdGVkLXVybHM+PHVy
bD5odHRwOi8vd3d3Lm5jYmkubmxtLm5paC5nb3YvcHVibWVkLzE3MTg2MDE4PC91cmw+PC9yZWxh
dGVkLXVybHM+PC91cmxzPjxlbGVjdHJvbmljLXJlc291cmNlLW51bT4xMC4xMDM4L25yYzIwNDQ8
L2VsZWN0cm9uaWMtcmVzb3VyY2UtbnVtPjwvcmVjb3JkPjwvQ2l0ZT48L0VuZE5vdGU+AG==
</w:fldData>
        </w:fldChar>
      </w:r>
      <w:r w:rsidR="00010D3F" w:rsidRPr="00551A8E">
        <w:rPr>
          <w:rFonts w:ascii="Times New Roman" w:hAnsi="Times New Roman" w:cs="Times New Roman"/>
          <w:bCs/>
          <w:color w:val="000000"/>
        </w:rPr>
        <w:instrText xml:space="preserve"> ADDIN EN.CITE </w:instrText>
      </w:r>
      <w:r w:rsidR="00010D3F" w:rsidRPr="00551A8E">
        <w:rPr>
          <w:rFonts w:ascii="Times New Roman" w:hAnsi="Times New Roman" w:cs="Times New Roman"/>
          <w:bCs/>
          <w:color w:val="000000"/>
        </w:rPr>
        <w:fldChar w:fldCharType="begin">
          <w:fldData xml:space="preserve">PEVuZE5vdGU+PENpdGU+PEF1dGhvcj5LdXBlcnNobWlkdDwvQXV0aG9yPjxZZWFyPjIwMTA8L1ll
YXI+PFJlY051bT41PC9SZWNOdW0+PERpc3BsYXlUZXh0PigzLTUpPC9EaXNwbGF5VGV4dD48cmVj
b3JkPjxyZWMtbnVtYmVyPjU8L3JlYy1udW1iZXI+PGZvcmVpZ24ta2V5cz48a2V5IGFwcD0iRU4i
IGRiLWlkPSI5c3h2dHNhOWF6cDA1eGV0emQyeHcweDNlcmFhYXo1cDV6enIiIHRpbWVzdGFtcD0i
MTUzNDYwMTIyOSI+NTwva2V5PjwvZm9yZWlnbi1rZXlzPjxyZWYtdHlwZSBuYW1lPSJKb3VybmFs
IEFydGljbGUiPjE3PC9yZWYtdHlwZT48Y29udHJpYnV0b3JzPjxhdXRob3JzPjxhdXRob3I+S3Vw
ZXJzaG1pZHQsIElseWE8L2F1dGhvcj48YXV0aG9yPlN1LCBRaWFvanVhbiBKYW5lPC9hdXRob3I+
PGF1dGhvcj5HcmV3YWwsIEFub29wPC9hdXRob3I+PGF1dGhvcj5TdW5kYXJlc2gsIFN1bWFuPC9h
dXRob3I+PGF1dGhvcj5IYWxwZXJpbiwgSW5iYWw8L2F1dGhvcj48YXV0aG9yPkZseW5uLCBKYW1l
czwvYXV0aG9yPjxhdXRob3I+U2hla2FyLCBNYW1hdGhhPC9hdXRob3I+PGF1dGhvcj5XYW5nLCBI
ZWxlbjwvYXV0aG9yPjxhdXRob3I+UGFyaywgSmVubnk8L2F1dGhvcj48YXV0aG9yPkN1aSwgV2Vu
d3U8L2F1dGhvcj48YXV0aG9yPldhbGwsIEdyZWdvcnkgRC48L2F1dGhvcj48YXV0aG9yPldpc290
emtleSwgUm9iZXJ0PC9hdXRob3I+PGF1dGhvcj5BbGFnLCBTYXRuYW08L2F1dGhvcj48YXV0aG9y
PkFraHRhcmksIFNhZWlkPC9hdXRob3I+PGF1dGhvcj5Sb25hZ2hpLCBNb3N0YWZhPC9hdXRob3I+
PC9hdXRob3JzPjwvY29udHJpYnV0b3JzPjx0aXRsZXM+PHRpdGxlPk9udG9sb2d5LUJhc2VkIE1l
dGEtQW5hbHlzaXMgb2YgR2xvYmFsIENvbGxlY3Rpb25zIG9mIEhpZ2gtVGhyb3VnaHB1dCBQdWJs
aWMgRGF0YTwvdGl0bGU+PHNlY29uZGFyeS10aXRsZT5QTE9TIE9ORTwvc2Vjb25kYXJ5LXRpdGxl
PjwvdGl0bGVzPjxwZXJpb2RpY2FsPjxmdWxsLXRpdGxlPlBMT1MgT05FPC9mdWxsLXRpdGxlPjwv
cGVyaW9kaWNhbD48cGFnZXM+ZTEzMDY2PC9wYWdlcz48dm9sdW1lPjU8L3ZvbHVtZT48bnVtYmVy
Pjk8L251bWJlcj48ZGF0ZXM+PHllYXI+MjAxMDwveWVhcj48L2RhdGVzPjxwdWJsaXNoZXI+UHVi
bGljIExpYnJhcnkgb2YgU2NpZW5jZTwvcHVibGlzaGVyPjx1cmxzPjxyZWxhdGVkLXVybHM+PHVy
bD5odHRwczovL2RvaS5vcmcvMTAuMTM3MS9qb3VybmFsLnBvbmUuMDAxMzA2NjwvdXJsPjwvcmVs
YXRlZC11cmxzPjwvdXJscz48ZWxlY3Ryb25pYy1yZXNvdXJjZS1udW0+MTAuMTM3MS9qb3VybmFs
LnBvbmUuMDAxMzA2NjwvZWxlY3Ryb25pYy1yZXNvdXJjZS1udW0+PC9yZWNvcmQ+PC9DaXRlPjxD
aXRlPjxBdXRob3I+TGFtYjwvQXV0aG9yPjxZZWFyPjIwMDY8L1llYXI+PFJlY051bT42PC9SZWNO
dW0+PHJlY29yZD48cmVjLW51bWJlcj42PC9yZWMtbnVtYmVyPjxmb3JlaWduLWtleXM+PGtleSBh
cHA9IkVOIiBkYi1pZD0iOXN4dnRzYTlhenAwNXhldHpkMnh3MHgzZXJhYWF6NXA1enpyIiB0aW1l
c3RhbXA9IjE1MzQ2MDEyMjkiPjY8L2tleT48L2ZvcmVpZ24ta2V5cz48cmVmLXR5cGUgbmFtZT0i
Sm91cm5hbCBBcnRpY2xlIj4xNzwvcmVmLXR5cGU+PGNvbnRyaWJ1dG9ycz48YXV0aG9ycz48YXV0
aG9yPkxhbWIsIEouPC9hdXRob3I+PGF1dGhvcj5DcmF3Zm9yZCwgRS4gRC48L2F1dGhvcj48YXV0
aG9yPlBlY2ssIEQuPC9hdXRob3I+PGF1dGhvcj5Nb2RlbGwsIEouIFcuPC9hdXRob3I+PGF1dGhv
cj5CbGF0LCBJLiBDLjwvYXV0aG9yPjxhdXRob3I+V3JvYmVsLCBNLiBKLjwvYXV0aG9yPjxhdXRo
b3I+TGVybmVyLCBKLjwvYXV0aG9yPjxhdXRob3I+QnJ1bmV0LCBKLiBQLjwvYXV0aG9yPjxhdXRo
b3I+U3VicmFtYW5pYW4sIEEuPC9hdXRob3I+PGF1dGhvcj5Sb3NzLCBLLiBOLjwvYXV0aG9yPjxh
dXRob3I+UmVpY2gsIE0uPC9hdXRob3I+PGF1dGhvcj5IaWVyb255bXVzLCBILjwvYXV0aG9yPjxh
dXRob3I+V2VpLCBHLjwvYXV0aG9yPjxhdXRob3I+QXJtc3Ryb25nLCBTLiBBLjwvYXV0aG9yPjxh
dXRob3I+SGFnZ2FydHksIFMuIEouPC9hdXRob3I+PGF1dGhvcj5DbGVtb25zLCBQLiBBLjwvYXV0
aG9yPjxhdXRob3I+V2VpLCBSLjwvYXV0aG9yPjxhdXRob3I+Q2FyciwgUy4gQS48L2F1dGhvcj48
YXV0aG9yPkxhbmRlciwgRS4gUy48L2F1dGhvcj48YXV0aG9yPkdvbHViLCBULiBSLjwvYXV0aG9y
PjwvYXV0aG9ycz48L2NvbnRyaWJ1dG9ycz48YXV0aC1hZGRyZXNzPkJyb2FkIEluc3RpdHV0ZSBv
ZiBNYXNzYWNodXNldHRzIEluc3RpdHV0ZSBvZiBUZWNobm9sb2d5IGFuZCBIYXJ2YXJkIFVuaXZl
cnNpdHksIENhbWJyaWRnZSwgTUEgMDIxNDIsIFVTQS4ganVzdGluQGJyb2FkLm1pdC5lZHU8L2F1
dGgtYWRkcmVzcz48dGl0bGVzPjx0aXRsZT5UaGUgQ29ubmVjdGl2aXR5IE1hcDogdXNpbmcgZ2Vu
ZS1leHByZXNzaW9uIHNpZ25hdHVyZXMgdG8gY29ubmVjdCBzbWFsbCBtb2xlY3VsZXMsIGdlbmVz
LCBhbmQgZGlzZWFzZTwvdGl0bGU+PHNlY29uZGFyeS10aXRsZT5TY2llbmNlPC9zZWNvbmRhcnkt
dGl0bGU+PGFsdC10aXRsZT5TY2llbmNlPC9hbHQtdGl0bGU+PC90aXRsZXM+PHBlcmlvZGljYWw+
PGZ1bGwtdGl0bGU+U2NpZW5jZTwvZnVsbC10aXRsZT48YWJici0xPlNjaWVuY2U8L2FiYnItMT48
L3BlcmlvZGljYWw+PGFsdC1wZXJpb2RpY2FsPjxmdWxsLXRpdGxlPlNjaWVuY2U8L2Z1bGwtdGl0
bGU+PGFiYnItMT5TY2llbmNlPC9hYmJyLTE+PC9hbHQtcGVyaW9kaWNhbD48cGFnZXM+MTkyOS0z
NTwvcGFnZXM+PHZvbHVtZT4zMTM8L3ZvbHVtZT48bnVtYmVyPjU3OTU8L251bWJlcj48a2V5d29y
ZHM+PGtleXdvcmQ+QWx6aGVpbWVyIERpc2Vhc2UvZHJ1ZyB0aGVyYXB5L2dlbmV0aWNzPC9rZXl3
b3JkPjxrZXl3b3JkPkNlbGwgTGluZTwva2V5d29yZD48a2V5d29yZD5DZWxsIExpbmUsIFR1bW9y
PC9rZXl3b3JkPjxrZXl3b3JkPipEYXRhYmFzZXMsIEZhY3R1YWw8L2tleXdvcmQ+PGtleXdvcmQ+
RGV4YW1ldGhhc29uZS9waGFybWFjb2xvZ3kvdGhlcmFwZXV0aWMgdXNlPC9rZXl3b3JkPjxrZXl3
b3JkPkRydWcgRXZhbHVhdGlvbiwgUHJlY2xpbmljYWwvKm1ldGhvZHM8L2tleXdvcmQ+PGtleXdv
cmQ+RHJ1ZyBSZXNpc3RhbmNlLCBOZW9wbGFzbTwva2V5d29yZD48a2V5d29yZD5Fbnp5bWUgSW5o
aWJpdG9ycy9waGFybWFjb2xvZ3k8L2tleXdvcmQ+PGtleXdvcmQ+RXN0cm9nZW5zL3BoYXJtYWNv
bG9neTwva2V5d29yZD48a2V5d29yZD5HZW5lIEV4cHJlc3Npb24vKmRydWcgZWZmZWN0czwva2V5
d29yZD48a2V5d29yZD4qR2VuZSBFeHByZXNzaW9uIFByb2ZpbGluZzwva2V5d29yZD48a2V5d29y
ZD5IU1A5MCBIZWF0LVNob2NrIFByb3RlaW5zL2FudGFnb25pc3RzICZhbXA7IGluaGliaXRvcnM8
L2tleXdvcmQ+PGtleXdvcmQ+SGlzdG9uZSBEZWFjZXR5bGFzZSBJbmhpYml0b3JzPC9rZXl3b3Jk
PjxrZXl3b3JkPkh1bWFuczwva2V5d29yZD48a2V5d29yZD5MaW1vbmlucy9waGFybWFjb2xvZ3k8
L2tleXdvcmQ+PGtleXdvcmQ+T2Jlc2l0eS9nZW5ldGljcy9waHlzaW9wYXRob2xvZ3k8L2tleXdv
cmQ+PGtleXdvcmQ+T2xpZ29udWNsZW90aWRlIEFycmF5IFNlcXVlbmNlIEFuYWx5c2lzPC9rZXl3
b3JkPjxrZXl3b3JkPlBoZW5vdGhpYXppbmVzL3BoYXJtYWNvbG9neTwva2V5d29yZD48a2V5d29y
ZD5QcmVjdXJzb3IgQ2VsbCBMeW1waG9ibGFzdGljIExldWtlbWlhLUx5bXBob21hL2RydWc8L2tl
eXdvcmQ+PGtleXdvcmQ+dGhlcmFweS9nZW5ldGljcy9waHlzaW9wYXRob2xvZ3k8L2tleXdvcmQ+
PGtleXdvcmQ+U2lyb2xpbXVzL3BoYXJtYWNvbG9neS90aGVyYXBldXRpYyB1c2U8L2tleXdvcmQ+
PGtleXdvcmQ+U29mdHdhcmU8L2tleXdvcmQ+PC9rZXl3b3Jkcz48ZGF0ZXM+PHllYXI+MjAwNjwv
eWVhcj48cHViLWRhdGVzPjxkYXRlPlNlcCAyOTwvZGF0ZT48L3B1Yi1kYXRlcz48L2RhdGVzPjxp
c2JuPjEwOTUtOTIwMyAoRWxlY3Ryb25pYykmI3hEOzAwMzYtODA3NSAoTGlua2luZyk8L2lzYm4+
PGFjY2Vzc2lvbi1udW0+MTcwMDg1MjY8L2FjY2Vzc2lvbi1udW0+PHVybHM+PHJlbGF0ZWQtdXJs
cz48dXJsPmh0dHA6Ly93d3cubmNiaS5ubG0ubmloLmdvdi9wdWJtZWQvMTcwMDg1MjY8L3VybD48
L3JlbGF0ZWQtdXJscz48L3VybHM+PGVsZWN0cm9uaWMtcmVzb3VyY2UtbnVtPjEwLjExMjYvc2Np
ZW5jZS4xMTMyOTM5PC9lbGVjdHJvbmljLXJlc291cmNlLW51bT48L3JlY29yZD48L0NpdGU+PENp
dGU+PEF1dGhvcj5MYW1iPC9BdXRob3I+PFllYXI+MjAwNzwvWWVhcj48UmVjTnVtPjc8L1JlY051
bT48cmVjb3JkPjxyZWMtbnVtYmVyPjc8L3JlYy1udW1iZXI+PGZvcmVpZ24ta2V5cz48a2V5IGFw
cD0iRU4iIGRiLWlkPSI5c3h2dHNhOWF6cDA1eGV0emQyeHcweDNlcmFhYXo1cDV6enIiIHRpbWVz
dGFtcD0iMTUzNDYwMTIyOSI+Nzwva2V5PjwvZm9yZWlnbi1rZXlzPjxyZWYtdHlwZSBuYW1lPSJK
b3VybmFsIEFydGljbGUiPjE3PC9yZWYtdHlwZT48Y29udHJpYnV0b3JzPjxhdXRob3JzPjxhdXRo
b3I+TGFtYiwgSi48L2F1dGhvcj48L2F1dGhvcnM+PC9jb250cmlidXRvcnM+PGF1dGgtYWRkcmVz
cz5Ccm9hZCBJbnN0aXR1dGUgb2YgdGhlIE1hc3NhY2h1c2V0dHMgSW5zdGl0dXRlIG9mIFRlY2hu
b2xvZ3kgYW5kIEhhcnZhcmQgVW5pdmVyc2l0eSwgQ2FtYnJpZGdlLCBNYXNzYWNodXNldHRzIDAy
MTQyLCBVU0EuIGp1c3RpbkBicm9hZC5taXQuZWR1PC9hdXRoLWFkZHJlc3M+PHRpdGxlcz48dGl0
bGU+VGhlIENvbm5lY3Rpdml0eSBNYXA6IGEgbmV3IHRvb2wgZm9yIGJpb21lZGljYWwgcmVzZWFy
Y2g8L3RpdGxlPjxzZWNvbmRhcnktdGl0bGU+TmF0IFJldiBDYW5jZXI8L3NlY29uZGFyeS10aXRs
ZT48YWx0LXRpdGxlPk5hdHVyZSByZXZpZXdzLiBDYW5jZXI8L2FsdC10aXRsZT48L3RpdGxlcz48
cGVyaW9kaWNhbD48ZnVsbC10aXRsZT5OYXQgUmV2IENhbmNlcjwvZnVsbC10aXRsZT48YWJici0x
Pk5hdHVyZSByZXZpZXdzLiBDYW5jZXI8L2FiYnItMT48L3BlcmlvZGljYWw+PGFsdC1wZXJpb2Rp
Y2FsPjxmdWxsLXRpdGxlPk5hdCBSZXYgQ2FuY2VyPC9mdWxsLXRpdGxlPjxhYmJyLTE+TmF0dXJl
IHJldmlld3MuIENhbmNlcjwvYWJici0xPjwvYWx0LXBlcmlvZGljYWw+PHBhZ2VzPjU0LTYwPC9w
YWdlcz48dm9sdW1lPjc8L3ZvbHVtZT48bnVtYmVyPjE8L251bWJlcj48a2V5d29yZHM+PGtleXdv
cmQ+QWxnb3JpdGhtczwva2V5d29yZD48a2V5d29yZD5BbmltYWxzPC9rZXl3b3JkPjxrZXl3b3Jk
PipCaW9tZWRpY2FsIFJlc2VhcmNoPC9rZXl3b3JkPjxrZXl3b3JkPkNvbXB1dGF0aW9uYWwgQmlv
bG9neS8qbWV0aG9kczwva2V5d29yZD48a2V5d29yZD5HZW5lIEV4cHJlc3Npb24gUmVndWxhdGlv
bjwva2V5d29yZD48a2V5d29yZD5HZW5vbWU8L2tleXdvcmQ+PGtleXdvcmQ+SHVtYW5zPC9rZXl3
b3JkPjxrZXl3b3JkPkluZm9ybWF0aW9uIFNlcnZpY2VzPC9rZXl3b3JkPjxrZXl3b3JkPkluZm9y
bWF0aW9uIFN0b3JhZ2UgYW5kIFJldHJpZXZhbDwva2V5d29yZD48a2V5d29yZD5Nb2RlbHMsIEJp
b2xvZ2ljYWw8L2tleXdvcmQ+PGtleXdvcmQ+TW9kZWxzLCBHZW5ldGljPC9rZXl3b3JkPjxrZXl3
b3JkPk5lb3BsYXNtcy9nZW5ldGljczwva2V5d29yZD48a2V5d29yZD5QaGVub3R5cGU8L2tleXdv
cmQ+PGtleXdvcmQ+U29mdHdhcmU8L2tleXdvcmQ+PC9rZXl3b3Jkcz48ZGF0ZXM+PHllYXI+MjAw
NzwveWVhcj48cHViLWRhdGVzPjxkYXRlPkphbjwvZGF0ZT48L3B1Yi1kYXRlcz48L2RhdGVzPjxp
c2JuPjE0NzQtMTc1WCAoUHJpbnQpJiN4RDsxNDc0LTE3NVggKExpbmtpbmcpPC9pc2JuPjxhY2Nl
c3Npb24tbnVtPjE3MTg2MDE4PC9hY2Nlc3Npb24tbnVtPjx1cmxzPjxyZWxhdGVkLXVybHM+PHVy
bD5odHRwOi8vd3d3Lm5jYmkubmxtLm5paC5nb3YvcHVibWVkLzE3MTg2MDE4PC91cmw+PC9yZWxh
dGVkLXVybHM+PC91cmxzPjxlbGVjdHJvbmljLXJlc291cmNlLW51bT4xMC4xMDM4L25yYzIwNDQ8
L2VsZWN0cm9uaWMtcmVzb3VyY2UtbnVtPjwvcmVjb3JkPjwvQ2l0ZT48L0VuZE5vdGU+AG==
</w:fldData>
        </w:fldChar>
      </w:r>
      <w:r w:rsidR="00010D3F" w:rsidRPr="00551A8E">
        <w:rPr>
          <w:rFonts w:ascii="Times New Roman" w:hAnsi="Times New Roman" w:cs="Times New Roman"/>
          <w:bCs/>
          <w:color w:val="000000"/>
        </w:rPr>
        <w:instrText xml:space="preserve"> ADDIN EN.CITE.DATA </w:instrText>
      </w:r>
      <w:r w:rsidR="00010D3F" w:rsidRPr="00551A8E">
        <w:rPr>
          <w:rFonts w:ascii="Times New Roman" w:hAnsi="Times New Roman" w:cs="Times New Roman"/>
          <w:bCs/>
          <w:color w:val="000000"/>
        </w:rPr>
      </w:r>
      <w:r w:rsidR="00010D3F" w:rsidRPr="00551A8E">
        <w:rPr>
          <w:rFonts w:ascii="Times New Roman" w:hAnsi="Times New Roman" w:cs="Times New Roman"/>
          <w:bCs/>
          <w:color w:val="000000"/>
        </w:rPr>
        <w:fldChar w:fldCharType="end"/>
      </w:r>
      <w:r w:rsidRPr="00551A8E">
        <w:rPr>
          <w:rFonts w:ascii="Times New Roman" w:hAnsi="Times New Roman" w:cs="Times New Roman"/>
          <w:bCs/>
          <w:color w:val="000000"/>
        </w:rPr>
      </w:r>
      <w:r w:rsidRPr="00551A8E">
        <w:rPr>
          <w:rFonts w:ascii="Times New Roman" w:hAnsi="Times New Roman" w:cs="Times New Roman"/>
          <w:bCs/>
          <w:color w:val="000000"/>
        </w:rPr>
        <w:fldChar w:fldCharType="separate"/>
      </w:r>
      <w:r w:rsidR="00010D3F" w:rsidRPr="00551A8E">
        <w:rPr>
          <w:rFonts w:ascii="Times New Roman" w:hAnsi="Times New Roman" w:cs="Times New Roman"/>
          <w:bCs/>
          <w:noProof/>
          <w:color w:val="000000"/>
        </w:rPr>
        <w:t>(3-5)</w:t>
      </w:r>
      <w:r w:rsidRPr="00551A8E">
        <w:rPr>
          <w:rFonts w:ascii="Times New Roman" w:hAnsi="Times New Roman" w:cs="Times New Roman"/>
          <w:bCs/>
          <w:color w:val="000000"/>
        </w:rPr>
        <w:fldChar w:fldCharType="end"/>
      </w:r>
      <w:r w:rsidRPr="00551A8E">
        <w:rPr>
          <w:rFonts w:ascii="Times New Roman" w:hAnsi="Times New Roman" w:cs="Times New Roman"/>
          <w:bCs/>
        </w:rPr>
        <w:t xml:space="preserve">. When </w:t>
      </w:r>
      <w:proofErr w:type="spellStart"/>
      <w:r w:rsidRPr="00551A8E">
        <w:rPr>
          <w:rFonts w:ascii="Times New Roman" w:hAnsi="Times New Roman" w:cs="Times New Roman"/>
          <w:bCs/>
        </w:rPr>
        <w:t>BaseSpace</w:t>
      </w:r>
      <w:proofErr w:type="spellEnd"/>
      <w:r w:rsidRPr="00551A8E">
        <w:rPr>
          <w:rFonts w:ascii="Times New Roman" w:hAnsi="Times New Roman" w:cs="Times New Roman"/>
          <w:bCs/>
        </w:rPr>
        <w:t xml:space="preserve"> collects gene expression data from heterologous platforms, sources, with different species and identifiers, they tagged them with their corresponding ontology terms.  Then they translate the gene signatures from different sources into a universal NCBI gene reference based on a standard gene dictionary, and assign them into preprocessed clusters according to a cross-organism dictionary, to ensure the data are comparable. “Rank-based enrichment statistics were applied to compute pairwise correlation scores between all signatures followed by a meta-analysis to compute individual signature-ontology concept correlation scores.” </w:t>
      </w:r>
      <w:r w:rsidRPr="00551A8E">
        <w:rPr>
          <w:rFonts w:ascii="Times New Roman" w:hAnsi="Times New Roman" w:cs="Times New Roman"/>
          <w:bCs/>
        </w:rPr>
        <w:fldChar w:fldCharType="begin"/>
      </w:r>
      <w:r w:rsidR="00010D3F" w:rsidRPr="00551A8E">
        <w:rPr>
          <w:rFonts w:ascii="Times New Roman" w:hAnsi="Times New Roman" w:cs="Times New Roman"/>
          <w:bCs/>
        </w:rPr>
        <w:instrText xml:space="preserve"> ADDIN EN.CITE &lt;EndNote&gt;&lt;Cite&gt;&lt;Author&gt;Kupershmidt&lt;/Author&gt;&lt;Year&gt;2010&lt;/Year&gt;&lt;RecNum&gt;5&lt;/RecNum&gt;&lt;DisplayText&gt;(3)&lt;/DisplayText&gt;&lt;record&gt;&lt;rec-number&gt;5&lt;/rec-number&gt;&lt;foreign-keys&gt;&lt;key app="EN" db-id="9sxvtsa9azp05xetzd2xw0x3eraaaz5p5zzr" timestamp="1534601229"&gt;5&lt;/key&gt;&lt;/foreign-keys&gt;&lt;ref-type name="Journal Article"&gt;17&lt;/ref-type&gt;&lt;contributors&gt;&lt;authors&gt;&lt;author&gt;Kupershmidt, Ilya&lt;/author&gt;&lt;author&gt;Su, Qiaojuan Jane&lt;/author&gt;&lt;author&gt;Grewal, Anoop&lt;/author&gt;&lt;author&gt;Sundaresh, Suman&lt;/author&gt;&lt;author&gt;Halperin, Inbal&lt;/author&gt;&lt;author&gt;Flynn, James&lt;/author&gt;&lt;author&gt;Shekar, Mamatha&lt;/author&gt;&lt;author&gt;Wang, Helen&lt;/author&gt;&lt;author&gt;Park, Jenny&lt;/author&gt;&lt;author&gt;Cui, Wenwu&lt;/author&gt;&lt;author&gt;Wall, Gregory D.&lt;/author&gt;&lt;author&gt;Wisotzkey, Robert&lt;/author&gt;&lt;author&gt;Alag, Satnam&lt;/author&gt;&lt;author&gt;Akhtari, Saeid&lt;/author&gt;&lt;author&gt;Ronaghi, Mostafa&lt;/author&gt;&lt;/authors&gt;&lt;/contributors&gt;&lt;titles&gt;&lt;title&gt;Ontology-Based Meta-Analysis of Global Collections of High-Throughput Public Data&lt;/title&gt;&lt;secondary-title&gt;PLOS ONE&lt;/secondary-title&gt;&lt;/titles&gt;&lt;periodical&gt;&lt;full-title&gt;PLOS ONE&lt;/full-title&gt;&lt;/periodical&gt;&lt;pages&gt;e13066&lt;/pages&gt;&lt;volume&gt;5&lt;/volume&gt;&lt;number&gt;9&lt;/number&gt;&lt;dates&gt;&lt;year&gt;2010&lt;/year&gt;&lt;/dates&gt;&lt;publisher&gt;Public Library of Science&lt;/publisher&gt;&lt;urls&gt;&lt;related-urls&gt;&lt;url&gt;https://doi.org/10.1371/journal.pone.0013066&lt;/url&gt;&lt;/related-urls&gt;&lt;/urls&gt;&lt;electronic-resource-num&gt;10.1371/journal.pone.0013066&lt;/electronic-resource-num&gt;&lt;/record&gt;&lt;/Cite&gt;&lt;/EndNote&gt;</w:instrText>
      </w:r>
      <w:r w:rsidRPr="00551A8E">
        <w:rPr>
          <w:rFonts w:ascii="Times New Roman" w:hAnsi="Times New Roman" w:cs="Times New Roman"/>
          <w:bCs/>
        </w:rPr>
        <w:fldChar w:fldCharType="separate"/>
      </w:r>
      <w:r w:rsidR="00010D3F" w:rsidRPr="00551A8E">
        <w:rPr>
          <w:rFonts w:ascii="Times New Roman" w:hAnsi="Times New Roman" w:cs="Times New Roman"/>
          <w:bCs/>
          <w:noProof/>
        </w:rPr>
        <w:t>(3)</w:t>
      </w:r>
      <w:r w:rsidRPr="00551A8E">
        <w:rPr>
          <w:rFonts w:ascii="Times New Roman" w:hAnsi="Times New Roman" w:cs="Times New Roman"/>
          <w:bCs/>
        </w:rPr>
        <w:fldChar w:fldCharType="end"/>
      </w:r>
      <w:r w:rsidRPr="00551A8E">
        <w:rPr>
          <w:rFonts w:ascii="Times New Roman" w:hAnsi="Times New Roman" w:cs="Times New Roman"/>
          <w:bCs/>
        </w:rPr>
        <w:t xml:space="preserve"> All </w:t>
      </w:r>
      <w:bookmarkStart w:id="11" w:name="OLE_LINK28"/>
      <w:bookmarkStart w:id="12" w:name="OLE_LINK29"/>
      <w:bookmarkStart w:id="13" w:name="OLE_LINK30"/>
      <w:proofErr w:type="spellStart"/>
      <w:r w:rsidRPr="00551A8E">
        <w:rPr>
          <w:rFonts w:ascii="Times New Roman" w:hAnsi="Times New Roman" w:cs="Times New Roman"/>
          <w:bCs/>
        </w:rPr>
        <w:t>BaseSpace</w:t>
      </w:r>
      <w:proofErr w:type="spellEnd"/>
      <w:r w:rsidRPr="00551A8E">
        <w:rPr>
          <w:rFonts w:ascii="Times New Roman" w:hAnsi="Times New Roman" w:cs="Times New Roman"/>
          <w:bCs/>
        </w:rPr>
        <w:t xml:space="preserve"> </w:t>
      </w:r>
      <w:bookmarkEnd w:id="11"/>
      <w:bookmarkEnd w:id="12"/>
      <w:bookmarkEnd w:id="13"/>
      <w:r w:rsidRPr="00551A8E">
        <w:rPr>
          <w:rFonts w:ascii="Times New Roman" w:hAnsi="Times New Roman" w:cs="Times New Roman"/>
          <w:bCs/>
        </w:rPr>
        <w:t xml:space="preserve">analyses were done utilizing the default parameters. The magnitude of the pairwise correlation score reflected the similarity of the two signatures, which is measured by the extent that the genes in one signature set are enriched at the top ranks of the other signature set, and vice versa. An example of comparison between a MM-induced gene signature in plasma cells and imatinib-induced gene signature in leukemia cells is shown in </w:t>
      </w:r>
      <w:r w:rsidR="007B667A" w:rsidRPr="00551A8E">
        <w:rPr>
          <w:rFonts w:ascii="Times New Roman" w:hAnsi="Times New Roman" w:cs="Times New Roman"/>
          <w:b/>
          <w:bCs/>
        </w:rPr>
        <w:t>Supplementary Figure 1</w:t>
      </w:r>
      <w:r w:rsidRPr="00551A8E">
        <w:rPr>
          <w:rFonts w:ascii="Times New Roman" w:hAnsi="Times New Roman" w:cs="Times New Roman"/>
          <w:bCs/>
        </w:rPr>
        <w:t xml:space="preserve"> Bs1 (MM patient plasma </w:t>
      </w:r>
      <w:proofErr w:type="spellStart"/>
      <w:r w:rsidRPr="00551A8E">
        <w:rPr>
          <w:rFonts w:ascii="Times New Roman" w:hAnsi="Times New Roman" w:cs="Times New Roman"/>
          <w:bCs/>
        </w:rPr>
        <w:t>cells_vs_control</w:t>
      </w:r>
      <w:proofErr w:type="spellEnd"/>
      <w:r w:rsidRPr="00551A8E">
        <w:rPr>
          <w:rFonts w:ascii="Times New Roman" w:hAnsi="Times New Roman" w:cs="Times New Roman"/>
          <w:bCs/>
        </w:rPr>
        <w:t xml:space="preserve">, 8764 DEGs) and bs 2 (leukemia cells treated with </w:t>
      </w:r>
      <w:proofErr w:type="spellStart"/>
      <w:r w:rsidRPr="00551A8E">
        <w:rPr>
          <w:rFonts w:ascii="Times New Roman" w:hAnsi="Times New Roman" w:cs="Times New Roman"/>
          <w:bCs/>
        </w:rPr>
        <w:t>imatinib_vs_control</w:t>
      </w:r>
      <w:proofErr w:type="spellEnd"/>
      <w:r w:rsidRPr="00551A8E">
        <w:rPr>
          <w:rFonts w:ascii="Times New Roman" w:hAnsi="Times New Roman" w:cs="Times New Roman"/>
          <w:bCs/>
        </w:rPr>
        <w:t>, 3418 DEGs) shared 1283 common DEGs with an overlap p-value of 9.7E</w:t>
      </w:r>
      <w:r w:rsidRPr="00551A8E">
        <w:rPr>
          <w:rFonts w:ascii="Times New Roman" w:hAnsi="Times New Roman" w:cs="Times New Roman"/>
          <w:bCs/>
          <w:vertAlign w:val="superscript"/>
        </w:rPr>
        <w:t>-9</w:t>
      </w:r>
      <w:r w:rsidRPr="00551A8E">
        <w:rPr>
          <w:rFonts w:ascii="Times New Roman" w:hAnsi="Times New Roman" w:cs="Times New Roman"/>
          <w:bCs/>
        </w:rPr>
        <w:t>. The up-regulated genes and the down-regulated genes in both bs1 and bs2 datasets were separated into directional subsets bs1</w:t>
      </w:r>
      <w:r w:rsidRPr="00551A8E">
        <w:rPr>
          <w:rFonts w:ascii="Times New Roman" w:hAnsi="Times New Roman" w:cs="Times New Roman"/>
          <w:bCs/>
          <w:vertAlign w:val="superscript"/>
        </w:rPr>
        <w:t>+</w:t>
      </w:r>
      <w:r w:rsidRPr="00551A8E">
        <w:rPr>
          <w:rFonts w:ascii="Times New Roman" w:hAnsi="Times New Roman" w:cs="Times New Roman"/>
          <w:bCs/>
        </w:rPr>
        <w:t>(5273 DEGs), bs1</w:t>
      </w:r>
      <w:r w:rsidRPr="00551A8E">
        <w:rPr>
          <w:rFonts w:ascii="Times New Roman" w:hAnsi="Times New Roman" w:cs="Times New Roman"/>
          <w:bCs/>
          <w:vertAlign w:val="superscript"/>
        </w:rPr>
        <w:t>-</w:t>
      </w:r>
      <w:r w:rsidRPr="00551A8E">
        <w:rPr>
          <w:rFonts w:ascii="Times New Roman" w:hAnsi="Times New Roman" w:cs="Times New Roman"/>
          <w:bCs/>
        </w:rPr>
        <w:t>(3491 DEGs), bs2</w:t>
      </w:r>
      <w:r w:rsidRPr="00551A8E">
        <w:rPr>
          <w:rFonts w:ascii="Times New Roman" w:hAnsi="Times New Roman" w:cs="Times New Roman"/>
          <w:bCs/>
          <w:vertAlign w:val="superscript"/>
        </w:rPr>
        <w:t>+</w:t>
      </w:r>
      <w:r w:rsidRPr="00551A8E">
        <w:rPr>
          <w:rFonts w:ascii="Times New Roman" w:hAnsi="Times New Roman" w:cs="Times New Roman"/>
          <w:bCs/>
        </w:rPr>
        <w:t>(1758 DEGs), and bs2</w:t>
      </w:r>
      <w:r w:rsidRPr="00551A8E">
        <w:rPr>
          <w:rFonts w:ascii="Times New Roman" w:hAnsi="Times New Roman" w:cs="Times New Roman"/>
          <w:bCs/>
          <w:vertAlign w:val="superscript"/>
        </w:rPr>
        <w:t>-</w:t>
      </w:r>
      <w:r w:rsidRPr="00551A8E">
        <w:rPr>
          <w:rFonts w:ascii="Times New Roman" w:hAnsi="Times New Roman" w:cs="Times New Roman"/>
          <w:bCs/>
        </w:rPr>
        <w:t xml:space="preserve">(1660 DEGs). The correlation scores were computed for </w:t>
      </w:r>
      <w:r w:rsidRPr="00551A8E">
        <w:rPr>
          <w:rFonts w:ascii="Times New Roman" w:eastAsia="SimSun" w:hAnsi="Times New Roman" w:cs="Times New Roman"/>
          <w:bCs/>
        </w:rPr>
        <w:t>b1</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b2</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 b1</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b2</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 b1</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b2</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 and b1</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b2</w:t>
      </w:r>
      <w:r w:rsidRPr="00551A8E">
        <w:rPr>
          <w:rFonts w:ascii="Times New Roman" w:eastAsia="SimSun" w:hAnsi="Times New Roman" w:cs="Times New Roman"/>
          <w:bCs/>
          <w:vertAlign w:val="superscript"/>
        </w:rPr>
        <w:t>−</w:t>
      </w:r>
      <w:r w:rsidRPr="00551A8E">
        <w:rPr>
          <w:rFonts w:ascii="Times New Roman" w:eastAsia="SimSun" w:hAnsi="Times New Roman" w:cs="Times New Roman"/>
          <w:bCs/>
        </w:rPr>
        <w:t>, with the p-values of 0.003, 0.0433, 6.5E-8, 2.1E-14, respectively, indicating more common DEGs in different directions. “Computed for Pairwise correlation scores for the directional subsets are positive where subsets are of the same direction and negative sign otherwise. The correlation scores of the subsets are summed up to give the final score for full set b1 versus full set b2.”</w:t>
      </w:r>
      <w:r w:rsidRPr="00551A8E">
        <w:rPr>
          <w:rFonts w:ascii="Times New Roman" w:hAnsi="Times New Roman" w:cs="Times New Roman"/>
          <w:bCs/>
        </w:rPr>
        <w:t xml:space="preserve"> </w:t>
      </w:r>
      <w:r w:rsidRPr="00551A8E">
        <w:rPr>
          <w:rFonts w:ascii="Times New Roman" w:hAnsi="Times New Roman" w:cs="Times New Roman"/>
          <w:bCs/>
        </w:rPr>
        <w:fldChar w:fldCharType="begin"/>
      </w:r>
      <w:r w:rsidR="00010D3F" w:rsidRPr="00551A8E">
        <w:rPr>
          <w:rFonts w:ascii="Times New Roman" w:hAnsi="Times New Roman" w:cs="Times New Roman"/>
          <w:bCs/>
        </w:rPr>
        <w:instrText xml:space="preserve"> ADDIN EN.CITE &lt;EndNote&gt;&lt;Cite&gt;&lt;Author&gt;Kupershmidt&lt;/Author&gt;&lt;Year&gt;2010&lt;/Year&gt;&lt;RecNum&gt;5&lt;/RecNum&gt;&lt;DisplayText&gt;(3)&lt;/DisplayText&gt;&lt;record&gt;&lt;rec-number&gt;5&lt;/rec-number&gt;&lt;foreign-keys&gt;&lt;key app="EN" db-id="9sxvtsa9azp05xetzd2xw0x3eraaaz5p5zzr" timestamp="1534601229"&gt;5&lt;/key&gt;&lt;/foreign-keys&gt;&lt;ref-type name="Journal Article"&gt;17&lt;/ref-type&gt;&lt;contributors&gt;&lt;authors&gt;&lt;author&gt;Kupershmidt, Ilya&lt;/author&gt;&lt;author&gt;Su, Qiaojuan Jane&lt;/author&gt;&lt;author&gt;Grewal, Anoop&lt;/author&gt;&lt;author&gt;Sundaresh, Suman&lt;/author&gt;&lt;author&gt;Halperin, Inbal&lt;/author&gt;&lt;author&gt;Flynn, James&lt;/author&gt;&lt;author&gt;Shekar, Mamatha&lt;/author&gt;&lt;author&gt;Wang, Helen&lt;/author&gt;&lt;author&gt;Park, Jenny&lt;/author&gt;&lt;author&gt;Cui, Wenwu&lt;/author&gt;&lt;author&gt;Wall, Gregory D.&lt;/author&gt;&lt;author&gt;Wisotzkey, Robert&lt;/author&gt;&lt;author&gt;Alag, Satnam&lt;/author&gt;&lt;author&gt;Akhtari, Saeid&lt;/author&gt;&lt;author&gt;Ronaghi, Mostafa&lt;/author&gt;&lt;/authors&gt;&lt;/contributors&gt;&lt;titles&gt;&lt;title&gt;Ontology-Based Meta-Analysis of Global Collections of High-Throughput Public Data&lt;/title&gt;&lt;secondary-title&gt;PLOS ONE&lt;/secondary-title&gt;&lt;/titles&gt;&lt;periodical&gt;&lt;full-title&gt;PLOS ONE&lt;/full-title&gt;&lt;/periodical&gt;&lt;pages&gt;e13066&lt;/pages&gt;&lt;volume&gt;5&lt;/volume&gt;&lt;number&gt;9&lt;/number&gt;&lt;dates&gt;&lt;year&gt;2010&lt;/year&gt;&lt;/dates&gt;&lt;publisher&gt;Public Library of Science&lt;/publisher&gt;&lt;urls&gt;&lt;related-urls&gt;&lt;url&gt;https://doi.org/10.1371/journal.pone.0013066&lt;/url&gt;&lt;/related-urls&gt;&lt;/urls&gt;&lt;electronic-resource-num&gt;10.1371/journal.pone.0013066&lt;/electronic-resource-num&gt;&lt;/record&gt;&lt;/Cite&gt;&lt;/EndNote&gt;</w:instrText>
      </w:r>
      <w:r w:rsidRPr="00551A8E">
        <w:rPr>
          <w:rFonts w:ascii="Times New Roman" w:hAnsi="Times New Roman" w:cs="Times New Roman"/>
          <w:bCs/>
        </w:rPr>
        <w:fldChar w:fldCharType="separate"/>
      </w:r>
      <w:r w:rsidR="00010D3F" w:rsidRPr="00551A8E">
        <w:rPr>
          <w:rFonts w:ascii="Times New Roman" w:hAnsi="Times New Roman" w:cs="Times New Roman"/>
          <w:bCs/>
          <w:noProof/>
        </w:rPr>
        <w:t>(3)</w:t>
      </w:r>
      <w:r w:rsidRPr="00551A8E">
        <w:rPr>
          <w:rFonts w:ascii="Times New Roman" w:hAnsi="Times New Roman" w:cs="Times New Roman"/>
          <w:bCs/>
        </w:rPr>
        <w:fldChar w:fldCharType="end"/>
      </w:r>
      <w:r w:rsidRPr="00551A8E">
        <w:rPr>
          <w:rFonts w:ascii="Times New Roman" w:eastAsia="SimSun" w:hAnsi="Times New Roman" w:cs="Times New Roman"/>
          <w:bCs/>
        </w:rPr>
        <w:t xml:space="preserve"> Here, the final correlation score for bs1 and bs2 is negative.</w:t>
      </w:r>
    </w:p>
    <w:p w14:paraId="6EA7ACE7" w14:textId="77777777" w:rsidR="00C977E6" w:rsidRPr="00551A8E" w:rsidRDefault="00C977E6" w:rsidP="00C977E6">
      <w:pPr>
        <w:keepNext/>
        <w:spacing w:before="120"/>
        <w:rPr>
          <w:rFonts w:ascii="Times New Roman" w:hAnsi="Times New Roman" w:cs="Times New Roman"/>
        </w:rPr>
      </w:pPr>
      <w:r w:rsidRPr="00551A8E">
        <w:rPr>
          <w:rFonts w:ascii="Times New Roman" w:hAnsi="Times New Roman" w:cs="Times New Roman"/>
          <w:b/>
          <w:noProof/>
        </w:rPr>
        <w:lastRenderedPageBreak/>
        <w:drawing>
          <wp:inline distT="0" distB="0" distL="0" distR="0" wp14:anchorId="1C63059A" wp14:editId="1DDA94E7">
            <wp:extent cx="5478145" cy="3403600"/>
            <wp:effectExtent l="0" t="0" r="8255" b="0"/>
            <wp:docPr id="3" name="Picture 3" descr="Macintosh HD:Users:emmala:Downloads:Imitanib_M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emmala:Downloads:Imitanib_M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78145" cy="3403600"/>
                    </a:xfrm>
                    <a:prstGeom prst="rect">
                      <a:avLst/>
                    </a:prstGeom>
                    <a:noFill/>
                    <a:ln>
                      <a:noFill/>
                    </a:ln>
                  </pic:spPr>
                </pic:pic>
              </a:graphicData>
            </a:graphic>
          </wp:inline>
        </w:drawing>
      </w:r>
    </w:p>
    <w:p w14:paraId="31A119E6" w14:textId="10ABD60F" w:rsidR="00C977E6" w:rsidRPr="00551A8E" w:rsidRDefault="00C977E6" w:rsidP="00C977E6">
      <w:pPr>
        <w:pStyle w:val="Caption"/>
        <w:spacing w:before="120"/>
        <w:rPr>
          <w:rFonts w:ascii="Times New Roman" w:hAnsi="Times New Roman" w:cs="Times New Roman"/>
          <w:b w:val="0"/>
          <w:sz w:val="22"/>
          <w:szCs w:val="22"/>
        </w:rPr>
      </w:pPr>
      <w:r w:rsidRPr="00551A8E">
        <w:rPr>
          <w:rFonts w:ascii="Times New Roman" w:hAnsi="Times New Roman" w:cs="Times New Roman"/>
          <w:sz w:val="22"/>
          <w:szCs w:val="22"/>
        </w:rPr>
        <w:t xml:space="preserve">Supplement Figure 1. </w:t>
      </w:r>
      <w:r w:rsidRPr="00551A8E">
        <w:rPr>
          <w:rFonts w:ascii="Times New Roman" w:hAnsi="Times New Roman" w:cs="Times New Roman"/>
          <w:b w:val="0"/>
          <w:sz w:val="22"/>
          <w:szCs w:val="22"/>
        </w:rPr>
        <w:t>The negative association between the MM-induced and Imatinib-induced gene profiles.</w:t>
      </w:r>
    </w:p>
    <w:p w14:paraId="0C6B4953" w14:textId="77777777" w:rsidR="00C977E6" w:rsidRPr="00551A8E" w:rsidRDefault="00C977E6" w:rsidP="00C977E6">
      <w:pPr>
        <w:pStyle w:val="Caption"/>
        <w:spacing w:before="120" w:line="480" w:lineRule="auto"/>
        <w:outlineLvl w:val="0"/>
        <w:rPr>
          <w:rFonts w:ascii="Times New Roman" w:hAnsi="Times New Roman" w:cs="Times New Roman"/>
          <w:b w:val="0"/>
          <w:bCs w:val="0"/>
          <w:color w:val="auto"/>
          <w:sz w:val="22"/>
          <w:szCs w:val="22"/>
        </w:rPr>
      </w:pPr>
      <w:r w:rsidRPr="00551A8E">
        <w:rPr>
          <w:rFonts w:ascii="Times New Roman" w:hAnsi="Times New Roman" w:cs="Times New Roman"/>
          <w:bCs w:val="0"/>
          <w:color w:val="auto"/>
          <w:sz w:val="22"/>
          <w:szCs w:val="22"/>
        </w:rPr>
        <w:t xml:space="preserve">Enrichment analysis using </w:t>
      </w:r>
      <w:proofErr w:type="spellStart"/>
      <w:r w:rsidRPr="00551A8E">
        <w:rPr>
          <w:rFonts w:ascii="Times New Roman" w:hAnsi="Times New Roman" w:cs="Times New Roman"/>
          <w:bCs w:val="0"/>
          <w:color w:val="auto"/>
          <w:sz w:val="22"/>
          <w:szCs w:val="22"/>
        </w:rPr>
        <w:t>MetaCore</w:t>
      </w:r>
      <w:proofErr w:type="spellEnd"/>
      <w:r w:rsidRPr="00551A8E">
        <w:rPr>
          <w:rFonts w:ascii="Times New Roman" w:hAnsi="Times New Roman" w:cs="Times New Roman"/>
          <w:bCs w:val="0"/>
          <w:color w:val="auto"/>
          <w:sz w:val="22"/>
          <w:szCs w:val="22"/>
        </w:rPr>
        <w:t xml:space="preserve"> database</w:t>
      </w:r>
      <w:r w:rsidRPr="00551A8E">
        <w:rPr>
          <w:rFonts w:ascii="Times New Roman" w:hAnsi="Times New Roman" w:cs="Times New Roman"/>
          <w:b w:val="0"/>
          <w:bCs w:val="0"/>
          <w:color w:val="auto"/>
          <w:sz w:val="22"/>
          <w:szCs w:val="22"/>
        </w:rPr>
        <w:t xml:space="preserve"> </w:t>
      </w:r>
    </w:p>
    <w:p w14:paraId="0AE8B48C" w14:textId="77777777" w:rsidR="00C977E6" w:rsidRPr="00551A8E" w:rsidRDefault="00C977E6" w:rsidP="00C977E6">
      <w:pPr>
        <w:pStyle w:val="Caption"/>
        <w:spacing w:before="120" w:line="480" w:lineRule="auto"/>
        <w:rPr>
          <w:rFonts w:ascii="Times New Roman" w:hAnsi="Times New Roman" w:cs="Times New Roman"/>
          <w:b w:val="0"/>
          <w:bCs w:val="0"/>
          <w:color w:val="auto"/>
          <w:sz w:val="22"/>
          <w:szCs w:val="22"/>
        </w:rPr>
      </w:pPr>
      <w:r w:rsidRPr="00551A8E">
        <w:rPr>
          <w:rFonts w:ascii="Times New Roman" w:hAnsi="Times New Roman" w:cs="Times New Roman"/>
          <w:b w:val="0"/>
          <w:bCs w:val="0"/>
          <w:color w:val="auto"/>
          <w:sz w:val="22"/>
          <w:szCs w:val="22"/>
        </w:rPr>
        <w:t xml:space="preserve">We uploaded the top-ranked common DEGs shared by at least 15 MM gene signature datasets out of 30 onto </w:t>
      </w:r>
      <w:proofErr w:type="spellStart"/>
      <w:r w:rsidRPr="00551A8E">
        <w:rPr>
          <w:rFonts w:ascii="Times New Roman" w:hAnsi="Times New Roman" w:cs="Times New Roman"/>
          <w:b w:val="0"/>
          <w:bCs w:val="0"/>
          <w:color w:val="auto"/>
          <w:sz w:val="22"/>
          <w:szCs w:val="22"/>
        </w:rPr>
        <w:t>MetaCore</w:t>
      </w:r>
      <w:proofErr w:type="spellEnd"/>
      <w:r w:rsidRPr="00551A8E">
        <w:rPr>
          <w:rFonts w:ascii="Times New Roman" w:hAnsi="Times New Roman" w:cs="Times New Roman"/>
          <w:b w:val="0"/>
          <w:bCs w:val="0"/>
          <w:color w:val="auto"/>
          <w:sz w:val="22"/>
          <w:szCs w:val="22"/>
        </w:rPr>
        <w:t xml:space="preserve"> software, and the common MM DEGs as an input to do enrichment analysis to investigate the correlated signaling pathways, GO process, disease phenotypes, and biological process network. </w:t>
      </w:r>
      <w:proofErr w:type="spellStart"/>
      <w:r w:rsidRPr="00551A8E">
        <w:rPr>
          <w:rFonts w:ascii="Times New Roman" w:hAnsi="Times New Roman" w:cs="Times New Roman"/>
          <w:b w:val="0"/>
          <w:bCs w:val="0"/>
          <w:color w:val="auto"/>
          <w:sz w:val="22"/>
          <w:szCs w:val="22"/>
        </w:rPr>
        <w:t>Metacore</w:t>
      </w:r>
      <w:proofErr w:type="spellEnd"/>
      <w:r w:rsidRPr="00551A8E">
        <w:rPr>
          <w:rFonts w:ascii="Times New Roman" w:hAnsi="Times New Roman" w:cs="Times New Roman"/>
          <w:b w:val="0"/>
          <w:bCs w:val="0"/>
          <w:color w:val="auto"/>
          <w:sz w:val="22"/>
          <w:szCs w:val="22"/>
        </w:rPr>
        <w:t xml:space="preserve"> from </w:t>
      </w:r>
      <w:proofErr w:type="spellStart"/>
      <w:r w:rsidRPr="00551A8E">
        <w:rPr>
          <w:rFonts w:ascii="Times New Roman" w:hAnsi="Times New Roman" w:cs="Times New Roman"/>
          <w:b w:val="0"/>
          <w:bCs w:val="0"/>
          <w:color w:val="auto"/>
          <w:sz w:val="22"/>
          <w:szCs w:val="22"/>
        </w:rPr>
        <w:t>GeneGo</w:t>
      </w:r>
      <w:proofErr w:type="spellEnd"/>
      <w:r w:rsidRPr="00551A8E">
        <w:rPr>
          <w:rFonts w:ascii="Times New Roman" w:hAnsi="Times New Roman" w:cs="Times New Roman"/>
          <w:b w:val="0"/>
          <w:bCs w:val="0"/>
          <w:color w:val="auto"/>
          <w:sz w:val="22"/>
          <w:szCs w:val="22"/>
        </w:rPr>
        <w:t>, a Thomson Reuters business, provides high quality biological systems content in context and analytic tools to accelerate scientific research.</w:t>
      </w:r>
    </w:p>
    <w:p w14:paraId="3AF368F8" w14:textId="77777777" w:rsidR="00C977E6" w:rsidRPr="00551A8E" w:rsidRDefault="00C977E6" w:rsidP="00C977E6">
      <w:pPr>
        <w:autoSpaceDE w:val="0"/>
        <w:autoSpaceDN w:val="0"/>
        <w:adjustRightInd w:val="0"/>
        <w:spacing w:before="120" w:after="120" w:line="480" w:lineRule="auto"/>
        <w:jc w:val="both"/>
        <w:outlineLvl w:val="0"/>
        <w:rPr>
          <w:rFonts w:ascii="Times New Roman" w:hAnsi="Times New Roman" w:cs="Times New Roman"/>
          <w:b/>
        </w:rPr>
      </w:pPr>
      <w:r w:rsidRPr="00551A8E">
        <w:rPr>
          <w:rFonts w:ascii="Times New Roman" w:hAnsi="Times New Roman" w:cs="Times New Roman"/>
          <w:b/>
          <w:i/>
        </w:rPr>
        <w:t>In vitro</w:t>
      </w:r>
      <w:r w:rsidRPr="00551A8E">
        <w:rPr>
          <w:rFonts w:ascii="Times New Roman" w:hAnsi="Times New Roman" w:cs="Times New Roman"/>
          <w:b/>
        </w:rPr>
        <w:t xml:space="preserve"> anti-proliferation test with MTT method</w:t>
      </w:r>
    </w:p>
    <w:p w14:paraId="270EB515" w14:textId="77777777" w:rsidR="00C977E6" w:rsidRPr="00551A8E" w:rsidRDefault="00C977E6" w:rsidP="00C977E6">
      <w:pPr>
        <w:autoSpaceDE w:val="0"/>
        <w:autoSpaceDN w:val="0"/>
        <w:adjustRightInd w:val="0"/>
        <w:spacing w:before="120" w:after="120" w:line="480" w:lineRule="auto"/>
        <w:jc w:val="both"/>
        <w:rPr>
          <w:rFonts w:ascii="Times New Roman" w:hAnsi="Times New Roman" w:cs="Times New Roman"/>
          <w:b/>
        </w:rPr>
      </w:pPr>
      <w:r w:rsidRPr="00551A8E">
        <w:rPr>
          <w:rFonts w:ascii="Times New Roman" w:hAnsi="Times New Roman" w:cs="Times New Roman"/>
        </w:rPr>
        <w:t>The tumor cell growth inhibition</w:t>
      </w:r>
      <w:r w:rsidRPr="00551A8E">
        <w:rPr>
          <w:rFonts w:ascii="Times New Roman" w:hAnsi="Times New Roman" w:cs="Times New Roman"/>
          <w:b/>
        </w:rPr>
        <w:t xml:space="preserve"> </w:t>
      </w:r>
      <w:r w:rsidRPr="00551A8E">
        <w:rPr>
          <w:rFonts w:ascii="Times New Roman" w:hAnsi="Times New Roman" w:cs="Times New Roman"/>
        </w:rPr>
        <w:t xml:space="preserve">effects were measured by utilizing the MTT cell-viability assay. Multiple myeloma cell-line, MM.1.S cells were maintained at 37 °C in a humidified 5% CO2 and 95% air atmosphere and cultured in RPMI-1640 Medium (Gibco Laboratories, Grand Island, NY) containing 10% fetal bovine serum (FBS). The test drugs and positive control were initially dissolved in </w:t>
      </w:r>
      <w:proofErr w:type="spellStart"/>
      <w:r w:rsidRPr="00551A8E">
        <w:rPr>
          <w:rFonts w:ascii="Times New Roman" w:hAnsi="Times New Roman" w:cs="Times New Roman"/>
        </w:rPr>
        <w:t>dimethylsulfoxide</w:t>
      </w:r>
      <w:proofErr w:type="spellEnd"/>
      <w:r w:rsidRPr="00551A8E">
        <w:rPr>
          <w:rFonts w:ascii="Times New Roman" w:hAnsi="Times New Roman" w:cs="Times New Roman"/>
        </w:rPr>
        <w:t xml:space="preserve"> (DMSO), and then the solutions were diluted 1:1000 in RPMI-1640 medium. MM.1.S cells were seeded on </w:t>
      </w:r>
      <w:r w:rsidRPr="00551A8E">
        <w:rPr>
          <w:rFonts w:ascii="Times New Roman" w:hAnsi="Times New Roman" w:cs="Times New Roman"/>
        </w:rPr>
        <w:lastRenderedPageBreak/>
        <w:t xml:space="preserve">a 96-well plate in 200 mL medium per well at a density of 5,000 cells/well for 24 h. Then the cells were incubated with serial concentrations of test compounds and controls (Bortezomib, </w:t>
      </w:r>
      <w:proofErr w:type="spellStart"/>
      <w:r w:rsidRPr="00551A8E">
        <w:rPr>
          <w:rFonts w:ascii="Times New Roman" w:hAnsi="Times New Roman" w:cs="Times New Roman"/>
        </w:rPr>
        <w:t>Baf</w:t>
      </w:r>
      <w:proofErr w:type="spellEnd"/>
      <w:r w:rsidRPr="00551A8E">
        <w:rPr>
          <w:rFonts w:ascii="Times New Roman" w:hAnsi="Times New Roman" w:cs="Times New Roman"/>
        </w:rPr>
        <w:t xml:space="preserve"> A1, Folic acid, Sorafenib, </w:t>
      </w:r>
      <w:proofErr w:type="spellStart"/>
      <w:r w:rsidRPr="00551A8E">
        <w:rPr>
          <w:rFonts w:ascii="Times New Roman" w:hAnsi="Times New Roman" w:cs="Times New Roman"/>
        </w:rPr>
        <w:t>Doxorubin</w:t>
      </w:r>
      <w:proofErr w:type="spellEnd"/>
      <w:r w:rsidRPr="00551A8E">
        <w:rPr>
          <w:rFonts w:ascii="Times New Roman" w:hAnsi="Times New Roman" w:cs="Times New Roman"/>
        </w:rPr>
        <w:t xml:space="preserve">, Tetracycline, and DMSO) for 48 hours. An MTT assay kit was utilized to determine the percentage of cell survival. MTT (3-(4,5-dimethylthiazol-2-yl)-2,5-diphenyltetrazolium bromide (Sigma, St. Louis, USA)) solution (5mg/ml, 20 </w:t>
      </w:r>
      <w:proofErr w:type="spellStart"/>
      <w:r w:rsidRPr="00551A8E">
        <w:rPr>
          <w:rFonts w:ascii="Times New Roman" w:hAnsi="Times New Roman" w:cs="Times New Roman"/>
        </w:rPr>
        <w:t>μL</w:t>
      </w:r>
      <w:proofErr w:type="spellEnd"/>
      <w:r w:rsidRPr="00551A8E">
        <w:rPr>
          <w:rFonts w:ascii="Times New Roman" w:hAnsi="Times New Roman" w:cs="Times New Roman"/>
        </w:rPr>
        <w:t>) was added to each well, shaken at 150 rpm for 5 minutes, and then incubated for 4 hours at 37°C and 5% CO</w:t>
      </w:r>
      <w:r w:rsidRPr="00551A8E">
        <w:rPr>
          <w:rFonts w:ascii="Times New Roman" w:hAnsi="Times New Roman" w:cs="Times New Roman"/>
          <w:vertAlign w:val="subscript"/>
        </w:rPr>
        <w:t>2</w:t>
      </w:r>
      <w:r w:rsidRPr="00551A8E">
        <w:rPr>
          <w:rFonts w:ascii="Times New Roman" w:hAnsi="Times New Roman" w:cs="Times New Roman"/>
        </w:rPr>
        <w:t xml:space="preserve">. The metabolism product (formazan) was dissolved in 150 </w:t>
      </w:r>
      <w:proofErr w:type="spellStart"/>
      <w:r w:rsidRPr="00551A8E">
        <w:rPr>
          <w:rFonts w:ascii="Times New Roman" w:hAnsi="Times New Roman" w:cs="Times New Roman"/>
        </w:rPr>
        <w:t>μL</w:t>
      </w:r>
      <w:proofErr w:type="spellEnd"/>
      <w:r w:rsidRPr="00551A8E">
        <w:rPr>
          <w:rFonts w:ascii="Times New Roman" w:hAnsi="Times New Roman" w:cs="Times New Roman"/>
        </w:rPr>
        <w:t xml:space="preserve"> isopropanol and shaken at 150 rpm for 5 minutes. Optical density was read at 540 nm and subtracted from the background at 720 nm. The effect of ligands on cell viability was expressed as percent cell viability, with vehicle-treated control cells set at 100%. The concentration of each drug was examined in triplicate. The concentrations of the compounds were 20, 10, 5, 2.5, 1.25, 0.625, 0.3125, 0.15625, 0.075 and 0.01 mg/</w:t>
      </w:r>
      <w:proofErr w:type="spellStart"/>
      <w:r w:rsidRPr="00551A8E">
        <w:rPr>
          <w:rFonts w:ascii="Times New Roman" w:hAnsi="Times New Roman" w:cs="Times New Roman"/>
        </w:rPr>
        <w:t>mL.</w:t>
      </w:r>
      <w:proofErr w:type="spellEnd"/>
      <w:r w:rsidRPr="00551A8E">
        <w:rPr>
          <w:rFonts w:ascii="Times New Roman" w:hAnsi="Times New Roman" w:cs="Times New Roman"/>
        </w:rPr>
        <w:t xml:space="preserve"> The data was analyzed by GraphPad Prism 7.0.</w:t>
      </w:r>
    </w:p>
    <w:p w14:paraId="7A45A8F0" w14:textId="77777777" w:rsidR="00C977E6" w:rsidRPr="00551A8E" w:rsidRDefault="00C977E6" w:rsidP="00C977E6">
      <w:pPr>
        <w:autoSpaceDE w:val="0"/>
        <w:autoSpaceDN w:val="0"/>
        <w:adjustRightInd w:val="0"/>
        <w:spacing w:before="120" w:after="120" w:line="480" w:lineRule="auto"/>
        <w:jc w:val="both"/>
        <w:outlineLvl w:val="0"/>
        <w:rPr>
          <w:rFonts w:ascii="Times New Roman" w:hAnsi="Times New Roman" w:cs="Times New Roman"/>
          <w:b/>
        </w:rPr>
      </w:pPr>
      <w:r w:rsidRPr="00551A8E">
        <w:rPr>
          <w:rFonts w:ascii="Times New Roman" w:hAnsi="Times New Roman" w:cs="Times New Roman"/>
          <w:b/>
        </w:rPr>
        <w:t>Western blot</w:t>
      </w:r>
    </w:p>
    <w:p w14:paraId="5D6EF5DF" w14:textId="362698A5" w:rsidR="00C977E6" w:rsidRPr="00551A8E" w:rsidRDefault="00C977E6" w:rsidP="00C977E6">
      <w:pPr>
        <w:autoSpaceDE w:val="0"/>
        <w:autoSpaceDN w:val="0"/>
        <w:adjustRightInd w:val="0"/>
        <w:spacing w:before="120" w:after="120" w:line="480" w:lineRule="auto"/>
        <w:jc w:val="both"/>
        <w:rPr>
          <w:rFonts w:ascii="Times New Roman" w:hAnsi="Times New Roman" w:cs="Times New Roman"/>
        </w:rPr>
      </w:pPr>
      <w:r w:rsidRPr="00551A8E">
        <w:rPr>
          <w:rFonts w:ascii="Times New Roman" w:hAnsi="Times New Roman" w:cs="Times New Roman"/>
        </w:rPr>
        <w:t xml:space="preserve">Cells were seeded in six-well plates (8.7 × 104 cells/well). After 1 day, they were treated with or without Tetracycline, </w:t>
      </w:r>
      <w:proofErr w:type="spellStart"/>
      <w:r w:rsidRPr="00551A8E">
        <w:rPr>
          <w:rFonts w:ascii="Times New Roman" w:hAnsi="Times New Roman" w:cs="Times New Roman"/>
        </w:rPr>
        <w:t>Doxorubin</w:t>
      </w:r>
      <w:proofErr w:type="spellEnd"/>
      <w:r w:rsidRPr="00551A8E">
        <w:rPr>
          <w:rFonts w:ascii="Times New Roman" w:hAnsi="Times New Roman" w:cs="Times New Roman"/>
        </w:rPr>
        <w:t xml:space="preserve">, Sorafenib, Bafilomycin A1, Bortezomib, and Folic Acid. Then, after 3 days, cells were harvested, and protein extracts were prepared in RIPA buffer (10 mM Tris base pH 8.8, NaCl 150 mM, EDTA 1 mM, NP-40 1%, deoxycholic acid 1%) supplemented with a mini EDTA-free protease inhibitor cocktail tablet (Roche), PMSF (1mM). Protein extracts were sonicated. Protein extracts (25 </w:t>
      </w:r>
      <w:proofErr w:type="spellStart"/>
      <w:r w:rsidRPr="00551A8E">
        <w:rPr>
          <w:rFonts w:ascii="Times New Roman" w:hAnsi="Times New Roman" w:cs="Times New Roman"/>
        </w:rPr>
        <w:t>μg</w:t>
      </w:r>
      <w:proofErr w:type="spellEnd"/>
      <w:r w:rsidRPr="00551A8E">
        <w:rPr>
          <w:rFonts w:ascii="Times New Roman" w:hAnsi="Times New Roman" w:cs="Times New Roman"/>
        </w:rPr>
        <w:t xml:space="preserve">) were run in 15% SDS-PAGE gels, and transferred onto a nitrocellulose membrane. The membranes were blocked for 2 h at 37°C in blocking buffer (5% BSA in TBS-T solution). Then membranes were subsequently probed with anti-caspase 3 (Rabbit, 9962, Cell Signaling Technology) and anti-βactin antibodies (mouse </w:t>
      </w:r>
      <w:proofErr w:type="spellStart"/>
      <w:r w:rsidRPr="00551A8E">
        <w:rPr>
          <w:rFonts w:ascii="Times New Roman" w:hAnsi="Times New Roman" w:cs="Times New Roman"/>
        </w:rPr>
        <w:t>mAb</w:t>
      </w:r>
      <w:proofErr w:type="spellEnd"/>
      <w:r w:rsidRPr="00551A8E">
        <w:rPr>
          <w:rFonts w:ascii="Times New Roman" w:hAnsi="Times New Roman" w:cs="Times New Roman"/>
        </w:rPr>
        <w:t xml:space="preserve">, A5441, Sigma) overnight at 4°C. The membrane was then washed and incubated with HRP-conjugated secondary antibody at room temperature for 2h. Following further washings, the expression of each protein was detected using an enhanced </w:t>
      </w:r>
      <w:proofErr w:type="spellStart"/>
      <w:r w:rsidRPr="00551A8E">
        <w:rPr>
          <w:rFonts w:ascii="Times New Roman" w:hAnsi="Times New Roman" w:cs="Times New Roman"/>
        </w:rPr>
        <w:t>chemoluminescence</w:t>
      </w:r>
      <w:proofErr w:type="spellEnd"/>
      <w:r w:rsidRPr="00551A8E">
        <w:rPr>
          <w:rFonts w:ascii="Times New Roman" w:hAnsi="Times New Roman" w:cs="Times New Roman"/>
        </w:rPr>
        <w:t xml:space="preserve"> detection kit (ECL, Pierce) and visualized by an Image Lab BIORAD imaging system. Western blotting results were quantified using ImageJ. </w:t>
      </w:r>
    </w:p>
    <w:p w14:paraId="01BABB9A" w14:textId="0526F10F" w:rsidR="00010D3F" w:rsidRPr="00551A8E" w:rsidRDefault="00010D3F" w:rsidP="00C977E6">
      <w:pPr>
        <w:autoSpaceDE w:val="0"/>
        <w:autoSpaceDN w:val="0"/>
        <w:adjustRightInd w:val="0"/>
        <w:spacing w:before="120" w:after="120" w:line="480" w:lineRule="auto"/>
        <w:jc w:val="both"/>
        <w:rPr>
          <w:rFonts w:ascii="Times New Roman" w:hAnsi="Times New Roman" w:cs="Times New Roman"/>
          <w:b/>
          <w:bCs/>
        </w:rPr>
      </w:pPr>
      <w:r w:rsidRPr="00551A8E">
        <w:rPr>
          <w:rFonts w:ascii="Times New Roman" w:hAnsi="Times New Roman" w:cs="Times New Roman"/>
          <w:b/>
          <w:bCs/>
        </w:rPr>
        <w:lastRenderedPageBreak/>
        <w:t>Results</w:t>
      </w:r>
    </w:p>
    <w:p w14:paraId="408C3578" w14:textId="77777777" w:rsidR="00A24950" w:rsidRPr="00551A8E" w:rsidRDefault="00A24950" w:rsidP="00A24950">
      <w:pPr>
        <w:spacing w:before="120" w:line="480" w:lineRule="auto"/>
        <w:rPr>
          <w:rFonts w:ascii="Times New Roman" w:hAnsi="Times New Roman" w:cs="Times New Roman"/>
          <w:b/>
        </w:rPr>
      </w:pPr>
      <w:r w:rsidRPr="00551A8E">
        <w:rPr>
          <w:rFonts w:ascii="Times New Roman" w:hAnsi="Times New Roman" w:cs="Times New Roman"/>
          <w:b/>
        </w:rPr>
        <w:t>Common DEGs identified in 30 MM datasets</w:t>
      </w:r>
    </w:p>
    <w:p w14:paraId="5DEC01AD" w14:textId="104D373C" w:rsidR="00A24950" w:rsidRPr="00551A8E" w:rsidRDefault="00A24950" w:rsidP="00A24950">
      <w:pPr>
        <w:spacing w:before="120" w:line="480" w:lineRule="auto"/>
        <w:jc w:val="both"/>
        <w:rPr>
          <w:rFonts w:ascii="Times New Roman" w:eastAsia="SimSun" w:hAnsi="Times New Roman" w:cs="Times New Roman"/>
        </w:rPr>
      </w:pPr>
      <w:r w:rsidRPr="00551A8E">
        <w:rPr>
          <w:rFonts w:ascii="Times New Roman" w:hAnsi="Times New Roman" w:cs="Times New Roman"/>
        </w:rPr>
        <w:t xml:space="preserve">The common DEGs shared by 30 of our selected MM gene signature datasets were identified using the Meta-analysis function in </w:t>
      </w:r>
      <w:proofErr w:type="spellStart"/>
      <w:r w:rsidRPr="00551A8E">
        <w:rPr>
          <w:rFonts w:ascii="Times New Roman" w:hAnsi="Times New Roman" w:cs="Times New Roman"/>
        </w:rPr>
        <w:t>BaseSpace</w:t>
      </w:r>
      <w:proofErr w:type="spellEnd"/>
      <w:r w:rsidRPr="00551A8E">
        <w:rPr>
          <w:rFonts w:ascii="Times New Roman" w:hAnsi="Times New Roman" w:cs="Times New Roman"/>
        </w:rPr>
        <w:t xml:space="preserve"> software. </w:t>
      </w:r>
      <w:r w:rsidR="007B667A" w:rsidRPr="00551A8E">
        <w:rPr>
          <w:rFonts w:ascii="Times New Roman" w:hAnsi="Times New Roman" w:cs="Times New Roman"/>
          <w:b/>
          <w:bCs/>
        </w:rPr>
        <w:t>Supplementary</w:t>
      </w:r>
      <w:r w:rsidR="007B667A" w:rsidRPr="00551A8E">
        <w:rPr>
          <w:rFonts w:ascii="Times New Roman" w:hAnsi="Times New Roman" w:cs="Times New Roman"/>
        </w:rPr>
        <w:t xml:space="preserve"> </w:t>
      </w:r>
      <w:r w:rsidRPr="00551A8E">
        <w:rPr>
          <w:rFonts w:ascii="Times New Roman" w:hAnsi="Times New Roman" w:cs="Times New Roman"/>
          <w:b/>
        </w:rPr>
        <w:t>Table 2</w:t>
      </w:r>
      <w:r w:rsidRPr="00551A8E">
        <w:rPr>
          <w:rFonts w:ascii="Times New Roman" w:hAnsi="Times New Roman" w:cs="Times New Roman"/>
        </w:rPr>
        <w:t xml:space="preserve"> shows a list of top 20 common DEGs shared by at least 22 MM datasets with their corresponding overall gene scores, and the number of up and down gene regulation. We can easily find the genes that encode protein involved in DNA replication, cell cycle (CCNG2 and CALM1), translation (EIF5), transcription (BCLAF1, TCF3, CREB, and KLF12), cell growth (EGR1 and CALM1), which play a key role in carcinogenesis and cancer cell growth, proliferation, as well as differentiation. In addition, we also found some genes that related with BCL2 signaling, including C19orf6 (a BCL2 ARE-binding protein), BCLAF1 and BAX. BCLAF1 (7 up-regulation and 15 down-regulation) encodes a transcriptional repressor that interacts with several members of the BCL2 family of proteins. Overexpression of BCLAF1 will induce apoptosis, which can be suppressed by co-expression of BCL2 proteins.</w:t>
      </w:r>
      <w:r w:rsidRPr="00551A8E">
        <w:rPr>
          <w:rFonts w:ascii="Times New Roman" w:eastAsia="SimSun" w:hAnsi="Times New Roman" w:cs="Times New Roman"/>
        </w:rPr>
        <w:t xml:space="preserve"> In contrast, BAX (19 up-regulation and 3 down-regulation) encodes a protein that belongs to the BCL2 family that serves as an anti-apoptosis regulator. From these two genes, we can see an up-regulation of BCL2 related anti-apoptosis signaling induced by MM. </w:t>
      </w:r>
    </w:p>
    <w:p w14:paraId="3A1E5B0E" w14:textId="1B62CCD7" w:rsidR="00A24950" w:rsidRPr="00551A8E" w:rsidRDefault="007B667A" w:rsidP="00A24950">
      <w:pPr>
        <w:pStyle w:val="Caption"/>
        <w:keepNext/>
        <w:spacing w:before="120"/>
        <w:outlineLvl w:val="0"/>
        <w:rPr>
          <w:rFonts w:ascii="Times New Roman" w:hAnsi="Times New Roman" w:cs="Times New Roman"/>
          <w:color w:val="auto"/>
          <w:sz w:val="22"/>
          <w:szCs w:val="22"/>
        </w:rPr>
      </w:pPr>
      <w:r w:rsidRPr="00551A8E">
        <w:rPr>
          <w:rFonts w:ascii="Times New Roman" w:hAnsi="Times New Roman" w:cs="Times New Roman"/>
          <w:color w:val="auto"/>
          <w:sz w:val="22"/>
          <w:szCs w:val="22"/>
        </w:rPr>
        <w:t xml:space="preserve">Supplementary </w:t>
      </w:r>
      <w:r w:rsidR="00A24950" w:rsidRPr="00551A8E">
        <w:rPr>
          <w:rFonts w:ascii="Times New Roman" w:hAnsi="Times New Roman" w:cs="Times New Roman"/>
          <w:color w:val="auto"/>
          <w:sz w:val="22"/>
          <w:szCs w:val="22"/>
        </w:rPr>
        <w:t xml:space="preserve">Table </w:t>
      </w:r>
      <w:r w:rsidR="00A24950" w:rsidRPr="00551A8E">
        <w:rPr>
          <w:rFonts w:ascii="Times New Roman" w:hAnsi="Times New Roman" w:cs="Times New Roman"/>
          <w:color w:val="auto"/>
          <w:sz w:val="22"/>
          <w:szCs w:val="22"/>
        </w:rPr>
        <w:fldChar w:fldCharType="begin"/>
      </w:r>
      <w:r w:rsidR="00A24950" w:rsidRPr="00551A8E">
        <w:rPr>
          <w:rFonts w:ascii="Times New Roman" w:hAnsi="Times New Roman" w:cs="Times New Roman"/>
          <w:color w:val="auto"/>
          <w:sz w:val="22"/>
          <w:szCs w:val="22"/>
        </w:rPr>
        <w:instrText xml:space="preserve"> SEQ Table \* ARABIC </w:instrText>
      </w:r>
      <w:r w:rsidR="00A24950" w:rsidRPr="00551A8E">
        <w:rPr>
          <w:rFonts w:ascii="Times New Roman" w:hAnsi="Times New Roman" w:cs="Times New Roman"/>
          <w:color w:val="auto"/>
          <w:sz w:val="22"/>
          <w:szCs w:val="22"/>
        </w:rPr>
        <w:fldChar w:fldCharType="separate"/>
      </w:r>
      <w:r w:rsidR="00A24950" w:rsidRPr="00551A8E">
        <w:rPr>
          <w:rFonts w:ascii="Times New Roman" w:hAnsi="Times New Roman" w:cs="Times New Roman"/>
          <w:noProof/>
          <w:color w:val="auto"/>
          <w:sz w:val="22"/>
          <w:szCs w:val="22"/>
        </w:rPr>
        <w:t>2</w:t>
      </w:r>
      <w:r w:rsidR="00A24950" w:rsidRPr="00551A8E">
        <w:rPr>
          <w:rFonts w:ascii="Times New Roman" w:hAnsi="Times New Roman" w:cs="Times New Roman"/>
          <w:color w:val="auto"/>
          <w:sz w:val="22"/>
          <w:szCs w:val="22"/>
        </w:rPr>
        <w:fldChar w:fldCharType="end"/>
      </w:r>
      <w:r w:rsidR="00A24950" w:rsidRPr="00551A8E">
        <w:rPr>
          <w:rFonts w:ascii="Times New Roman" w:hAnsi="Times New Roman" w:cs="Times New Roman"/>
          <w:color w:val="auto"/>
          <w:sz w:val="22"/>
          <w:szCs w:val="22"/>
        </w:rPr>
        <w:t xml:space="preserve">. Top 20 common DEGs shared by at least 22 MM datasets </w:t>
      </w:r>
    </w:p>
    <w:tbl>
      <w:tblPr>
        <w:tblStyle w:val="LightShading-Accent5"/>
        <w:tblW w:w="8860" w:type="dxa"/>
        <w:tblLayout w:type="fixed"/>
        <w:tblLook w:val="06A0" w:firstRow="1" w:lastRow="0" w:firstColumn="1" w:lastColumn="0" w:noHBand="1" w:noVBand="1"/>
      </w:tblPr>
      <w:tblGrid>
        <w:gridCol w:w="1188"/>
        <w:gridCol w:w="4500"/>
        <w:gridCol w:w="1080"/>
        <w:gridCol w:w="900"/>
        <w:gridCol w:w="1192"/>
      </w:tblGrid>
      <w:tr w:rsidR="00A24950" w:rsidRPr="00551A8E" w14:paraId="6886891F" w14:textId="77777777" w:rsidTr="007B667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39980A2B" w14:textId="77777777" w:rsidR="00A24950" w:rsidRPr="00551A8E" w:rsidRDefault="00A24950" w:rsidP="007B667A">
            <w:pPr>
              <w:spacing w:before="120"/>
              <w:rPr>
                <w:rFonts w:ascii="Times New Roman" w:hAnsi="Times New Roman" w:cs="Times New Roman"/>
                <w:color w:val="auto"/>
                <w:sz w:val="22"/>
                <w:szCs w:val="22"/>
              </w:rPr>
            </w:pPr>
            <w:r w:rsidRPr="00551A8E">
              <w:rPr>
                <w:rFonts w:ascii="Times New Roman" w:hAnsi="Times New Roman" w:cs="Times New Roman"/>
                <w:color w:val="auto"/>
                <w:sz w:val="22"/>
                <w:szCs w:val="22"/>
              </w:rPr>
              <w:t>Gene</w:t>
            </w:r>
          </w:p>
        </w:tc>
        <w:tc>
          <w:tcPr>
            <w:tcW w:w="4500" w:type="dxa"/>
            <w:noWrap/>
            <w:hideMark/>
          </w:tcPr>
          <w:p w14:paraId="18CAE48C" w14:textId="77777777" w:rsidR="00A24950" w:rsidRPr="00551A8E" w:rsidRDefault="00A24950" w:rsidP="007B667A">
            <w:pPr>
              <w:spacing w:before="1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Gene Description</w:t>
            </w:r>
          </w:p>
        </w:tc>
        <w:tc>
          <w:tcPr>
            <w:tcW w:w="1080" w:type="dxa"/>
            <w:noWrap/>
            <w:hideMark/>
          </w:tcPr>
          <w:p w14:paraId="3AAE88EE" w14:textId="77777777" w:rsidR="00A24950" w:rsidRPr="00551A8E" w:rsidRDefault="00A24950" w:rsidP="007B667A">
            <w:pPr>
              <w:spacing w:before="1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proofErr w:type="gramStart"/>
            <w:r w:rsidRPr="00551A8E">
              <w:rPr>
                <w:rFonts w:ascii="Times New Roman" w:hAnsi="Times New Roman" w:cs="Times New Roman"/>
                <w:color w:val="auto"/>
                <w:sz w:val="22"/>
                <w:szCs w:val="22"/>
              </w:rPr>
              <w:t>Overall</w:t>
            </w:r>
            <w:proofErr w:type="gramEnd"/>
            <w:r w:rsidRPr="00551A8E">
              <w:rPr>
                <w:rFonts w:ascii="Times New Roman" w:hAnsi="Times New Roman" w:cs="Times New Roman"/>
                <w:color w:val="auto"/>
                <w:sz w:val="22"/>
                <w:szCs w:val="22"/>
              </w:rPr>
              <w:t xml:space="preserve"> Gene Score</w:t>
            </w:r>
          </w:p>
        </w:tc>
        <w:tc>
          <w:tcPr>
            <w:tcW w:w="900" w:type="dxa"/>
            <w:noWrap/>
            <w:hideMark/>
          </w:tcPr>
          <w:p w14:paraId="54C7E388" w14:textId="77777777" w:rsidR="00A24950" w:rsidRPr="00551A8E" w:rsidRDefault="00A24950" w:rsidP="007B667A">
            <w:pPr>
              <w:spacing w:before="1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Up regulation</w:t>
            </w:r>
          </w:p>
        </w:tc>
        <w:tc>
          <w:tcPr>
            <w:tcW w:w="1192" w:type="dxa"/>
            <w:noWrap/>
            <w:hideMark/>
          </w:tcPr>
          <w:p w14:paraId="1370C6C7" w14:textId="77777777" w:rsidR="00A24950" w:rsidRPr="00551A8E" w:rsidRDefault="00A24950" w:rsidP="007B667A">
            <w:pPr>
              <w:spacing w:before="120"/>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Down regulation</w:t>
            </w:r>
          </w:p>
        </w:tc>
      </w:tr>
      <w:tr w:rsidR="00A24950" w:rsidRPr="00551A8E" w14:paraId="46775281"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0C475962"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EGR1</w:t>
            </w:r>
          </w:p>
        </w:tc>
        <w:tc>
          <w:tcPr>
            <w:tcW w:w="4500" w:type="dxa"/>
            <w:noWrap/>
            <w:hideMark/>
          </w:tcPr>
          <w:p w14:paraId="283CC66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Early growth response 1</w:t>
            </w:r>
          </w:p>
        </w:tc>
        <w:tc>
          <w:tcPr>
            <w:tcW w:w="1080" w:type="dxa"/>
            <w:noWrap/>
            <w:hideMark/>
          </w:tcPr>
          <w:p w14:paraId="3E93B03D"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1653.68</w:t>
            </w:r>
          </w:p>
        </w:tc>
        <w:tc>
          <w:tcPr>
            <w:tcW w:w="900" w:type="dxa"/>
            <w:noWrap/>
            <w:hideMark/>
          </w:tcPr>
          <w:p w14:paraId="42DCD9B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w:t>
            </w:r>
          </w:p>
        </w:tc>
        <w:tc>
          <w:tcPr>
            <w:tcW w:w="1192" w:type="dxa"/>
            <w:noWrap/>
            <w:hideMark/>
          </w:tcPr>
          <w:p w14:paraId="2D984AB8"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17</w:t>
            </w:r>
          </w:p>
        </w:tc>
      </w:tr>
      <w:tr w:rsidR="00A24950" w:rsidRPr="00551A8E" w14:paraId="57752F36"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6AA4FAA6"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C19orf6</w:t>
            </w:r>
          </w:p>
        </w:tc>
        <w:tc>
          <w:tcPr>
            <w:tcW w:w="4500" w:type="dxa"/>
            <w:noWrap/>
            <w:hideMark/>
          </w:tcPr>
          <w:p w14:paraId="56309FB3"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Chromosome 19 open reading frame 6</w:t>
            </w:r>
          </w:p>
        </w:tc>
        <w:tc>
          <w:tcPr>
            <w:tcW w:w="1080" w:type="dxa"/>
            <w:noWrap/>
            <w:hideMark/>
          </w:tcPr>
          <w:p w14:paraId="226B775C"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1005.76</w:t>
            </w:r>
          </w:p>
        </w:tc>
        <w:tc>
          <w:tcPr>
            <w:tcW w:w="900" w:type="dxa"/>
            <w:noWrap/>
            <w:hideMark/>
          </w:tcPr>
          <w:p w14:paraId="0FCEDC6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c>
          <w:tcPr>
            <w:tcW w:w="1192" w:type="dxa"/>
            <w:noWrap/>
            <w:hideMark/>
          </w:tcPr>
          <w:p w14:paraId="0DE9A540"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5</w:t>
            </w:r>
          </w:p>
        </w:tc>
      </w:tr>
      <w:tr w:rsidR="00A24950" w:rsidRPr="00551A8E" w14:paraId="6BE5A39D"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45A115D7"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TTC3</w:t>
            </w:r>
          </w:p>
        </w:tc>
        <w:tc>
          <w:tcPr>
            <w:tcW w:w="4500" w:type="dxa"/>
            <w:noWrap/>
            <w:hideMark/>
          </w:tcPr>
          <w:p w14:paraId="4FCFB02C"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Tetratricopeptide repeat domain 3</w:t>
            </w:r>
          </w:p>
        </w:tc>
        <w:tc>
          <w:tcPr>
            <w:tcW w:w="1080" w:type="dxa"/>
            <w:noWrap/>
            <w:hideMark/>
          </w:tcPr>
          <w:p w14:paraId="6DA6645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891.40</w:t>
            </w:r>
          </w:p>
        </w:tc>
        <w:tc>
          <w:tcPr>
            <w:tcW w:w="900" w:type="dxa"/>
            <w:noWrap/>
            <w:hideMark/>
          </w:tcPr>
          <w:p w14:paraId="236568E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4</w:t>
            </w:r>
          </w:p>
        </w:tc>
        <w:tc>
          <w:tcPr>
            <w:tcW w:w="1192" w:type="dxa"/>
            <w:noWrap/>
            <w:hideMark/>
          </w:tcPr>
          <w:p w14:paraId="047732D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r>
      <w:tr w:rsidR="00A24950" w:rsidRPr="00551A8E" w14:paraId="5994603C"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63C2AB81"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EIF5</w:t>
            </w:r>
          </w:p>
        </w:tc>
        <w:tc>
          <w:tcPr>
            <w:tcW w:w="4500" w:type="dxa"/>
            <w:noWrap/>
            <w:hideMark/>
          </w:tcPr>
          <w:p w14:paraId="3E3A5C3D"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Eukaryotic translation initiation factor 5</w:t>
            </w:r>
          </w:p>
        </w:tc>
        <w:tc>
          <w:tcPr>
            <w:tcW w:w="1080" w:type="dxa"/>
            <w:noWrap/>
            <w:hideMark/>
          </w:tcPr>
          <w:p w14:paraId="5FF16AF9"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817.45</w:t>
            </w:r>
          </w:p>
        </w:tc>
        <w:tc>
          <w:tcPr>
            <w:tcW w:w="900" w:type="dxa"/>
            <w:noWrap/>
            <w:hideMark/>
          </w:tcPr>
          <w:p w14:paraId="4BA1B1FD"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w:t>
            </w:r>
          </w:p>
        </w:tc>
        <w:tc>
          <w:tcPr>
            <w:tcW w:w="1192" w:type="dxa"/>
            <w:noWrap/>
            <w:hideMark/>
          </w:tcPr>
          <w:p w14:paraId="15362775"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15</w:t>
            </w:r>
          </w:p>
        </w:tc>
      </w:tr>
      <w:tr w:rsidR="00A24950" w:rsidRPr="00551A8E" w14:paraId="3E188FDA"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2C3CC87F"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CALM1</w:t>
            </w:r>
          </w:p>
        </w:tc>
        <w:tc>
          <w:tcPr>
            <w:tcW w:w="4500" w:type="dxa"/>
            <w:noWrap/>
            <w:hideMark/>
          </w:tcPr>
          <w:p w14:paraId="32E47CCA"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Calmodulin 1 (phosphorylase kinase, delta)</w:t>
            </w:r>
          </w:p>
        </w:tc>
        <w:tc>
          <w:tcPr>
            <w:tcW w:w="1080" w:type="dxa"/>
            <w:noWrap/>
            <w:hideMark/>
          </w:tcPr>
          <w:p w14:paraId="0294244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923.37</w:t>
            </w:r>
          </w:p>
        </w:tc>
        <w:tc>
          <w:tcPr>
            <w:tcW w:w="900" w:type="dxa"/>
            <w:noWrap/>
            <w:hideMark/>
          </w:tcPr>
          <w:p w14:paraId="083FA769"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92" w:type="dxa"/>
            <w:noWrap/>
            <w:hideMark/>
          </w:tcPr>
          <w:p w14:paraId="0D0619CD"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16</w:t>
            </w:r>
          </w:p>
        </w:tc>
      </w:tr>
      <w:tr w:rsidR="00A24950" w:rsidRPr="00551A8E" w14:paraId="05CEF19E"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4F53663B"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BCLAF1</w:t>
            </w:r>
          </w:p>
        </w:tc>
        <w:tc>
          <w:tcPr>
            <w:tcW w:w="4500" w:type="dxa"/>
            <w:noWrap/>
            <w:hideMark/>
          </w:tcPr>
          <w:p w14:paraId="4D85B5A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BCL2-associated transcription factor 1</w:t>
            </w:r>
          </w:p>
        </w:tc>
        <w:tc>
          <w:tcPr>
            <w:tcW w:w="1080" w:type="dxa"/>
            <w:noWrap/>
            <w:hideMark/>
          </w:tcPr>
          <w:p w14:paraId="1D97C2A8"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814.16</w:t>
            </w:r>
          </w:p>
        </w:tc>
        <w:tc>
          <w:tcPr>
            <w:tcW w:w="900" w:type="dxa"/>
            <w:noWrap/>
            <w:hideMark/>
          </w:tcPr>
          <w:p w14:paraId="621376D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w:t>
            </w:r>
          </w:p>
        </w:tc>
        <w:tc>
          <w:tcPr>
            <w:tcW w:w="1192" w:type="dxa"/>
            <w:noWrap/>
            <w:hideMark/>
          </w:tcPr>
          <w:p w14:paraId="1FC28E0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15</w:t>
            </w:r>
          </w:p>
        </w:tc>
      </w:tr>
      <w:tr w:rsidR="00A24950" w:rsidRPr="00551A8E" w14:paraId="223DFFF7"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6F17FCC8"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CCNG2</w:t>
            </w:r>
          </w:p>
        </w:tc>
        <w:tc>
          <w:tcPr>
            <w:tcW w:w="4500" w:type="dxa"/>
            <w:noWrap/>
            <w:hideMark/>
          </w:tcPr>
          <w:p w14:paraId="06498251"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Cyclin G2</w:t>
            </w:r>
          </w:p>
        </w:tc>
        <w:tc>
          <w:tcPr>
            <w:tcW w:w="1080" w:type="dxa"/>
            <w:noWrap/>
            <w:hideMark/>
          </w:tcPr>
          <w:p w14:paraId="4D190211"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808.65</w:t>
            </w:r>
          </w:p>
        </w:tc>
        <w:tc>
          <w:tcPr>
            <w:tcW w:w="900" w:type="dxa"/>
            <w:noWrap/>
            <w:hideMark/>
          </w:tcPr>
          <w:p w14:paraId="5371193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w:t>
            </w:r>
          </w:p>
        </w:tc>
        <w:tc>
          <w:tcPr>
            <w:tcW w:w="1192" w:type="dxa"/>
            <w:noWrap/>
            <w:hideMark/>
          </w:tcPr>
          <w:p w14:paraId="34E076E5"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15</w:t>
            </w:r>
          </w:p>
        </w:tc>
      </w:tr>
      <w:tr w:rsidR="00A24950" w:rsidRPr="00551A8E" w14:paraId="4F919756"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3F91793A"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ISCA1</w:t>
            </w:r>
          </w:p>
        </w:tc>
        <w:tc>
          <w:tcPr>
            <w:tcW w:w="4500" w:type="dxa"/>
            <w:noWrap/>
            <w:hideMark/>
          </w:tcPr>
          <w:p w14:paraId="4AE47F6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Iron-sulfur cluster assembly 1 homolog (S. Cerevisiae)</w:t>
            </w:r>
          </w:p>
        </w:tc>
        <w:tc>
          <w:tcPr>
            <w:tcW w:w="1080" w:type="dxa"/>
            <w:noWrap/>
            <w:hideMark/>
          </w:tcPr>
          <w:p w14:paraId="3AF7C039"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803.54</w:t>
            </w:r>
          </w:p>
        </w:tc>
        <w:tc>
          <w:tcPr>
            <w:tcW w:w="900" w:type="dxa"/>
            <w:noWrap/>
            <w:hideMark/>
          </w:tcPr>
          <w:p w14:paraId="4D961A95"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18</w:t>
            </w:r>
          </w:p>
        </w:tc>
        <w:tc>
          <w:tcPr>
            <w:tcW w:w="1192" w:type="dxa"/>
            <w:noWrap/>
            <w:hideMark/>
          </w:tcPr>
          <w:p w14:paraId="128691BC"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4</w:t>
            </w:r>
          </w:p>
        </w:tc>
      </w:tr>
      <w:tr w:rsidR="00A24950" w:rsidRPr="00551A8E" w14:paraId="68B67D5C"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1F67A75E"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lastRenderedPageBreak/>
              <w:t>ADD3</w:t>
            </w:r>
          </w:p>
        </w:tc>
        <w:tc>
          <w:tcPr>
            <w:tcW w:w="4500" w:type="dxa"/>
            <w:noWrap/>
            <w:hideMark/>
          </w:tcPr>
          <w:p w14:paraId="668C94EB"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Adducin 3 (gamma)</w:t>
            </w:r>
          </w:p>
        </w:tc>
        <w:tc>
          <w:tcPr>
            <w:tcW w:w="1080" w:type="dxa"/>
            <w:noWrap/>
            <w:hideMark/>
          </w:tcPr>
          <w:p w14:paraId="3A39D80F"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797.87</w:t>
            </w:r>
          </w:p>
        </w:tc>
        <w:tc>
          <w:tcPr>
            <w:tcW w:w="900" w:type="dxa"/>
            <w:noWrap/>
            <w:hideMark/>
          </w:tcPr>
          <w:p w14:paraId="58228560"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92" w:type="dxa"/>
            <w:noWrap/>
            <w:hideMark/>
          </w:tcPr>
          <w:p w14:paraId="3F638A1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16</w:t>
            </w:r>
          </w:p>
        </w:tc>
      </w:tr>
      <w:tr w:rsidR="00A24950" w:rsidRPr="00551A8E" w14:paraId="5D6B99D9"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3BF411CE"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BAX</w:t>
            </w:r>
          </w:p>
        </w:tc>
        <w:tc>
          <w:tcPr>
            <w:tcW w:w="4500" w:type="dxa"/>
            <w:noWrap/>
            <w:hideMark/>
          </w:tcPr>
          <w:p w14:paraId="1D5BEE7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BCL2-associated X protein</w:t>
            </w:r>
          </w:p>
        </w:tc>
        <w:tc>
          <w:tcPr>
            <w:tcW w:w="1080" w:type="dxa"/>
            <w:noWrap/>
            <w:hideMark/>
          </w:tcPr>
          <w:p w14:paraId="6AD74063"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733.14</w:t>
            </w:r>
          </w:p>
        </w:tc>
        <w:tc>
          <w:tcPr>
            <w:tcW w:w="900" w:type="dxa"/>
            <w:noWrap/>
            <w:hideMark/>
          </w:tcPr>
          <w:p w14:paraId="5ECDFFE9"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c>
          <w:tcPr>
            <w:tcW w:w="1192" w:type="dxa"/>
            <w:noWrap/>
            <w:hideMark/>
          </w:tcPr>
          <w:p w14:paraId="1FDF87DB"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r>
      <w:tr w:rsidR="00A24950" w:rsidRPr="00551A8E" w14:paraId="2CA6BD6F"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03FA0A01"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CREB1</w:t>
            </w:r>
          </w:p>
        </w:tc>
        <w:tc>
          <w:tcPr>
            <w:tcW w:w="4500" w:type="dxa"/>
            <w:noWrap/>
            <w:hideMark/>
          </w:tcPr>
          <w:p w14:paraId="2A5E789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Camp responsive element binding protein 1</w:t>
            </w:r>
          </w:p>
        </w:tc>
        <w:tc>
          <w:tcPr>
            <w:tcW w:w="1080" w:type="dxa"/>
            <w:noWrap/>
            <w:hideMark/>
          </w:tcPr>
          <w:p w14:paraId="05461E58"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729.28</w:t>
            </w:r>
          </w:p>
        </w:tc>
        <w:tc>
          <w:tcPr>
            <w:tcW w:w="900" w:type="dxa"/>
            <w:noWrap/>
            <w:hideMark/>
          </w:tcPr>
          <w:p w14:paraId="6E06BA6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1192" w:type="dxa"/>
            <w:noWrap/>
            <w:hideMark/>
          </w:tcPr>
          <w:p w14:paraId="13292615"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16</w:t>
            </w:r>
          </w:p>
        </w:tc>
      </w:tr>
      <w:tr w:rsidR="00A24950" w:rsidRPr="00551A8E" w14:paraId="0D35DF15"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13BE21F2"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USP33</w:t>
            </w:r>
          </w:p>
        </w:tc>
        <w:tc>
          <w:tcPr>
            <w:tcW w:w="4500" w:type="dxa"/>
            <w:noWrap/>
            <w:hideMark/>
          </w:tcPr>
          <w:p w14:paraId="0028F37F"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Ubiquitin specific peptidase 33</w:t>
            </w:r>
          </w:p>
        </w:tc>
        <w:tc>
          <w:tcPr>
            <w:tcW w:w="1080" w:type="dxa"/>
            <w:noWrap/>
            <w:hideMark/>
          </w:tcPr>
          <w:p w14:paraId="3E11F38D"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724.06</w:t>
            </w:r>
          </w:p>
        </w:tc>
        <w:tc>
          <w:tcPr>
            <w:tcW w:w="900" w:type="dxa"/>
            <w:noWrap/>
            <w:hideMark/>
          </w:tcPr>
          <w:p w14:paraId="51B94CB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5</w:t>
            </w:r>
          </w:p>
        </w:tc>
        <w:tc>
          <w:tcPr>
            <w:tcW w:w="1192" w:type="dxa"/>
            <w:noWrap/>
            <w:hideMark/>
          </w:tcPr>
          <w:p w14:paraId="4CC06D81"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17</w:t>
            </w:r>
          </w:p>
        </w:tc>
      </w:tr>
      <w:tr w:rsidR="00A24950" w:rsidRPr="00551A8E" w14:paraId="5A23F903"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66BBEDB6"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PSMD4</w:t>
            </w:r>
          </w:p>
        </w:tc>
        <w:tc>
          <w:tcPr>
            <w:tcW w:w="4500" w:type="dxa"/>
            <w:noWrap/>
            <w:hideMark/>
          </w:tcPr>
          <w:p w14:paraId="529B4B17"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Proteasome (prosome, macropain) 26S subunit, non-</w:t>
            </w:r>
            <w:proofErr w:type="spellStart"/>
            <w:r w:rsidRPr="00551A8E">
              <w:rPr>
                <w:rFonts w:ascii="Times New Roman" w:hAnsi="Times New Roman" w:cs="Times New Roman"/>
                <w:color w:val="auto"/>
                <w:sz w:val="22"/>
                <w:szCs w:val="22"/>
              </w:rPr>
              <w:t>atpase</w:t>
            </w:r>
            <w:proofErr w:type="spellEnd"/>
            <w:r w:rsidRPr="00551A8E">
              <w:rPr>
                <w:rFonts w:ascii="Times New Roman" w:hAnsi="Times New Roman" w:cs="Times New Roman"/>
                <w:color w:val="auto"/>
                <w:sz w:val="22"/>
                <w:szCs w:val="22"/>
              </w:rPr>
              <w:t>, 4</w:t>
            </w:r>
          </w:p>
        </w:tc>
        <w:tc>
          <w:tcPr>
            <w:tcW w:w="1080" w:type="dxa"/>
            <w:noWrap/>
            <w:hideMark/>
          </w:tcPr>
          <w:p w14:paraId="2A9C8161"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716.55</w:t>
            </w:r>
          </w:p>
        </w:tc>
        <w:tc>
          <w:tcPr>
            <w:tcW w:w="900" w:type="dxa"/>
            <w:noWrap/>
            <w:hideMark/>
          </w:tcPr>
          <w:p w14:paraId="511C3FC7"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21</w:t>
            </w:r>
          </w:p>
        </w:tc>
        <w:tc>
          <w:tcPr>
            <w:tcW w:w="1192" w:type="dxa"/>
            <w:noWrap/>
            <w:hideMark/>
          </w:tcPr>
          <w:p w14:paraId="43C7917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w:t>
            </w:r>
          </w:p>
        </w:tc>
      </w:tr>
      <w:tr w:rsidR="00A24950" w:rsidRPr="00551A8E" w14:paraId="186059D0"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3114DB2E"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UBE2J1</w:t>
            </w:r>
          </w:p>
        </w:tc>
        <w:tc>
          <w:tcPr>
            <w:tcW w:w="4500" w:type="dxa"/>
            <w:noWrap/>
            <w:hideMark/>
          </w:tcPr>
          <w:p w14:paraId="08294D8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Ubiquitin-conjugating enzyme E2, J1</w:t>
            </w:r>
          </w:p>
        </w:tc>
        <w:tc>
          <w:tcPr>
            <w:tcW w:w="1080" w:type="dxa"/>
            <w:noWrap/>
            <w:hideMark/>
          </w:tcPr>
          <w:p w14:paraId="3390EBE5"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714.53</w:t>
            </w:r>
          </w:p>
        </w:tc>
        <w:tc>
          <w:tcPr>
            <w:tcW w:w="900" w:type="dxa"/>
            <w:noWrap/>
            <w:hideMark/>
          </w:tcPr>
          <w:p w14:paraId="59B6899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14</w:t>
            </w:r>
          </w:p>
        </w:tc>
        <w:tc>
          <w:tcPr>
            <w:tcW w:w="1192" w:type="dxa"/>
            <w:noWrap/>
            <w:hideMark/>
          </w:tcPr>
          <w:p w14:paraId="4AC8E75B"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w:t>
            </w:r>
          </w:p>
        </w:tc>
      </w:tr>
      <w:tr w:rsidR="00A24950" w:rsidRPr="00551A8E" w14:paraId="40E8F0D2"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43624C8A"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TRMT1</w:t>
            </w:r>
          </w:p>
        </w:tc>
        <w:tc>
          <w:tcPr>
            <w:tcW w:w="4500" w:type="dxa"/>
            <w:noWrap/>
            <w:hideMark/>
          </w:tcPr>
          <w:p w14:paraId="2D1F2B0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Trna</w:t>
            </w:r>
            <w:proofErr w:type="spellEnd"/>
            <w:r w:rsidRPr="00551A8E">
              <w:rPr>
                <w:rFonts w:ascii="Times New Roman" w:hAnsi="Times New Roman" w:cs="Times New Roman"/>
                <w:color w:val="auto"/>
                <w:sz w:val="22"/>
                <w:szCs w:val="22"/>
              </w:rPr>
              <w:t xml:space="preserve"> methyltransferase 1 homolog (S. Cerevisiae)</w:t>
            </w:r>
          </w:p>
        </w:tc>
        <w:tc>
          <w:tcPr>
            <w:tcW w:w="1080" w:type="dxa"/>
            <w:noWrap/>
            <w:hideMark/>
          </w:tcPr>
          <w:p w14:paraId="1FC20CF9"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674.93</w:t>
            </w:r>
          </w:p>
        </w:tc>
        <w:tc>
          <w:tcPr>
            <w:tcW w:w="900" w:type="dxa"/>
            <w:noWrap/>
            <w:hideMark/>
          </w:tcPr>
          <w:p w14:paraId="72788219"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c>
          <w:tcPr>
            <w:tcW w:w="1192" w:type="dxa"/>
            <w:noWrap/>
            <w:hideMark/>
          </w:tcPr>
          <w:p w14:paraId="1423EA87"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r>
      <w:tr w:rsidR="00A24950" w:rsidRPr="00551A8E" w14:paraId="236A95DB"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436B6F79"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NDUFV1</w:t>
            </w:r>
          </w:p>
        </w:tc>
        <w:tc>
          <w:tcPr>
            <w:tcW w:w="4500" w:type="dxa"/>
            <w:noWrap/>
            <w:hideMark/>
          </w:tcPr>
          <w:p w14:paraId="0BA03DDE"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NADH dehydrogenase (ubiquinone) flavoprotein 1, 51kda</w:t>
            </w:r>
          </w:p>
        </w:tc>
        <w:tc>
          <w:tcPr>
            <w:tcW w:w="1080" w:type="dxa"/>
            <w:noWrap/>
            <w:hideMark/>
          </w:tcPr>
          <w:p w14:paraId="1D721703"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674.66</w:t>
            </w:r>
          </w:p>
        </w:tc>
        <w:tc>
          <w:tcPr>
            <w:tcW w:w="900" w:type="dxa"/>
            <w:noWrap/>
            <w:hideMark/>
          </w:tcPr>
          <w:p w14:paraId="3CE98BC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c>
          <w:tcPr>
            <w:tcW w:w="1192" w:type="dxa"/>
            <w:noWrap/>
            <w:hideMark/>
          </w:tcPr>
          <w:p w14:paraId="66A357C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r>
      <w:tr w:rsidR="00A24950" w:rsidRPr="00551A8E" w14:paraId="4DFAAD1F"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4B03A702"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KLF12</w:t>
            </w:r>
          </w:p>
        </w:tc>
        <w:tc>
          <w:tcPr>
            <w:tcW w:w="4500" w:type="dxa"/>
            <w:noWrap/>
            <w:hideMark/>
          </w:tcPr>
          <w:p w14:paraId="662AD742"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Kruppel</w:t>
            </w:r>
            <w:proofErr w:type="spellEnd"/>
            <w:r w:rsidRPr="00551A8E">
              <w:rPr>
                <w:rFonts w:ascii="Times New Roman" w:hAnsi="Times New Roman" w:cs="Times New Roman"/>
                <w:color w:val="auto"/>
                <w:sz w:val="22"/>
                <w:szCs w:val="22"/>
              </w:rPr>
              <w:t>-like factor 12</w:t>
            </w:r>
          </w:p>
        </w:tc>
        <w:tc>
          <w:tcPr>
            <w:tcW w:w="1080" w:type="dxa"/>
            <w:noWrap/>
            <w:hideMark/>
          </w:tcPr>
          <w:p w14:paraId="1490EF86"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654.62</w:t>
            </w:r>
          </w:p>
        </w:tc>
        <w:tc>
          <w:tcPr>
            <w:tcW w:w="900" w:type="dxa"/>
            <w:noWrap/>
            <w:hideMark/>
          </w:tcPr>
          <w:p w14:paraId="1741946A"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c>
          <w:tcPr>
            <w:tcW w:w="1192" w:type="dxa"/>
            <w:noWrap/>
            <w:hideMark/>
          </w:tcPr>
          <w:p w14:paraId="49E76AD8"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r>
      <w:tr w:rsidR="00A24950" w:rsidRPr="00551A8E" w14:paraId="21764EEE"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24D05122"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TCF3</w:t>
            </w:r>
          </w:p>
        </w:tc>
        <w:tc>
          <w:tcPr>
            <w:tcW w:w="4500" w:type="dxa"/>
            <w:noWrap/>
            <w:hideMark/>
          </w:tcPr>
          <w:p w14:paraId="66C55B24"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Transcription factor 3 (E2A immunoglobulin enhancer binding factors E12/E47)</w:t>
            </w:r>
          </w:p>
        </w:tc>
        <w:tc>
          <w:tcPr>
            <w:tcW w:w="1080" w:type="dxa"/>
            <w:noWrap/>
            <w:hideMark/>
          </w:tcPr>
          <w:p w14:paraId="3C467375"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637.07</w:t>
            </w:r>
          </w:p>
        </w:tc>
        <w:tc>
          <w:tcPr>
            <w:tcW w:w="900" w:type="dxa"/>
            <w:noWrap/>
            <w:hideMark/>
          </w:tcPr>
          <w:p w14:paraId="75C8213F"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13</w:t>
            </w:r>
          </w:p>
        </w:tc>
        <w:tc>
          <w:tcPr>
            <w:tcW w:w="1192" w:type="dxa"/>
            <w:noWrap/>
            <w:hideMark/>
          </w:tcPr>
          <w:p w14:paraId="19B0749C"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9</w:t>
            </w:r>
          </w:p>
        </w:tc>
      </w:tr>
      <w:tr w:rsidR="00A24950" w:rsidRPr="00551A8E" w14:paraId="1A5F92EA" w14:textId="77777777" w:rsidTr="007B667A">
        <w:trPr>
          <w:trHeight w:val="300"/>
        </w:trPr>
        <w:tc>
          <w:tcPr>
            <w:cnfStyle w:val="001000000000" w:firstRow="0" w:lastRow="0" w:firstColumn="1" w:lastColumn="0" w:oddVBand="0" w:evenVBand="0" w:oddHBand="0" w:evenHBand="0" w:firstRowFirstColumn="0" w:firstRowLastColumn="0" w:lastRowFirstColumn="0" w:lastRowLastColumn="0"/>
            <w:tcW w:w="1188" w:type="dxa"/>
            <w:noWrap/>
            <w:hideMark/>
          </w:tcPr>
          <w:p w14:paraId="52BEB429" w14:textId="77777777" w:rsidR="00A24950" w:rsidRPr="00551A8E" w:rsidRDefault="00A24950" w:rsidP="007B667A">
            <w:pPr>
              <w:spacing w:before="120"/>
              <w:rPr>
                <w:rFonts w:ascii="Times New Roman" w:hAnsi="Times New Roman" w:cs="Times New Roman"/>
                <w:b w:val="0"/>
                <w:color w:val="auto"/>
                <w:sz w:val="22"/>
                <w:szCs w:val="22"/>
              </w:rPr>
            </w:pPr>
            <w:r w:rsidRPr="00551A8E">
              <w:rPr>
                <w:rFonts w:ascii="Times New Roman" w:hAnsi="Times New Roman" w:cs="Times New Roman"/>
                <w:b w:val="0"/>
                <w:color w:val="auto"/>
                <w:sz w:val="22"/>
                <w:szCs w:val="22"/>
              </w:rPr>
              <w:t>CUL4B</w:t>
            </w:r>
          </w:p>
        </w:tc>
        <w:tc>
          <w:tcPr>
            <w:tcW w:w="4500" w:type="dxa"/>
            <w:noWrap/>
            <w:hideMark/>
          </w:tcPr>
          <w:p w14:paraId="79126F78"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proofErr w:type="spellStart"/>
            <w:r w:rsidRPr="00551A8E">
              <w:rPr>
                <w:rFonts w:ascii="Times New Roman" w:hAnsi="Times New Roman" w:cs="Times New Roman"/>
                <w:color w:val="auto"/>
                <w:sz w:val="22"/>
                <w:szCs w:val="22"/>
              </w:rPr>
              <w:t>Cullin</w:t>
            </w:r>
            <w:proofErr w:type="spellEnd"/>
            <w:r w:rsidRPr="00551A8E">
              <w:rPr>
                <w:rFonts w:ascii="Times New Roman" w:hAnsi="Times New Roman" w:cs="Times New Roman"/>
                <w:color w:val="auto"/>
                <w:sz w:val="22"/>
                <w:szCs w:val="22"/>
              </w:rPr>
              <w:t xml:space="preserve"> 4B</w:t>
            </w:r>
          </w:p>
        </w:tc>
        <w:tc>
          <w:tcPr>
            <w:tcW w:w="1080" w:type="dxa"/>
            <w:noWrap/>
            <w:hideMark/>
          </w:tcPr>
          <w:p w14:paraId="534B41FC"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628.41</w:t>
            </w:r>
          </w:p>
        </w:tc>
        <w:tc>
          <w:tcPr>
            <w:tcW w:w="900" w:type="dxa"/>
            <w:noWrap/>
            <w:hideMark/>
          </w:tcPr>
          <w:p w14:paraId="092F2FE6"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w:t>
            </w:r>
          </w:p>
        </w:tc>
        <w:tc>
          <w:tcPr>
            <w:tcW w:w="1192" w:type="dxa"/>
            <w:noWrap/>
            <w:hideMark/>
          </w:tcPr>
          <w:p w14:paraId="724D4BBD" w14:textId="77777777" w:rsidR="00A24950" w:rsidRPr="00551A8E" w:rsidRDefault="00A24950" w:rsidP="007B667A">
            <w:pPr>
              <w:spacing w:before="120"/>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14</w:t>
            </w:r>
          </w:p>
        </w:tc>
      </w:tr>
    </w:tbl>
    <w:p w14:paraId="53854113" w14:textId="77777777" w:rsidR="00A24950" w:rsidRPr="00551A8E" w:rsidRDefault="00A24950" w:rsidP="00A24950">
      <w:pPr>
        <w:spacing w:before="120" w:line="480" w:lineRule="auto"/>
        <w:jc w:val="both"/>
        <w:rPr>
          <w:rFonts w:ascii="Times New Roman" w:eastAsia="SimSun" w:hAnsi="Times New Roman" w:cs="Times New Roman"/>
        </w:rPr>
      </w:pPr>
    </w:p>
    <w:p w14:paraId="41FA75F6" w14:textId="385913F2" w:rsidR="00A24950" w:rsidRPr="00551A8E" w:rsidRDefault="00A24950" w:rsidP="007B667A">
      <w:pPr>
        <w:spacing w:before="120" w:line="480" w:lineRule="auto"/>
        <w:jc w:val="both"/>
        <w:rPr>
          <w:rFonts w:ascii="Times New Roman" w:eastAsia="SimSun" w:hAnsi="Times New Roman" w:cs="Times New Roman"/>
        </w:rPr>
      </w:pPr>
      <w:r w:rsidRPr="00551A8E">
        <w:rPr>
          <w:rFonts w:ascii="Times New Roman" w:eastAsia="SimSun" w:hAnsi="Times New Roman" w:cs="Times New Roman"/>
        </w:rPr>
        <w:t xml:space="preserve">Another interesting finding is that several top ranked common MM DEGs are tightly associated with ubiquitination (CUL4B, TTC3 and USP33), ubiquitin-proteasome systems (PSMD4 and UBE2J1). Among them, both CUL4B and TTC3 encode proteins that function as E3 ubiquitin ligases that catalyze the protein polyubiquitination; UBE2J1 encodes a member of the E2 ubiquitin-conjugating enzyme family, which locates in the endoplasmic reticulum (ER) membrane and contributes to quality control ER-associated degradation by the ubiquitin-proteasome system; PSMD4 is part of proteasome that contributes to the proteasome activity. From these five DEGs, we can see an overall up-regulation with genes that encode ubiquitination, and a down-regulation of protein degradation in ubiquitin-proteasome system, indicating that the compromised UPS clearance might be compensated by an up-regulation or higher activity in the ubiquitin-autophagy pathway. Taking the pathological process of MM into consideration, it is reasonable that the autophagy process is up-regulated in MM conditions. Multiple myeloma is characterized by abnormal plasma cells (multiple myeloma cells) that release abnormal antibodies, which will attack the healthy tissues in our body, especially bone tissues, and cause damage on the bone. The abnormal antibodies </w:t>
      </w:r>
      <w:r w:rsidRPr="00551A8E">
        <w:rPr>
          <w:rFonts w:ascii="Times New Roman" w:eastAsia="SimSun" w:hAnsi="Times New Roman" w:cs="Times New Roman"/>
        </w:rPr>
        <w:lastRenderedPageBreak/>
        <w:t xml:space="preserve">are abnormal misfolded proteins that can be eliminated from the cellular environment through the </w:t>
      </w:r>
      <w:proofErr w:type="spellStart"/>
      <w:r w:rsidRPr="00551A8E">
        <w:rPr>
          <w:rFonts w:ascii="Times New Roman" w:eastAsia="SimSun" w:hAnsi="Times New Roman" w:cs="Times New Roman"/>
        </w:rPr>
        <w:t>macroautophagy</w:t>
      </w:r>
      <w:proofErr w:type="spellEnd"/>
      <w:r w:rsidRPr="00551A8E">
        <w:rPr>
          <w:rFonts w:ascii="Times New Roman" w:eastAsia="SimSun" w:hAnsi="Times New Roman" w:cs="Times New Roman"/>
        </w:rPr>
        <w:t xml:space="preserve"> process.</w:t>
      </w:r>
    </w:p>
    <w:p w14:paraId="1FB9D808" w14:textId="77777777" w:rsidR="00010D3F" w:rsidRPr="00551A8E" w:rsidRDefault="00010D3F" w:rsidP="00010D3F">
      <w:pPr>
        <w:spacing w:before="120"/>
        <w:outlineLvl w:val="0"/>
        <w:rPr>
          <w:rFonts w:ascii="Times New Roman" w:hAnsi="Times New Roman" w:cs="Times New Roman"/>
          <w:b/>
          <w:color w:val="000000" w:themeColor="text1"/>
        </w:rPr>
      </w:pPr>
      <w:r w:rsidRPr="00551A8E">
        <w:rPr>
          <w:rFonts w:ascii="Times New Roman" w:hAnsi="Times New Roman" w:cs="Times New Roman"/>
          <w:b/>
          <w:color w:val="000000" w:themeColor="text1"/>
        </w:rPr>
        <w:t>Positive and negative correlated gene mutations</w:t>
      </w:r>
    </w:p>
    <w:p w14:paraId="37A17769" w14:textId="77777777" w:rsidR="00010D3F" w:rsidRPr="00551A8E" w:rsidRDefault="00010D3F" w:rsidP="00010D3F">
      <w:pPr>
        <w:spacing w:before="120"/>
        <w:rPr>
          <w:rFonts w:ascii="Times New Roman" w:hAnsi="Times New Roman" w:cs="Times New Roman"/>
        </w:rPr>
      </w:pPr>
      <w:r w:rsidRPr="00551A8E">
        <w:rPr>
          <w:rFonts w:ascii="Times New Roman" w:hAnsi="Times New Roman" w:cs="Times New Roman"/>
          <w:noProof/>
        </w:rPr>
        <w:drawing>
          <wp:inline distT="0" distB="0" distL="0" distR="0" wp14:anchorId="6D419367" wp14:editId="07C0C5C4">
            <wp:extent cx="5486400" cy="1857375"/>
            <wp:effectExtent l="0" t="0" r="25400" b="22225"/>
            <wp:docPr id="23" name="Chart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486EBC14" w14:textId="77777777" w:rsidR="00010D3F" w:rsidRPr="00551A8E" w:rsidRDefault="00010D3F" w:rsidP="00010D3F">
      <w:pPr>
        <w:keepNext/>
        <w:spacing w:before="120"/>
        <w:rPr>
          <w:rFonts w:ascii="Times New Roman" w:hAnsi="Times New Roman" w:cs="Times New Roman"/>
        </w:rPr>
      </w:pPr>
      <w:r w:rsidRPr="00551A8E">
        <w:rPr>
          <w:rFonts w:ascii="Times New Roman" w:hAnsi="Times New Roman" w:cs="Times New Roman"/>
          <w:noProof/>
        </w:rPr>
        <w:drawing>
          <wp:inline distT="0" distB="0" distL="0" distR="0" wp14:anchorId="096FA0AF" wp14:editId="1A74210F">
            <wp:extent cx="5486400" cy="1781810"/>
            <wp:effectExtent l="0" t="0" r="25400" b="21590"/>
            <wp:docPr id="24" name="Chart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B32294D" w14:textId="2B4920C1" w:rsidR="00010D3F" w:rsidRPr="00551A8E" w:rsidRDefault="00551A8E" w:rsidP="00010D3F">
      <w:pPr>
        <w:pStyle w:val="Caption"/>
        <w:spacing w:before="120"/>
        <w:rPr>
          <w:rFonts w:ascii="Times New Roman" w:hAnsi="Times New Roman" w:cs="Times New Roman"/>
          <w:b w:val="0"/>
          <w:color w:val="auto"/>
          <w:sz w:val="24"/>
          <w:szCs w:val="24"/>
        </w:rPr>
      </w:pPr>
      <w:r w:rsidRPr="00551A8E">
        <w:rPr>
          <w:rFonts w:ascii="Times New Roman" w:hAnsi="Times New Roman" w:cs="Times New Roman"/>
          <w:color w:val="auto"/>
          <w:sz w:val="24"/>
          <w:szCs w:val="24"/>
        </w:rPr>
        <w:t xml:space="preserve">Supplementary </w:t>
      </w:r>
      <w:r w:rsidR="00010D3F" w:rsidRPr="00551A8E">
        <w:rPr>
          <w:rFonts w:ascii="Times New Roman" w:hAnsi="Times New Roman" w:cs="Times New Roman"/>
          <w:color w:val="auto"/>
          <w:sz w:val="24"/>
          <w:szCs w:val="24"/>
        </w:rPr>
        <w:t>Figure</w:t>
      </w:r>
      <w:r w:rsidRPr="00551A8E">
        <w:rPr>
          <w:rFonts w:ascii="Times New Roman" w:hAnsi="Times New Roman" w:cs="Times New Roman"/>
          <w:color w:val="auto"/>
          <w:sz w:val="24"/>
          <w:szCs w:val="24"/>
        </w:rPr>
        <w:t xml:space="preserve"> 2</w:t>
      </w:r>
      <w:r w:rsidR="00010D3F" w:rsidRPr="00551A8E">
        <w:rPr>
          <w:rFonts w:ascii="Times New Roman" w:hAnsi="Times New Roman" w:cs="Times New Roman"/>
          <w:color w:val="auto"/>
          <w:sz w:val="24"/>
          <w:szCs w:val="24"/>
        </w:rPr>
        <w:t xml:space="preserve">. </w:t>
      </w:r>
      <w:r w:rsidR="00010D3F" w:rsidRPr="00551A8E">
        <w:rPr>
          <w:rFonts w:ascii="Times New Roman" w:hAnsi="Times New Roman" w:cs="Times New Roman"/>
          <w:b w:val="0"/>
          <w:color w:val="auto"/>
          <w:sz w:val="24"/>
          <w:szCs w:val="24"/>
        </w:rPr>
        <w:t>The associations between MM induced and gene mutation induced gene profiles.</w:t>
      </w:r>
    </w:p>
    <w:p w14:paraId="2E67473D" w14:textId="2E1F7BEB" w:rsidR="00010D3F" w:rsidRPr="00551A8E" w:rsidRDefault="00551A8E" w:rsidP="00010D3F">
      <w:pPr>
        <w:spacing w:before="120" w:line="480" w:lineRule="auto"/>
        <w:jc w:val="both"/>
        <w:rPr>
          <w:rFonts w:ascii="Times New Roman" w:hAnsi="Times New Roman" w:cs="Times New Roman"/>
        </w:rPr>
      </w:pPr>
      <w:r w:rsidRPr="00551A8E">
        <w:rPr>
          <w:rFonts w:ascii="Times New Roman" w:hAnsi="Times New Roman" w:cs="Times New Roman"/>
          <w:b/>
        </w:rPr>
        <w:t xml:space="preserve">Supplementary </w:t>
      </w:r>
      <w:r w:rsidR="00010D3F" w:rsidRPr="00551A8E">
        <w:rPr>
          <w:rFonts w:ascii="Times New Roman" w:hAnsi="Times New Roman" w:cs="Times New Roman"/>
          <w:b/>
        </w:rPr>
        <w:t>Figure</w:t>
      </w:r>
      <w:r w:rsidR="00010D3F" w:rsidRPr="00551A8E">
        <w:rPr>
          <w:rFonts w:ascii="Times New Roman" w:hAnsi="Times New Roman" w:cs="Times New Roman"/>
        </w:rPr>
        <w:t xml:space="preserve"> </w:t>
      </w:r>
      <w:r w:rsidRPr="00551A8E">
        <w:rPr>
          <w:rFonts w:ascii="Times New Roman" w:hAnsi="Times New Roman" w:cs="Times New Roman"/>
          <w:b/>
        </w:rPr>
        <w:t>2</w:t>
      </w:r>
      <w:r w:rsidR="00010D3F" w:rsidRPr="00551A8E">
        <w:rPr>
          <w:rFonts w:ascii="Times New Roman" w:hAnsi="Times New Roman" w:cs="Times New Roman"/>
        </w:rPr>
        <w:t xml:space="preserve"> shows the tightly associated gene mutations with MM datasets. The top 20 negative and positive associations are listed. Among the top ranked MM negative correlated gene mutations, HBB encodes </w:t>
      </w:r>
      <w:proofErr w:type="spellStart"/>
      <w:r w:rsidR="00010D3F" w:rsidRPr="00551A8E">
        <w:rPr>
          <w:rFonts w:ascii="Times New Roman" w:hAnsi="Times New Roman" w:cs="Times New Roman"/>
        </w:rPr>
        <w:t>haemoglobin</w:t>
      </w:r>
      <w:proofErr w:type="spellEnd"/>
      <w:r w:rsidR="00010D3F" w:rsidRPr="00551A8E">
        <w:rPr>
          <w:rFonts w:ascii="Times New Roman" w:hAnsi="Times New Roman" w:cs="Times New Roman"/>
        </w:rPr>
        <w:t xml:space="preserve"> subunit beta (HBB), which makes up the common hemoglobin in adults with subunit alpha. Hemoglobin is the iron-containing oxygen-transport metalloprotein in the red blood cells. HBB is related with several pathological and physiological pathways, which might have an indirect relationship with MM. Several genes encode proteins involved in common carcinogenesis pathologies. NPM1 encodes </w:t>
      </w:r>
      <w:proofErr w:type="spellStart"/>
      <w:r w:rsidR="00010D3F" w:rsidRPr="00551A8E">
        <w:rPr>
          <w:rFonts w:ascii="Times New Roman" w:hAnsi="Times New Roman" w:cs="Times New Roman"/>
        </w:rPr>
        <w:t>Nucleophosmin</w:t>
      </w:r>
      <w:proofErr w:type="spellEnd"/>
      <w:r w:rsidR="00010D3F" w:rsidRPr="00551A8E">
        <w:rPr>
          <w:rFonts w:ascii="Times New Roman" w:hAnsi="Times New Roman" w:cs="Times New Roman"/>
        </w:rPr>
        <w:t xml:space="preserve">, a protein involved in diverse cellular processes that is tightly associated with carcinogenesis, such as ribosome biogenesis, centrosome duplication, protein chaperoning, histone </w:t>
      </w:r>
      <w:r w:rsidR="00010D3F" w:rsidRPr="00551A8E">
        <w:rPr>
          <w:rFonts w:ascii="Times New Roman" w:hAnsi="Times New Roman" w:cs="Times New Roman"/>
        </w:rPr>
        <w:lastRenderedPageBreak/>
        <w:t xml:space="preserve">assembly, cell proliferation, and regulation of tumor suppressors p53/TP53 and ARF. CCDC6 encodes coiled-coil domain-containing protein 6, which might function as a tumor suppressor. The expression of fusion gene CCDC6 and Ret are part of the cause for differentiated thyroid carcinoma and thyroid cancer. </w:t>
      </w:r>
    </w:p>
    <w:p w14:paraId="4B24C7F3" w14:textId="679E2C6A" w:rsidR="00010D3F" w:rsidRPr="00551A8E" w:rsidRDefault="00010D3F" w:rsidP="00010D3F">
      <w:pPr>
        <w:spacing w:before="120" w:line="480" w:lineRule="auto"/>
        <w:jc w:val="both"/>
        <w:rPr>
          <w:rFonts w:ascii="Times New Roman" w:hAnsi="Times New Roman" w:cs="Times New Roman"/>
        </w:rPr>
      </w:pPr>
      <w:r w:rsidRPr="00551A8E">
        <w:rPr>
          <w:rFonts w:ascii="Times New Roman" w:hAnsi="Times New Roman" w:cs="Times New Roman"/>
        </w:rPr>
        <w:t xml:space="preserve">Some other negatively correlated genes are directly connected to myeloma or other related hematological malignancies. For example, CD46 was shown highly expressed in malignant plasma cells compared to normal hematopoietic cells in bone marrow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&lt;EndNote&gt;&lt;Cite&gt;&lt;Author&gt;Ong&lt;/Author&gt;&lt;Year&gt;2006&lt;/Year&gt;&lt;RecNum&gt;17&lt;/RecNum&gt;&lt;DisplayText&gt;(6)&lt;/DisplayText&gt;&lt;record&gt;&lt;rec-number&gt;17&lt;/rec-number&gt;&lt;foreign-keys&gt;&lt;key app="EN" db-id="9sxvtsa9azp05xetzd2xw0x3eraaaz5p5zzr" timestamp="1534601230"&gt;17&lt;/key&gt;&lt;/foreign-keys&gt;&lt;ref-type name="Journal Article"&gt;17&lt;/ref-type&gt;&lt;contributors&gt;&lt;authors&gt;&lt;author&gt;Ong, Hooi Tin&lt;/author&gt;&lt;author&gt;Timm, Michael M.&lt;/author&gt;&lt;author&gt;Greipp, Philip R.&lt;/author&gt;&lt;author&gt;Witzig, Thomas E.&lt;/author&gt;&lt;author&gt;Dispenzieri, Angela&lt;/author&gt;&lt;author&gt;Russell, Stephen J.&lt;/author&gt;&lt;author&gt;Peng, Kah-Whye&lt;/author&gt;&lt;/authors&gt;&lt;/contributors&gt;&lt;titles&gt;&lt;title&gt;Oncolytic measles virus targets high CD46 expression on multiple myeloma cells&lt;/title&gt;&lt;secondary-title&gt;Experimental hematology&lt;/secondary-title&gt;&lt;/titles&gt;&lt;periodical&gt;&lt;full-title&gt;Experimental hematology&lt;/full-title&gt;&lt;/periodical&gt;&lt;pages&gt;713-720&lt;/pages&gt;&lt;volume&gt;34&lt;/volume&gt;&lt;number&gt;6&lt;/number&gt;&lt;dates&gt;&lt;year&gt;2006&lt;/year&gt;&lt;/dates&gt;&lt;isbn&gt;0301-472X&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(6)</w:t>
      </w:r>
      <w:r w:rsidRPr="00551A8E">
        <w:rPr>
          <w:rFonts w:ascii="Times New Roman" w:hAnsi="Times New Roman" w:cs="Times New Roman"/>
        </w:rPr>
        <w:fldChar w:fldCharType="end"/>
      </w:r>
      <w:r w:rsidRPr="00551A8E">
        <w:rPr>
          <w:rFonts w:ascii="Times New Roman" w:hAnsi="Times New Roman" w:cs="Times New Roman"/>
        </w:rPr>
        <w:t xml:space="preserve">. </w:t>
      </w:r>
      <w:proofErr w:type="spellStart"/>
      <w:r w:rsidRPr="00551A8E">
        <w:rPr>
          <w:rFonts w:ascii="Times New Roman" w:hAnsi="Times New Roman" w:cs="Times New Roman"/>
        </w:rPr>
        <w:t>Sherbenou</w:t>
      </w:r>
      <w:proofErr w:type="spellEnd"/>
      <w:r w:rsidRPr="00551A8E">
        <w:rPr>
          <w:rFonts w:ascii="Times New Roman" w:hAnsi="Times New Roman" w:cs="Times New Roman"/>
        </w:rPr>
        <w:t xml:space="preserve"> DW et al. reported that an anti-CD46 antibody-drug conjugates (ADC) significantly inhibited cell proliferation in myeloma cell lines, but did not affect normal cells. The anti-CD46 ADC also induced apoptosis related cell death in primary myeloma cells with little effect on non-tumor mononuclear cells. In </w:t>
      </w:r>
      <w:proofErr w:type="spellStart"/>
      <w:r w:rsidRPr="00551A8E">
        <w:rPr>
          <w:rFonts w:ascii="Times New Roman" w:hAnsi="Times New Roman" w:cs="Times New Roman"/>
        </w:rPr>
        <w:t>orthometastatic</w:t>
      </w:r>
      <w:proofErr w:type="spellEnd"/>
      <w:r w:rsidRPr="00551A8E">
        <w:rPr>
          <w:rFonts w:ascii="Times New Roman" w:hAnsi="Times New Roman" w:cs="Times New Roman"/>
        </w:rPr>
        <w:t xml:space="preserve"> xenograft models, myeloma growth was blocked by treatment of anti-CD46 ADC.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&lt;EndNote&gt;&lt;Cite&gt;&lt;Author&gt;Sherbenou&lt;/Author&gt;&lt;Year&gt;2016&lt;/Year&gt;&lt;RecNum&gt;18&lt;/RecNum&gt;&lt;DisplayText&gt;(7)&lt;/DisplayText&gt;&lt;record&gt;&lt;rec-number&gt;18&lt;/rec-number&gt;&lt;foreign-keys&gt;&lt;key app="EN" db-id="9sxvtsa9azp05xetzd2xw0x3eraaaz5p5zzr" timestamp="1534601230"&gt;18&lt;/key&gt;&lt;/foreign-keys&gt;&lt;ref-type name="Journal Article"&gt;17&lt;/ref-type&gt;&lt;contributors&gt;&lt;authors&gt;&lt;author&gt;Sherbenou, Daniel W.&lt;/author&gt;&lt;author&gt;Aftab, Blake T.&lt;/author&gt;&lt;author&gt;Su, Yang&lt;/author&gt;&lt;author&gt;Behrens, Christopher R.&lt;/author&gt;&lt;author&gt;Wiita, Arun&lt;/author&gt;&lt;author&gt;Logan, Aaron C.&lt;/author&gt;&lt;author&gt;Acosta-Alvear, Diego&lt;/author&gt;&lt;author&gt;Hann, Byron C.&lt;/author&gt;&lt;author&gt;Walter, Peter&lt;/author&gt;&lt;author&gt;Shuman, Marc A.&lt;/author&gt;&lt;author&gt;Wu, Xiaobo&lt;/author&gt;&lt;author&gt;Atkinson, John P.&lt;/author&gt;&lt;author&gt;Wolf, Jeffrey L.&lt;/author&gt;&lt;author&gt;Martin, Thomas G.&lt;/author&gt;&lt;author&gt;Liu, Bin&lt;/author&gt;&lt;/authors&gt;&lt;/contributors&gt;&lt;titles&gt;&lt;title&gt;Antibody-drug conjugate targeting CD46 eliminates multiple myeloma cells&lt;/title&gt;&lt;secondary-title&gt;The Journal of Clinical Investigation&lt;/secondary-title&gt;&lt;/titles&gt;&lt;periodical&gt;&lt;full-title&gt;The Journal of Clinical Investigation&lt;/full-title&gt;&lt;/periodical&gt;&lt;pages&gt;4640-4653&lt;/pages&gt;&lt;volume&gt;126&lt;/volume&gt;&lt;number&gt;12&lt;/number&gt;&lt;dates&gt;&lt;year&gt;2016&lt;/year&gt;&lt;pub-dates&gt;&lt;date&gt;11/14&amp;#xD;12/07/received&amp;#xD;10/06/accepted&lt;/date&gt;&lt;/pub-dates&gt;&lt;/dates&gt;&lt;publisher&gt;American Society for Clinical Investigation&lt;/publisher&gt;&lt;isbn&gt;0021-9738&amp;#xD;1558-8238&lt;/isbn&gt;&lt;accession-num&gt;PMC5127683&lt;/accession-num&gt;&lt;urls&gt;&lt;related-urls&gt;&lt;url&gt;http://www.ncbi.nlm.nih.gov/pmc/articles/PMC5127683/&lt;/url&gt;&lt;/related-urls&gt;&lt;/urls&gt;&lt;electronic-resource-num&gt;10.1172/JCI85856&lt;/electronic-resource-num&gt;&lt;remote-database-name&gt;PMC&lt;/remote-database-name&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(7)</w:t>
      </w:r>
      <w:r w:rsidRPr="00551A8E">
        <w:rPr>
          <w:rFonts w:ascii="Times New Roman" w:hAnsi="Times New Roman" w:cs="Times New Roman"/>
        </w:rPr>
        <w:fldChar w:fldCharType="end"/>
      </w:r>
      <w:r w:rsidRPr="00551A8E">
        <w:rPr>
          <w:rFonts w:ascii="Times New Roman" w:hAnsi="Times New Roman" w:cs="Times New Roman"/>
        </w:rPr>
        <w:t xml:space="preserve"> These studies suggested that CD46 is a potential attractive therapeutic target for specific treatment for MM. SETBP1 mutation induced gene signature has 13 negative correlations and 7 positive correlations with MM gene sets. Several studies have identified recurrent somatic SETBP1 mutations in individuals with atypical chronic myeloid leukemia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&lt;EndNote&gt;&lt;Cite&gt;&lt;Author&gt;Piazza&lt;/Author&gt;&lt;Year&gt;2013&lt;/Year&gt;&lt;RecNum&gt;19&lt;/RecNum&gt;&lt;DisplayText&gt;(8)&lt;/DisplayText&gt;&lt;record&gt;&lt;rec-number&gt;19&lt;/rec-number&gt;&lt;foreign-keys&gt;&lt;key app="EN" db-id="9sxvtsa9azp05xetzd2xw0x3eraaaz5p5zzr" timestamp="1534601230"&gt;19&lt;/key&gt;&lt;/foreign-keys&gt;&lt;ref-type name="Journal Article"&gt;17&lt;/ref-type&gt;&lt;contributors&gt;&lt;authors&gt;&lt;author&gt;Piazza, Rocco&lt;/author&gt;&lt;author&gt;Valletta, Simona&lt;/author&gt;&lt;author&gt;Winkelmann, Nils&lt;/author&gt;&lt;author&gt;Redaelli, Sara&lt;/author&gt;&lt;author&gt;Spinelli, Roberta&lt;/author&gt;&lt;author&gt;Pirola, Alessandra&lt;/author&gt;&lt;author&gt;Antolini, Laura&lt;/author&gt;&lt;author&gt;Mologni, Luca&lt;/author&gt;&lt;author&gt;Donadoni, Carla&lt;/author&gt;&lt;author&gt;Papaemmanuil, Elli&lt;/author&gt;&lt;/authors&gt;&lt;/contributors&gt;&lt;titles&gt;&lt;title&gt;Recurrent SETBP1 mutations in atypical chronic myeloid leukemia&lt;/title&gt;&lt;secondary-title&gt;Nature genetics&lt;/secondary-title&gt;&lt;/titles&gt;&lt;periodical&gt;&lt;full-title&gt;Nature genetics&lt;/full-title&gt;&lt;/periodical&gt;&lt;pages&gt;18-24&lt;/pages&gt;&lt;volume&gt;45&lt;/volume&gt;&lt;number&gt;1&lt;/number&gt;&lt;dates&gt;&lt;year&gt;2013&lt;/year&gt;&lt;/dates&gt;&lt;isbn&gt;1061-4036&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(8)</w:t>
      </w:r>
      <w:r w:rsidRPr="00551A8E">
        <w:rPr>
          <w:rFonts w:ascii="Times New Roman" w:hAnsi="Times New Roman" w:cs="Times New Roman"/>
        </w:rPr>
        <w:fldChar w:fldCharType="end"/>
      </w:r>
      <w:r w:rsidRPr="00551A8E">
        <w:rPr>
          <w:rFonts w:ascii="Times New Roman" w:hAnsi="Times New Roman" w:cs="Times New Roman"/>
        </w:rPr>
        <w:t xml:space="preserve">, juvenile myelomonocytic leukemia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&lt;EndNote&gt;&lt;Cite&gt;&lt;Author&gt;Sakaguchi&lt;/Author&gt;&lt;Year&gt;2013&lt;/Year&gt;&lt;RecNum&gt;20&lt;/RecNum&gt;&lt;DisplayText&gt;(9)&lt;/DisplayText&gt;&lt;record&gt;&lt;rec-number&gt;20&lt;/rec-number&gt;&lt;foreign-keys&gt;&lt;key app="EN" db-id="9sxvtsa9azp05xetzd2xw0x3eraaaz5p5zzr" timestamp="1534601230"&gt;20&lt;/key&gt;&lt;/foreign-keys&gt;&lt;ref-type name="Journal Article"&gt;17&lt;/ref-type&gt;&lt;contributors&gt;&lt;authors&gt;&lt;author&gt;Sakaguchi, Hirotoshi&lt;/author&gt;&lt;author&gt;Okuno, Yusuke&lt;/author&gt;&lt;author&gt;Muramatsu, Hideki&lt;/author&gt;&lt;author&gt;Yoshida, Kenichi&lt;/author&gt;&lt;author&gt;Shiraishi, Yuichi&lt;/author&gt;&lt;author&gt;Takahashi, Mariko&lt;/author&gt;&lt;author&gt;Kon, Ayana&lt;/author&gt;&lt;author&gt;Sanada, Masashi&lt;/author&gt;&lt;author&gt;Chiba, Kenichi&lt;/author&gt;&lt;author&gt;Tanaka, Hiroko&lt;/author&gt;&lt;/authors&gt;&lt;/contributors&gt;&lt;titles&gt;&lt;title&gt;Exome sequencing identifies secondary mutations of SETBP1 and JAK3 in juvenile myelomonocytic leukemia&lt;/title&gt;&lt;secondary-title&gt;Nature genetics&lt;/secondary-title&gt;&lt;/titles&gt;&lt;periodical&gt;&lt;full-title&gt;Nature genetics&lt;/full-title&gt;&lt;/periodical&gt;&lt;pages&gt;937-941&lt;/pages&gt;&lt;volume&gt;45&lt;/volume&gt;&lt;number&gt;8&lt;/number&gt;&lt;dates&gt;&lt;year&gt;2013&lt;/year&gt;&lt;/dates&gt;&lt;isbn&gt;1061-4036&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(9)</w:t>
      </w:r>
      <w:r w:rsidRPr="00551A8E">
        <w:rPr>
          <w:rFonts w:ascii="Times New Roman" w:hAnsi="Times New Roman" w:cs="Times New Roman"/>
        </w:rPr>
        <w:fldChar w:fldCharType="end"/>
      </w:r>
      <w:r w:rsidRPr="00551A8E">
        <w:rPr>
          <w:rFonts w:ascii="Times New Roman" w:hAnsi="Times New Roman" w:cs="Times New Roman"/>
        </w:rPr>
        <w:t xml:space="preserve">, myelodysplastic syndromes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&lt;EndNote&gt;&lt;Cite&gt;&lt;Author&gt;Damm&lt;/Author&gt;&lt;Year&gt;2013&lt;/Year&gt;&lt;RecNum&gt;21&lt;/RecNum&gt;&lt;DisplayText&gt;(10)&lt;/DisplayText&gt;&lt;record&gt;&lt;rec-number&gt;21&lt;/rec-number&gt;&lt;foreign-keys&gt;&lt;key app="EN" db-id="9sxvtsa9azp05xetzd2xw0x3eraaaz5p5zzr" timestamp="1534601230"&gt;21&lt;/key&gt;&lt;/foreign-keys&gt;&lt;ref-type name="Journal Article"&gt;17&lt;/ref-type&gt;&lt;contributors&gt;&lt;authors&gt;&lt;author&gt;Damm, F.&lt;/author&gt;&lt;author&gt;Itzykson, R.&lt;/author&gt;&lt;author&gt;Kosmider, O.&lt;/author&gt;&lt;author&gt;Droin, N.&lt;/author&gt;&lt;author&gt;Renneville, A.&lt;/author&gt;&lt;author&gt;Chesnais, V.&lt;/author&gt;&lt;author&gt;Gelsi-Boyer, V.&lt;/author&gt;&lt;author&gt;De Botton, S.&lt;/author&gt;&lt;author&gt;Vey, N.&lt;/author&gt;&lt;author&gt;Preudhomme, C.&lt;/author&gt;&lt;/authors&gt;&lt;/contributors&gt;&lt;titles&gt;&lt;title&gt;SETBP1 mutations in 658 patients with myelodysplastic syndromes, chronic myelomonocytic leukemia and secondary acute myeloid leukemias&lt;/title&gt;&lt;secondary-title&gt;Leukemia&lt;/secondary-title&gt;&lt;/titles&gt;&lt;periodical&gt;&lt;full-title&gt;Leukemia&lt;/full-title&gt;&lt;/periodical&gt;&lt;pages&gt;1401&lt;/pages&gt;&lt;volume&gt;27&lt;/volume&gt;&lt;number&gt;6&lt;/number&gt;&lt;dates&gt;&lt;year&gt;2013&lt;/year&gt;&lt;/dates&gt;&lt;isbn&gt;0887-6924&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(10)</w:t>
      </w:r>
      <w:r w:rsidRPr="00551A8E">
        <w:rPr>
          <w:rFonts w:ascii="Times New Roman" w:hAnsi="Times New Roman" w:cs="Times New Roman"/>
        </w:rPr>
        <w:fldChar w:fldCharType="end"/>
      </w:r>
      <w:r w:rsidRPr="00551A8E">
        <w:rPr>
          <w:rFonts w:ascii="Times New Roman" w:hAnsi="Times New Roman" w:cs="Times New Roman"/>
        </w:rPr>
        <w:t xml:space="preserve">,  chronic myelomonocytic leukemia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&lt;EndNote&gt;&lt;Cite&gt;&lt;Author&gt;Damm&lt;/Author&gt;&lt;Year&gt;2013&lt;/Year&gt;&lt;RecNum&gt;21&lt;/RecNum&gt;&lt;DisplayText&gt;(10)&lt;/DisplayText&gt;&lt;record&gt;&lt;rec-number&gt;21&lt;/rec-number&gt;&lt;foreign-keys&gt;&lt;key app="EN" db-id="9sxvtsa9azp05xetzd2xw0x3eraaaz5p5zzr" timestamp="1534601230"&gt;21&lt;/key&gt;&lt;/foreign-keys&gt;&lt;ref-type name="Journal Article"&gt;17&lt;/ref-type&gt;&lt;contributors&gt;&lt;authors&gt;&lt;author&gt;Damm, F.&lt;/author&gt;&lt;author&gt;Itzykson, R.&lt;/author&gt;&lt;author&gt;Kosmider, O.&lt;/author&gt;&lt;author&gt;Droin, N.&lt;/author&gt;&lt;author&gt;Renneville, A.&lt;/author&gt;&lt;author&gt;Chesnais, V.&lt;/author&gt;&lt;author&gt;Gelsi-Boyer, V.&lt;/author&gt;&lt;author&gt;De Botton, S.&lt;/author&gt;&lt;author&gt;Vey, N.&lt;/author&gt;&lt;author&gt;Preudhomme, C.&lt;/author&gt;&lt;/authors&gt;&lt;/contributors&gt;&lt;titles&gt;&lt;title&gt;SETBP1 mutations in 658 patients with myelodysplastic syndromes, chronic myelomonocytic leukemia and secondary acute myeloid leukemias&lt;/title&gt;&lt;secondary-title&gt;Leukemia&lt;/secondary-title&gt;&lt;/titles&gt;&lt;periodical&gt;&lt;full-title&gt;Leukemia&lt;/full-title&gt;&lt;/periodical&gt;&lt;pages&gt;1401&lt;/pages&gt;&lt;volume&gt;27&lt;/volume&gt;&lt;number&gt;6&lt;/number&gt;&lt;dates&gt;&lt;year&gt;2013&lt;/year&gt;&lt;/dates&gt;&lt;isbn&gt;0887-6924&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(10)</w:t>
      </w:r>
      <w:r w:rsidRPr="00551A8E">
        <w:rPr>
          <w:rFonts w:ascii="Times New Roman" w:hAnsi="Times New Roman" w:cs="Times New Roman"/>
        </w:rPr>
        <w:fldChar w:fldCharType="end"/>
      </w:r>
      <w:r w:rsidRPr="00551A8E">
        <w:rPr>
          <w:rFonts w:ascii="Times New Roman" w:hAnsi="Times New Roman" w:cs="Times New Roman"/>
        </w:rPr>
        <w:t xml:space="preserve">, primary myelofibrosis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&lt;EndNote&gt;&lt;Cite&gt;&lt;Author&gt;Laborde&lt;/Author&gt;&lt;Year&gt;2013&lt;/Year&gt;&lt;RecNum&gt;22&lt;/RecNum&gt;&lt;DisplayText&gt;(11)&lt;/DisplayText&gt;&lt;record&gt;&lt;rec-number&gt;22&lt;/rec-number&gt;&lt;foreign-keys&gt;&lt;key app="EN" db-id="9sxvtsa9azp05xetzd2xw0x3eraaaz5p5zzr" timestamp="1534601230"&gt;22&lt;/key&gt;&lt;/foreign-keys&gt;&lt;ref-type name="Journal Article"&gt;17&lt;/ref-type&gt;&lt;contributors&gt;&lt;authors&gt;&lt;author&gt;Laborde, R. R.&lt;/author&gt;&lt;author&gt;Patnaik, M. M.&lt;/author&gt;&lt;author&gt;Lasho, T. L.&lt;/author&gt;&lt;author&gt;Finke, C. M.&lt;/author&gt;&lt;author&gt;Hanson, Curtis A.&lt;/author&gt;&lt;author&gt;Knudson, R. A.&lt;/author&gt;&lt;author&gt;Ketterling, Rhett Patrick&lt;/author&gt;&lt;author&gt;Pardanani, A.&lt;/author&gt;&lt;author&gt;Tefferi, Ayalew&lt;/author&gt;&lt;/authors&gt;&lt;/contributors&gt;&lt;titles&gt;&lt;title&gt;SETBP1 mutations in 415 patients with primary myelofibrosis or chronic myelomonocytic leukemia: independent prognostic impact in CMML&lt;/title&gt;&lt;secondary-title&gt;Leukemia&lt;/secondary-title&gt;&lt;/titles&gt;&lt;periodical&gt;&lt;full-title&gt;Leukemia&lt;/full-title&gt;&lt;/periodical&gt;&lt;pages&gt;2100&lt;/pages&gt;&lt;volume&gt;27&lt;/volume&gt;&lt;number&gt;10&lt;/number&gt;&lt;dates&gt;&lt;year&gt;2013&lt;/year&gt;&lt;/dates&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(11)</w:t>
      </w:r>
      <w:r w:rsidRPr="00551A8E">
        <w:rPr>
          <w:rFonts w:ascii="Times New Roman" w:hAnsi="Times New Roman" w:cs="Times New Roman"/>
        </w:rPr>
        <w:fldChar w:fldCharType="end"/>
      </w:r>
      <w:r w:rsidRPr="00551A8E">
        <w:rPr>
          <w:rFonts w:ascii="Times New Roman" w:hAnsi="Times New Roman" w:cs="Times New Roman"/>
        </w:rPr>
        <w:t xml:space="preserve">, and some other myeloid malignancies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&lt;EndNote&gt;&lt;Cite&gt;&lt;Author&gt;Makishima&lt;/Author&gt;&lt;Year&gt;2013&lt;/Year&gt;&lt;RecNum&gt;23&lt;/RecNum&gt;&lt;DisplayText&gt;(12)&lt;/DisplayText&gt;&lt;record&gt;&lt;rec-number&gt;23&lt;/rec-number&gt;&lt;foreign-keys&gt;&lt;key app="EN" db-id="9sxvtsa9azp05xetzd2xw0x3eraaaz5p5zzr" timestamp="1534601230"&gt;23&lt;/key&gt;&lt;/foreign-keys&gt;&lt;ref-type name="Journal Article"&gt;17&lt;/ref-type&gt;&lt;contributors&gt;&lt;authors&gt;&lt;author&gt;Makishima, Hideki&lt;/author&gt;&lt;author&gt;Yoshida, Kenichi&lt;/author&gt;&lt;author&gt;Nguyen, Nhu&lt;/author&gt;&lt;author&gt;Przychodzen, Bartlomiej&lt;/author&gt;&lt;author&gt;Sanada, Masashi&lt;/author&gt;&lt;author&gt;Okuno, Yusuke&lt;/author&gt;&lt;author&gt;Ng, Kwok Peng&lt;/author&gt;&lt;author&gt;Gudmundsson, Kristbjorn O.&lt;/author&gt;&lt;author&gt;Vishwakarma, Bandana A.&lt;/author&gt;&lt;author&gt;Jerez, Andres&lt;/author&gt;&lt;/authors&gt;&lt;/contributors&gt;&lt;titles&gt;&lt;title&gt;Somatic SETBP1 mutations in myeloid malignancies&lt;/title&gt;&lt;secondary-title&gt;Nature genetics&lt;/secondary-title&gt;&lt;/titles&gt;&lt;periodical&gt;&lt;full-title&gt;Nature genetics&lt;/full-title&gt;&lt;/periodical&gt;&lt;pages&gt;942-946&lt;/pages&gt;&lt;volume&gt;45&lt;/volume&gt;&lt;number&gt;8&lt;/number&gt;&lt;dates&gt;&lt;year&gt;2013&lt;/year&gt;&lt;/dates&gt;&lt;isbn&gt;1061-4036&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(12)</w:t>
      </w:r>
      <w:r w:rsidRPr="00551A8E">
        <w:rPr>
          <w:rFonts w:ascii="Times New Roman" w:hAnsi="Times New Roman" w:cs="Times New Roman"/>
        </w:rPr>
        <w:fldChar w:fldCharType="end"/>
      </w:r>
      <w:r w:rsidRPr="00551A8E">
        <w:rPr>
          <w:rFonts w:ascii="Times New Roman" w:hAnsi="Times New Roman" w:cs="Times New Roman"/>
        </w:rPr>
        <w:t xml:space="preserve">. In addition, ZBTB16 encodes a zinc finger transcription factor, which interacts with a histone deacetylase and is involved in the cell cycle process. It plays a role in myeloid maturation and serves as a component of E3 ligase that mediates protein ubiquitination and subsequent proteasomal degradation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&lt;EndNote&gt;&lt;Cite&gt;&lt;Author&gt;Furukawa&lt;/Author&gt;&lt;Year&gt;2003&lt;/Year&gt;&lt;RecNum&gt;24&lt;/RecNum&gt;&lt;DisplayText&gt;(13)&lt;/DisplayText&gt;&lt;record&gt;&lt;rec-number&gt;24&lt;/rec-number&gt;&lt;foreign-keys&gt;&lt;key app="EN" db-id="9sxvtsa9azp05xetzd2xw0x3eraaaz5p5zzr" timestamp="1534601230"&gt;24&lt;/key&gt;&lt;/foreign-keys&gt;&lt;ref-type name="Journal Article"&gt;17&lt;/ref-type&gt;&lt;contributors&gt;&lt;authors&gt;&lt;author&gt;Furukawa, Manabu&lt;/author&gt;&lt;author&gt;He, Yizhou Joseph&lt;/author&gt;&lt;author&gt;Borchers, Christoph&lt;/author&gt;&lt;author&gt;Xiong, Yue&lt;/author&gt;&lt;/authors&gt;&lt;/contributors&gt;&lt;titles&gt;&lt;title&gt;Targeting of protein ubiquitination by BTB-Cullin 3-Roc1 ubiquitin ligases&lt;/title&gt;&lt;secondary-title&gt;Nat Cell Biol&lt;/secondary-title&gt;&lt;/titles&gt;&lt;periodical&gt;&lt;full-title&gt;Nat Cell Biol&lt;/full-title&gt;&lt;/periodical&gt;&lt;pages&gt;1001-1007&lt;/pages&gt;&lt;volume&gt;5&lt;/volume&gt;&lt;number&gt;11&lt;/number&gt;&lt;dates&gt;&lt;year&gt;2003&lt;/year&gt;&lt;pub-dates&gt;&lt;date&gt;11//print&lt;/date&gt;&lt;/pub-dates&gt;&lt;/dates&gt;&lt;publisher&gt;Nature Publishing Group&lt;/publisher&gt;&lt;isbn&gt;1465-7392&lt;/isbn&gt;&lt;work-type&gt;10.1038/ncb1056&lt;/work-type&gt;&lt;urls&gt;&lt;related-urls&gt;&lt;url&gt;http://dx.doi.org/10.1038/ncb1056&lt;/url&gt;&lt;/related-urls&gt;&lt;/urls&gt;&lt;electronic-resource-num&gt;http://www.nature.com/ncb/journal/v5/n11/suppinfo/ncb1056_S1.html&lt;/electronic-resource-num&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(13)</w:t>
      </w:r>
      <w:r w:rsidRPr="00551A8E">
        <w:rPr>
          <w:rFonts w:ascii="Times New Roman" w:hAnsi="Times New Roman" w:cs="Times New Roman"/>
        </w:rPr>
        <w:fldChar w:fldCharType="end"/>
      </w:r>
      <w:r w:rsidRPr="00551A8E">
        <w:rPr>
          <w:rFonts w:ascii="Times New Roman" w:hAnsi="Times New Roman" w:cs="Times New Roman"/>
        </w:rPr>
        <w:t xml:space="preserve">. ZBTB16 might also participate in the ubiquitination and proteasomal elimination of abnormal antibodies, which lead to bone marrow damage, released by myeloma cells (aberrant B cells) from the cellular environment. ZBTB16 aberration gene is also reported to be associated with acute promyelocytic leukemia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&lt;EndNote&gt;&lt;Cite&gt;&lt;Author&gt;Nasr&lt;/Author&gt;&lt;Year&gt;2008&lt;/Year&gt;&lt;RecNum&gt;25&lt;/RecNum&gt;&lt;DisplayText&gt;(14)&lt;/DisplayText&gt;&lt;record&gt;&lt;rec-number&gt;25&lt;/rec-number&gt;&lt;foreign-keys&gt;&lt;key app="EN" db-id="9sxvtsa9azp05xetzd2xw0x3eraaaz5p5zzr" timestamp="1534601230"&gt;25&lt;/key&gt;&lt;/foreign-keys&gt;&lt;ref-type name="Journal Article"&gt;17&lt;/ref-type&gt;&lt;contributors&gt;&lt;authors&gt;&lt;author&gt;Nasr, Rihab&lt;/author&gt;&lt;author&gt;Guillemin, Marie-Claude&lt;/author&gt;&lt;author&gt;Ferhi, Omar&lt;/author&gt;&lt;author&gt;Soilihi, Hassan&lt;/author&gt;&lt;author&gt;Peres, Laurent&lt;/author&gt;&lt;author&gt;Berthier, Caroline&lt;/author&gt;&lt;author&gt;Rousselot, Philippe&lt;/author&gt;&lt;author&gt;Robledo-Sarmiento, Macarena&lt;/author&gt;&lt;author&gt;Lallemand-Breitenbach, Valérie&lt;/author&gt;&lt;author&gt;Gourmel, Bernard&lt;/author&gt;&lt;/authors&gt;&lt;/contributors&gt;&lt;titles&gt;&lt;title&gt;Eradication of acute promyelocytic leukemia-initiating cells through PML-RARA degradation&lt;/title&gt;&lt;secondary-title&gt;Nature medicine&lt;/secondary-title&gt;&lt;/titles&gt;&lt;periodical&gt;&lt;full-title&gt;Nature medicine&lt;/full-title&gt;&lt;/periodical&gt;&lt;pages&gt;1333-1342&lt;/pages&gt;&lt;volume&gt;14&lt;/volume&gt;&lt;number&gt;12&lt;/number&gt;&lt;dates&gt;&lt;year&gt;2008&lt;/year&gt;&lt;/dates&gt;&lt;isbn&gt;1078-8956&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(14)</w:t>
      </w:r>
      <w:r w:rsidRPr="00551A8E">
        <w:rPr>
          <w:rFonts w:ascii="Times New Roman" w:hAnsi="Times New Roman" w:cs="Times New Roman"/>
        </w:rPr>
        <w:fldChar w:fldCharType="end"/>
      </w:r>
      <w:r w:rsidRPr="00551A8E">
        <w:rPr>
          <w:rFonts w:ascii="Times New Roman" w:hAnsi="Times New Roman" w:cs="Times New Roman"/>
        </w:rPr>
        <w:t>.</w:t>
      </w:r>
    </w:p>
    <w:p w14:paraId="5D17987B" w14:textId="7D4F5428" w:rsidR="00010D3F" w:rsidRPr="00551A8E" w:rsidRDefault="00010D3F" w:rsidP="00010D3F">
      <w:pPr>
        <w:spacing w:before="120" w:line="480" w:lineRule="auto"/>
        <w:jc w:val="both"/>
        <w:rPr>
          <w:rFonts w:ascii="Times New Roman" w:hAnsi="Times New Roman" w:cs="Times New Roman"/>
        </w:rPr>
      </w:pPr>
      <w:r w:rsidRPr="00551A8E">
        <w:rPr>
          <w:rFonts w:ascii="Times New Roman" w:hAnsi="Times New Roman" w:cs="Times New Roman"/>
        </w:rPr>
        <w:t xml:space="preserve">Many gene mutations induced similar DEGs as MM datasets are correlated with different types of cancers, especially leukemia, another hematological cancer sharing a similar pathway with MM. </w:t>
      </w:r>
      <w:bookmarkStart w:id="14" w:name="_Hlk53609575"/>
      <w:r w:rsidRPr="00551A8E">
        <w:rPr>
          <w:rFonts w:ascii="Times New Roman" w:hAnsi="Times New Roman" w:cs="Times New Roman"/>
        </w:rPr>
        <w:t xml:space="preserve">For instance, Fibroblast growth factor receptor 1 (FGFR1) plays an essential role in the regulation of cell proliferation, differentiation and migration via mediating the downstream signaling, such as MAPK, AKT/PI3K, and Ras. </w:t>
      </w:r>
      <w:r w:rsidRPr="00551A8E">
        <w:rPr>
          <w:rFonts w:ascii="Times New Roman" w:hAnsi="Times New Roman" w:cs="Times New Roman"/>
        </w:rPr>
        <w:lastRenderedPageBreak/>
        <w:t xml:space="preserve">Amplification of FGFR1 was reported in breast cancer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&lt;EndNote&gt;&lt;Cite&gt;&lt;Author&gt;Turner&lt;/Author&gt;&lt;Year&gt;2010&lt;/Year&gt;&lt;RecNum&gt;26&lt;/RecNum&gt;&lt;DisplayText&gt;(15)&lt;/DisplayText&gt;&lt;record&gt;&lt;rec-number&gt;26&lt;/rec-number&gt;&lt;foreign-keys&gt;&lt;key app="EN" db-id="9sxvtsa9azp05xetzd2xw0x3eraaaz5p5zzr" timestamp="1534601230"&gt;26&lt;/key&gt;&lt;/foreign-keys&gt;&lt;ref-type name="Journal Article"&gt;17&lt;/ref-type&gt;&lt;contributors&gt;&lt;authors&gt;&lt;author&gt;Turner, Nicholas&lt;/author&gt;&lt;author&gt;Pearson, Alex&lt;/author&gt;&lt;author&gt;Sharpe, Rachel&lt;/author&gt;&lt;author&gt;Lambros, Maryou&lt;/author&gt;&lt;author&gt;Geyer, Felipe&lt;/author&gt;&lt;author&gt;Lopez-Garcia, Maria A.&lt;/author&gt;&lt;author&gt;Natrajan, Rachael&lt;/author&gt;&lt;author&gt;Marchio, Caterina&lt;/author&gt;&lt;author&gt;Iorns, Elizabeth&lt;/author&gt;&lt;author&gt;Mackay, Alan&lt;/author&gt;&lt;/authors&gt;&lt;/contributors&gt;&lt;titles&gt;&lt;title&gt;FGFR1 amplification drives endocrine therapy resistance and is a therapeutic target in breast cancer&lt;/title&gt;&lt;secondary-title&gt;Cancer research&lt;/secondary-title&gt;&lt;/titles&gt;&lt;periodical&gt;&lt;full-title&gt;Cancer research&lt;/full-title&gt;&lt;/periodical&gt;&lt;pages&gt;2085-2094&lt;/pages&gt;&lt;volume&gt;70&lt;/volume&gt;&lt;number&gt;5&lt;/number&gt;&lt;dates&gt;&lt;year&gt;2010&lt;/year&gt;&lt;/dates&gt;&lt;isbn&gt;0008-5472&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(15)</w:t>
      </w:r>
      <w:r w:rsidRPr="00551A8E">
        <w:rPr>
          <w:rFonts w:ascii="Times New Roman" w:hAnsi="Times New Roman" w:cs="Times New Roman"/>
        </w:rPr>
        <w:fldChar w:fldCharType="end"/>
      </w:r>
      <w:r w:rsidRPr="00551A8E">
        <w:rPr>
          <w:rFonts w:ascii="Times New Roman" w:hAnsi="Times New Roman" w:cs="Times New Roman"/>
        </w:rPr>
        <w:t xml:space="preserve">, non-small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&lt;EndNote&gt;&lt;Cite&gt;&lt;Author&gt;Dutt&lt;/Author&gt;&lt;Year&gt;2011&lt;/Year&gt;&lt;RecNum&gt;27&lt;/RecNum&gt;&lt;DisplayText&gt;(16)&lt;/DisplayText&gt;&lt;record&gt;&lt;rec-number&gt;27&lt;/rec-number&gt;&lt;foreign-keys&gt;&lt;key app="EN" db-id="9sxvtsa9azp05xetzd2xw0x3eraaaz5p5zzr" timestamp="1534601230"&gt;27&lt;/key&gt;&lt;/foreign-keys&gt;&lt;ref-type name="Journal Article"&gt;17&lt;/ref-type&gt;&lt;contributors&gt;&lt;authors&gt;&lt;author&gt;Dutt, Amit&lt;/author&gt;&lt;author&gt;Ramos, Alex H.&lt;/author&gt;&lt;author&gt;Hammerman, Peter S.&lt;/author&gt;&lt;author&gt;Mermel, Craig&lt;/author&gt;&lt;author&gt;Cho, Jeonghee&lt;/author&gt;&lt;author&gt;Sharifnia, Tanaz&lt;/author&gt;&lt;author&gt;Chande, Ajit&lt;/author&gt;&lt;author&gt;Tanaka, Kumiko Elisa&lt;/author&gt;&lt;author&gt;Stransky, Nicolas&lt;/author&gt;&lt;author&gt;Greulich, Heidi&lt;/author&gt;&lt;/authors&gt;&lt;/contributors&gt;&lt;titles&gt;&lt;title&gt;Inhibitor-sensitive FGFR1 amplification in human non-small cell lung cancer&lt;/title&gt;&lt;secondary-title&gt;PloS one&lt;/secondary-title&gt;&lt;/titles&gt;&lt;periodical&gt;&lt;full-title&gt;PLOS ONE&lt;/full-title&gt;&lt;/periodical&gt;&lt;pages&gt;e20351&lt;/pages&gt;&lt;volume&gt;6&lt;/volume&gt;&lt;number&gt;6&lt;/number&gt;&lt;dates&gt;&lt;year&gt;2011&lt;/year&gt;&lt;/dates&gt;&lt;isbn&gt;1932-6203&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(16)</w:t>
      </w:r>
      <w:r w:rsidRPr="00551A8E">
        <w:rPr>
          <w:rFonts w:ascii="Times New Roman" w:hAnsi="Times New Roman" w:cs="Times New Roman"/>
        </w:rPr>
        <w:fldChar w:fldCharType="end"/>
      </w:r>
      <w:r w:rsidRPr="00551A8E">
        <w:rPr>
          <w:rFonts w:ascii="Times New Roman" w:hAnsi="Times New Roman" w:cs="Times New Roman"/>
        </w:rPr>
        <w:t xml:space="preserve"> and squamous cell lung cancer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&lt;EndNote&gt;&lt;Cite&gt;&lt;Author&gt;Weiss&lt;/Author&gt;&lt;Year&gt;2010&lt;/Year&gt;&lt;RecNum&gt;28&lt;/RecNum&gt;&lt;DisplayText&gt;(17)&lt;/DisplayText&gt;&lt;record&gt;&lt;rec-number&gt;28&lt;/rec-number&gt;&lt;foreign-keys&gt;&lt;key app="EN" db-id="9sxvtsa9azp05xetzd2xw0x3eraaaz5p5zzr" timestamp="1534601230"&gt;28&lt;/key&gt;&lt;/foreign-keys&gt;&lt;ref-type name="Journal Article"&gt;17&lt;/ref-type&gt;&lt;contributors&gt;&lt;authors&gt;&lt;author&gt;Weiss, Jonathan&lt;/author&gt;&lt;author&gt;Sos, Martin L.&lt;/author&gt;&lt;author&gt;Seidel, Danila&lt;/author&gt;&lt;author&gt;Peifer, Martin&lt;/author&gt;&lt;author&gt;Zander, Thomas&lt;/author&gt;&lt;author&gt;Heuckmann, Johannes M.&lt;/author&gt;&lt;author&gt;Ullrich, Roland T.&lt;/author&gt;&lt;author&gt;Menon, Roopika&lt;/author&gt;&lt;author&gt;Maier, Sebastian&lt;/author&gt;&lt;author&gt;Soltermann, Alex&lt;/author&gt;&lt;/authors&gt;&lt;/contributors&gt;&lt;titles&gt;&lt;title&gt;Frequent and focal FGFR1 amplification associates with therapeutically tractable FGFR1 dependency in squamous cell lung cancer&lt;/title&gt;&lt;secondary-title&gt;Science translational medicine&lt;/secondary-title&gt;&lt;/titles&gt;&lt;periodical&gt;&lt;full-title&gt;Science translational medicine&lt;/full-title&gt;&lt;/periodical&gt;&lt;pages&gt;62ra93-62ra93&lt;/pages&gt;&lt;volume&gt;2&lt;/volume&gt;&lt;number&gt;62&lt;/number&gt;&lt;dates&gt;&lt;year&gt;2010&lt;/year&gt;&lt;/dates&gt;&lt;isbn&gt;1946-6234&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(17)</w:t>
      </w:r>
      <w:r w:rsidRPr="00551A8E">
        <w:rPr>
          <w:rFonts w:ascii="Times New Roman" w:hAnsi="Times New Roman" w:cs="Times New Roman"/>
        </w:rPr>
        <w:fldChar w:fldCharType="end"/>
      </w:r>
      <w:r w:rsidRPr="00551A8E">
        <w:rPr>
          <w:rFonts w:ascii="Times New Roman" w:hAnsi="Times New Roman" w:cs="Times New Roman"/>
        </w:rPr>
        <w:t xml:space="preserve">, urinary bladder cancer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&lt;EndNote&gt;&lt;Cite&gt;&lt;Author&gt;Simon&lt;/Author&gt;&lt;Year&gt;2001&lt;/Year&gt;&lt;RecNum&gt;29&lt;/RecNum&gt;&lt;DisplayText&gt;(18)&lt;/DisplayText&gt;&lt;record&gt;&lt;rec-number&gt;29&lt;/rec-number&gt;&lt;foreign-keys&gt;&lt;key app="EN" db-id="9sxvtsa9azp05xetzd2xw0x3eraaaz5p5zzr" timestamp="1534601230"&gt;29&lt;/key&gt;&lt;/foreign-keys&gt;&lt;ref-type name="Journal Article"&gt;17&lt;/ref-type&gt;&lt;contributors&gt;&lt;authors&gt;&lt;author&gt;Simon, Ronald&lt;/author&gt;&lt;author&gt;Richter, Jan&lt;/author&gt;&lt;author&gt;Wagner, Urs&lt;/author&gt;&lt;author&gt;Fijan, André&lt;/author&gt;&lt;author&gt;Bruderer, James&lt;/author&gt;&lt;author&gt;Schmid, Ulrico&lt;/author&gt;&lt;author&gt;Ackermann, Daniel&lt;/author&gt;&lt;author&gt;Maurer, Robert&lt;/author&gt;&lt;author&gt;Alund, Göran&lt;/author&gt;&lt;author&gt;Knönagel, Hartmut&lt;/author&gt;&lt;/authors&gt;&lt;/contributors&gt;&lt;titles&gt;&lt;title&gt;High-throughput tissue microarray analysis of 3p25 (RAF1) and 8p12 (FGFR1) copy number alterations in urinary bladder cancer&lt;/title&gt;&lt;secondary-title&gt;Cancer research&lt;/secondary-title&gt;&lt;/titles&gt;&lt;periodical&gt;&lt;full-title&gt;Cancer research&lt;/full-title&gt;&lt;/periodical&gt;&lt;pages&gt;4514-4519&lt;/pages&gt;&lt;volume&gt;61&lt;/volume&gt;&lt;number&gt;11&lt;/number&gt;&lt;dates&gt;&lt;year&gt;2001&lt;/year&gt;&lt;/dates&gt;&lt;isbn&gt;0008-5472&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(18)</w:t>
      </w:r>
      <w:r w:rsidRPr="00551A8E">
        <w:rPr>
          <w:rFonts w:ascii="Times New Roman" w:hAnsi="Times New Roman" w:cs="Times New Roman"/>
        </w:rPr>
        <w:fldChar w:fldCharType="end"/>
      </w:r>
      <w:r w:rsidRPr="00551A8E">
        <w:rPr>
          <w:rFonts w:ascii="Times New Roman" w:hAnsi="Times New Roman" w:cs="Times New Roman"/>
        </w:rPr>
        <w:t xml:space="preserve">, and prostate cancer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&lt;EndNote&gt;&lt;Cite&gt;&lt;Author&gt;Yang&lt;/Author&gt;&lt;Year&gt;2013&lt;/Year&gt;&lt;RecNum&gt;30&lt;/RecNum&gt;&lt;DisplayText&gt;(19)&lt;/DisplayText&gt;&lt;record&gt;&lt;rec-number&gt;30&lt;/rec-number&gt;&lt;foreign-keys&gt;&lt;key app="EN" db-id="9sxvtsa9azp05xetzd2xw0x3eraaaz5p5zzr" timestamp="1534601230"&gt;30&lt;/key&gt;&lt;/foreign-keys&gt;&lt;ref-type name="Journal Article"&gt;17&lt;/ref-type&gt;&lt;contributors&gt;&lt;authors&gt;&lt;author&gt;Yang, Feng&lt;/author&gt;&lt;author&gt;Zhang, Yongyou&lt;/author&gt;&lt;author&gt;Ressler, Steven J.&lt;/author&gt;&lt;author&gt;Ittmann, Michael M.&lt;/author&gt;&lt;author&gt;Ayala, Gustavo E.&lt;/author&gt;&lt;author&gt;Dang, Truong D.&lt;/author&gt;&lt;author&gt;Wang, Fen&lt;/author&gt;&lt;author&gt;Rowley, David R.&lt;/author&gt;&lt;/authors&gt;&lt;/contributors&gt;&lt;titles&gt;&lt;title&gt;FGFR1 is essential for prostate cancer progression and metastasis&lt;/title&gt;&lt;secondary-title&gt;Cancer research&lt;/secondary-title&gt;&lt;/titles&gt;&lt;periodical&gt;&lt;full-title&gt;Cancer research&lt;/full-title&gt;&lt;/periodical&gt;&lt;pages&gt;3716-3724&lt;/pages&gt;&lt;volume&gt;73&lt;/volume&gt;&lt;number&gt;12&lt;/number&gt;&lt;dates&gt;&lt;year&gt;2013&lt;/year&gt;&lt;/dates&gt;&lt;isbn&gt;0008-5472&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(19)</w:t>
      </w:r>
      <w:r w:rsidRPr="00551A8E">
        <w:rPr>
          <w:rFonts w:ascii="Times New Roman" w:hAnsi="Times New Roman" w:cs="Times New Roman"/>
        </w:rPr>
        <w:fldChar w:fldCharType="end"/>
      </w:r>
      <w:r w:rsidRPr="00551A8E">
        <w:rPr>
          <w:rFonts w:ascii="Times New Roman" w:hAnsi="Times New Roman" w:cs="Times New Roman"/>
        </w:rPr>
        <w:t xml:space="preserve">. Several tyrosine kinase inhibitors targeting FGFR1 are currently applied for cancer treatment. Regorafenib, a FGFR1 inhibitor, has already been approved to treat advanced gastrointestinal stromal tumors and previous treated metastatic colorectal cancer (https://www.cancer.gov/about-cancer/treatment/drugs/regorafenib). </w:t>
      </w:r>
      <w:r w:rsidRPr="00551A8E">
        <w:rPr>
          <w:rFonts w:ascii="Times New Roman" w:eastAsia="Times New Roman" w:hAnsi="Times New Roman" w:cs="Times New Roman"/>
          <w:bCs/>
          <w:szCs w:val="28"/>
        </w:rPr>
        <w:t xml:space="preserve">Ponatinib can be used to treat patients with chronic myeloid leukemia (CML) and Philadelphia chromosome–positive (Ph+) acute lymphoblastic leukemia (ALL). Tyrosine kinase inhibitors Sorafenib, Lenvatinib, </w:t>
      </w:r>
      <w:proofErr w:type="spellStart"/>
      <w:r w:rsidRPr="00551A8E">
        <w:rPr>
          <w:rFonts w:ascii="Times New Roman" w:eastAsia="Times New Roman" w:hAnsi="Times New Roman" w:cs="Times New Roman"/>
          <w:bCs/>
          <w:szCs w:val="28"/>
        </w:rPr>
        <w:t>Nintedanib</w:t>
      </w:r>
      <w:proofErr w:type="spellEnd"/>
      <w:r w:rsidRPr="00551A8E">
        <w:rPr>
          <w:rFonts w:ascii="Times New Roman" w:eastAsia="Times New Roman" w:hAnsi="Times New Roman" w:cs="Times New Roman"/>
          <w:bCs/>
          <w:szCs w:val="28"/>
        </w:rPr>
        <w:t xml:space="preserve"> and Pazopanib are approved by the FDA to treat carcinoma that occurs in different tissues and organs, such as hepatocellular carcinoma (Sorafenib), advanced renal cell carcinoma (Sorafenib and Lenvatinib), non-small cell lung carcinoma (</w:t>
      </w:r>
      <w:proofErr w:type="spellStart"/>
      <w:r w:rsidRPr="00551A8E">
        <w:rPr>
          <w:rFonts w:ascii="Times New Roman" w:eastAsia="Times New Roman" w:hAnsi="Times New Roman" w:cs="Times New Roman"/>
          <w:bCs/>
          <w:szCs w:val="28"/>
        </w:rPr>
        <w:t>Nintedanib</w:t>
      </w:r>
      <w:proofErr w:type="spellEnd"/>
      <w:r w:rsidRPr="00551A8E">
        <w:rPr>
          <w:rFonts w:ascii="Times New Roman" w:eastAsia="Times New Roman" w:hAnsi="Times New Roman" w:cs="Times New Roman"/>
          <w:bCs/>
          <w:szCs w:val="28"/>
        </w:rPr>
        <w:t xml:space="preserve">) and differentiated thyroid carcinoma (DTC) that is refractory to radioactive iodine (Sorafenib and Pazopanib) </w:t>
      </w:r>
      <w:r w:rsidRPr="00551A8E">
        <w:rPr>
          <w:rFonts w:ascii="Times New Roman" w:eastAsia="Times New Roman" w:hAnsi="Times New Roman" w:cs="Times New Roman"/>
          <w:bCs/>
          <w:szCs w:val="28"/>
        </w:rPr>
        <w:fldChar w:fldCharType="begin"/>
      </w:r>
      <w:r w:rsidRPr="00551A8E">
        <w:rPr>
          <w:rFonts w:ascii="Times New Roman" w:eastAsia="Times New Roman" w:hAnsi="Times New Roman" w:cs="Times New Roman"/>
          <w:bCs/>
          <w:szCs w:val="28"/>
        </w:rPr>
        <w:instrText xml:space="preserve"> ADDIN EN.CITE &lt;EndNote&gt;&lt;Cite&gt;&lt;Author&gt;Grillo&lt;/Author&gt;&lt;Year&gt;2018&lt;/Year&gt;&lt;RecNum&gt;68&lt;/RecNum&gt;&lt;DisplayText&gt;(20)&lt;/DisplayText&gt;&lt;record&gt;&lt;rec-number&gt;68&lt;/rec-number&gt;&lt;foreign-keys&gt;&lt;key app="EN" db-id="9sxvtsa9azp05xetzd2xw0x3eraaaz5p5zzr" timestamp="1534610178"&gt;68&lt;/key&gt;&lt;/foreign-keys&gt;&lt;ref-type name="Journal Article"&gt;17&lt;/ref-type&gt;&lt;contributors&gt;&lt;authors&gt;&lt;author&gt;Grillo, Federica&lt;/author&gt;&lt;author&gt;Florio, Tullio&lt;/author&gt;&lt;author&gt;Ferraù, Francesco&lt;/author&gt;&lt;author&gt;Kara, Elda&lt;/author&gt;&lt;author&gt;Fanciulli, Giuseppe&lt;/author&gt;&lt;author&gt;Faggiano, Antongiulio&lt;/author&gt;&lt;author&gt;Colao, Annamaria&lt;/author&gt;&lt;author&gt;Nike Group&lt;/author&gt;&lt;/authors&gt;&lt;/contributors&gt;&lt;titles&gt;&lt;title&gt;Emerging multitarget tyrosine kinase inhibitors in the treatment of neuroendocrine neoplasms&lt;/title&gt;&lt;secondary-title&gt;Endocrine-Related Cancer&lt;/secondary-title&gt;&lt;/titles&gt;&lt;periodical&gt;&lt;full-title&gt;Endocrine-Related Cancer&lt;/full-title&gt;&lt;/periodical&gt;&lt;pages&gt;R453-R466&lt;/pages&gt;&lt;volume&gt;25&lt;/volume&gt;&lt;number&gt;9&lt;/number&gt;&lt;dates&gt;&lt;year&gt;2018&lt;/year&gt;&lt;pub-dates&gt;&lt;date&gt;September 1, 2018&lt;/date&gt;&lt;/pub-dates&gt;&lt;/dates&gt;&lt;urls&gt;&lt;related-urls&gt;&lt;url&gt;http://erc.endocrinology-journals.org/content/25/9/R453.abstract&lt;/url&gt;&lt;/related-urls&gt;&lt;/urls&gt;&lt;electronic-resource-num&gt;10.1530/erc-17-0531&lt;/electronic-resource-num&gt;&lt;/record&gt;&lt;/Cite&gt;&lt;/EndNote&gt;</w:instrText>
      </w:r>
      <w:r w:rsidRPr="00551A8E">
        <w:rPr>
          <w:rFonts w:ascii="Times New Roman" w:eastAsia="Times New Roman" w:hAnsi="Times New Roman" w:cs="Times New Roman"/>
          <w:bCs/>
          <w:szCs w:val="28"/>
        </w:rPr>
        <w:fldChar w:fldCharType="separate"/>
      </w:r>
      <w:r w:rsidRPr="00551A8E">
        <w:rPr>
          <w:rFonts w:ascii="Times New Roman" w:eastAsia="Times New Roman" w:hAnsi="Times New Roman" w:cs="Times New Roman"/>
          <w:bCs/>
          <w:noProof/>
          <w:szCs w:val="28"/>
        </w:rPr>
        <w:t>(20)</w:t>
      </w:r>
      <w:r w:rsidRPr="00551A8E">
        <w:rPr>
          <w:rFonts w:ascii="Times New Roman" w:eastAsia="Times New Roman" w:hAnsi="Times New Roman" w:cs="Times New Roman"/>
          <w:bCs/>
          <w:szCs w:val="28"/>
        </w:rPr>
        <w:fldChar w:fldCharType="end"/>
      </w:r>
      <w:bookmarkEnd w:id="14"/>
      <w:r w:rsidRPr="00551A8E">
        <w:rPr>
          <w:rFonts w:ascii="Times New Roman" w:eastAsia="Times New Roman" w:hAnsi="Times New Roman" w:cs="Times New Roman"/>
          <w:bCs/>
          <w:szCs w:val="28"/>
        </w:rPr>
        <w:t>. The FGFR1 mu</w:t>
      </w:r>
      <w:r w:rsidRPr="00551A8E">
        <w:rPr>
          <w:rFonts w:ascii="Times New Roman" w:eastAsia="SimSun" w:hAnsi="Times New Roman" w:cs="Times New Roman"/>
          <w:bCs/>
          <w:szCs w:val="28"/>
        </w:rPr>
        <w:t xml:space="preserve">tation causes up-regulation of FGFR1 that is positively correlated with 19 MM datasets among 30. LMO1, another gene mutation positively correlated with MM datasets, encodes Rhombotin-1, which can directly bind to DNA and other transcription factors to regulate gene expression within neural lineage cells. LMO1 was identified as an oncogene for neuroblastoma </w:t>
      </w:r>
      <w:r w:rsidRPr="00551A8E">
        <w:rPr>
          <w:rFonts w:ascii="Times New Roman" w:eastAsia="SimSun" w:hAnsi="Times New Roman" w:cs="Times New Roman"/>
          <w:bCs/>
          <w:szCs w:val="28"/>
        </w:rPr>
        <w:fldChar w:fldCharType="begin"/>
      </w:r>
      <w:r w:rsidRPr="00551A8E">
        <w:rPr>
          <w:rFonts w:ascii="Times New Roman" w:eastAsia="SimSun" w:hAnsi="Times New Roman" w:cs="Times New Roman"/>
          <w:bCs/>
          <w:szCs w:val="28"/>
        </w:rPr>
        <w:instrText xml:space="preserve"> ADDIN EN.CITE &lt;EndNote&gt;&lt;Cite&gt;&lt;Author&gt;Wang&lt;/Author&gt;&lt;Year&gt;2011&lt;/Year&gt;&lt;RecNum&gt;31&lt;/RecNum&gt;&lt;DisplayText&gt;(21)&lt;/DisplayText&gt;&lt;record&gt;&lt;rec-number&gt;31&lt;/rec-number&gt;&lt;foreign-keys&gt;&lt;key app="EN" db-id="9sxvtsa9azp05xetzd2xw0x3eraaaz5p5zzr" timestamp="1534601230"&gt;31&lt;/key&gt;&lt;/foreign-keys&gt;&lt;ref-type name="Journal Article"&gt;17&lt;/ref-type&gt;&lt;contributors&gt;&lt;authors&gt;&lt;author&gt;Wang, Kai&lt;/author&gt;&lt;author&gt;Diskin, Sharon J.&lt;/author&gt;&lt;author&gt;Zhang, Haitao&lt;/author&gt;&lt;author&gt;Attiyeh, Edward F.&lt;/author&gt;&lt;author&gt;Winter, Cynthia&lt;/author&gt;&lt;author&gt;Hou, Cuiping&lt;/author&gt;&lt;author&gt;Schnepp, Robert W.&lt;/author&gt;&lt;author&gt;Diamond, Maura&lt;/author&gt;&lt;author&gt;Bosse, Kristopher&lt;/author&gt;&lt;author&gt;Mayes, Patrick A.&lt;/author&gt;&lt;/authors&gt;&lt;/contributors&gt;&lt;titles&gt;&lt;title&gt;Integrative genomics identifies LMO1 as a neuroblastoma oncogene&lt;/title&gt;&lt;secondary-title&gt;Nature&lt;/secondary-title&gt;&lt;/titles&gt;&lt;periodical&gt;&lt;full-title&gt;Nature&lt;/full-title&gt;&lt;/periodical&gt;&lt;pages&gt;216&lt;/pages&gt;&lt;volume&gt;469&lt;/volume&gt;&lt;number&gt;7329&lt;/number&gt;&lt;dates&gt;&lt;year&gt;2011&lt;/year&gt;&lt;/dates&gt;&lt;urls&gt;&lt;/urls&gt;&lt;/record&gt;&lt;/Cite&gt;&lt;/EndNote&gt;</w:instrText>
      </w:r>
      <w:r w:rsidRPr="00551A8E">
        <w:rPr>
          <w:rFonts w:ascii="Times New Roman" w:eastAsia="SimSun" w:hAnsi="Times New Roman" w:cs="Times New Roman"/>
          <w:bCs/>
          <w:szCs w:val="28"/>
        </w:rPr>
        <w:fldChar w:fldCharType="separate"/>
      </w:r>
      <w:r w:rsidRPr="00551A8E">
        <w:rPr>
          <w:rFonts w:ascii="Times New Roman" w:eastAsia="SimSun" w:hAnsi="Times New Roman" w:cs="Times New Roman"/>
          <w:bCs/>
          <w:noProof/>
          <w:szCs w:val="28"/>
        </w:rPr>
        <w:t>(21)</w:t>
      </w:r>
      <w:r w:rsidRPr="00551A8E">
        <w:rPr>
          <w:rFonts w:ascii="Times New Roman" w:eastAsia="SimSun" w:hAnsi="Times New Roman" w:cs="Times New Roman"/>
          <w:bCs/>
          <w:szCs w:val="28"/>
        </w:rPr>
        <w:fldChar w:fldCharType="end"/>
      </w:r>
      <w:r w:rsidRPr="00551A8E">
        <w:rPr>
          <w:rFonts w:ascii="Times New Roman" w:eastAsia="SimSun" w:hAnsi="Times New Roman" w:cs="Times New Roman"/>
          <w:bCs/>
          <w:szCs w:val="28"/>
        </w:rPr>
        <w:t xml:space="preserve">, T-cell acute lymphoblastic leukemia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&lt;EndNote&gt;&lt;Cite&gt;&lt;Author&gt;Tremblay&lt;/Author&gt;&lt;Year&gt;2010&lt;/Year&gt;&lt;RecNum&gt;32&lt;/RecNum&gt;&lt;DisplayText&gt;(22)&lt;/DisplayText&gt;&lt;record&gt;&lt;rec-number&gt;32&lt;/rec-number&gt;&lt;foreign-keys&gt;&lt;key app="EN" db-id="9sxvtsa9azp05xetzd2xw0x3eraaaz5p5zzr" timestamp="1534601230"&gt;32&lt;/key&gt;&lt;/foreign-keys&gt;&lt;ref-type name="Journal Article"&gt;17&lt;/ref-type&gt;&lt;contributors&gt;&lt;authors&gt;&lt;author&gt;Tremblay, Mathieu&lt;/author&gt;&lt;author&gt;Tremblay, Cédric S.&lt;/author&gt;&lt;author&gt;Herblot, Sabine&lt;/author&gt;&lt;author&gt;Aplan, Peter D.&lt;/author&gt;&lt;author&gt;Hébert, Josée&lt;/author&gt;&lt;author&gt;Perreault, Claude&lt;/author&gt;&lt;author&gt;Hoang, Trang&lt;/author&gt;&lt;/authors&gt;&lt;/contributors&gt;&lt;titles&gt;&lt;title&gt;Modeling T-cell acute lymphoblastic leukemia induced by the SCL and LMO1 oncogenes&lt;/title&gt;&lt;secondary-title&gt;Genes &amp;amp; Development&lt;/secondary-title&gt;&lt;/titles&gt;&lt;periodical&gt;&lt;full-title&gt;Genes &amp;amp; Development&lt;/full-title&gt;&lt;/periodical&gt;&lt;pages&gt;1093-1105&lt;/pages&gt;&lt;volume&gt;24&lt;/volume&gt;&lt;number&gt;11&lt;/number&gt;&lt;dates&gt;&lt;year&gt;2010&lt;/year&gt;&lt;/dates&gt;&lt;isbn&gt;0890-9369&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(22)</w:t>
      </w:r>
      <w:r w:rsidRPr="00551A8E">
        <w:rPr>
          <w:rFonts w:ascii="Times New Roman" w:hAnsi="Times New Roman" w:cs="Times New Roman"/>
        </w:rPr>
        <w:fldChar w:fldCharType="end"/>
      </w:r>
      <w:r w:rsidRPr="00551A8E">
        <w:rPr>
          <w:rFonts w:ascii="Times New Roman" w:hAnsi="Times New Roman" w:cs="Times New Roman"/>
        </w:rPr>
        <w:t xml:space="preserve">, and colorectal cancer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&lt;EndNote&gt;&lt;Cite&gt;&lt;Author&gt;Liu&lt;/Author&gt;&lt;Year&gt;2014&lt;/Year&gt;&lt;RecNum&gt;33&lt;/RecNum&gt;&lt;DisplayText&gt;(23)&lt;/DisplayText&gt;&lt;record&gt;&lt;rec-number&gt;33&lt;/rec-number&gt;&lt;foreign-keys&gt;&lt;key app="EN" db-id="9sxvtsa9azp05xetzd2xw0x3eraaaz5p5zzr" timestamp="1534601230"&gt;33&lt;/key&gt;&lt;/foreign-keys&gt;&lt;ref-type name="Journal Article"&gt;17&lt;/ref-type&gt;&lt;contributors&gt;&lt;authors&gt;&lt;author&gt;Liu, Junguang&lt;/author&gt;&lt;author&gt;Yan, Peiyun&lt;/author&gt;&lt;author&gt;Jing, Niancai&lt;/author&gt;&lt;author&gt;Yang, Jili&lt;/author&gt;&lt;/authors&gt;&lt;/contributors&gt;&lt;titles&gt;&lt;title&gt;LMO1 is a novel oncogene in colorectal cancer and its overexpression is a new predictive marker for anti-EGFR therapy&lt;/title&gt;&lt;secondary-title&gt;Tumor Biology&lt;/secondary-title&gt;&lt;/titles&gt;&lt;periodical&gt;&lt;full-title&gt;Tumor Biology&lt;/full-title&gt;&lt;/periodical&gt;&lt;pages&gt;8161-8167&lt;/pages&gt;&lt;volume&gt;35&lt;/volume&gt;&lt;number&gt;8&lt;/number&gt;&lt;dates&gt;&lt;year&gt;2014&lt;/year&gt;&lt;/dates&gt;&lt;isbn&gt;1010-4283&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(23)</w:t>
      </w:r>
      <w:r w:rsidRPr="00551A8E">
        <w:rPr>
          <w:rFonts w:ascii="Times New Roman" w:hAnsi="Times New Roman" w:cs="Times New Roman"/>
        </w:rPr>
        <w:fldChar w:fldCharType="end"/>
      </w:r>
      <w:r w:rsidRPr="00551A8E">
        <w:rPr>
          <w:rFonts w:ascii="Times New Roman" w:hAnsi="Times New Roman" w:cs="Times New Roman"/>
        </w:rPr>
        <w:t xml:space="preserve">. TAL2, encodes T-cell acute lymphocytic leukemia protein 2, and is another oncogene for T-cell acute lymphocytic leukemia </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&lt;EndNote&gt;&lt;Cite&gt;&lt;Author&gt;Tremblay&lt;/Author&gt;&lt;Year&gt;2010&lt;/Year&gt;&lt;RecNum&gt;32&lt;/RecNum&gt;&lt;DisplayText&gt;(22)&lt;/DisplayText&gt;&lt;record&gt;&lt;rec-number&gt;32&lt;/rec-number&gt;&lt;foreign-keys&gt;&lt;key app="EN" db-id="9sxvtsa9azp05xetzd2xw0x3eraaaz5p5zzr" timestamp="1534601230"&gt;32&lt;/key&gt;&lt;/foreign-keys&gt;&lt;ref-type name="Journal Article"&gt;17&lt;/ref-type&gt;&lt;contributors&gt;&lt;authors&gt;&lt;author&gt;Tremblay, Mathieu&lt;/author&gt;&lt;author&gt;Tremblay, Cédric S.&lt;/author&gt;&lt;author&gt;Herblot, Sabine&lt;/author&gt;&lt;author&gt;Aplan, Peter D.&lt;/author&gt;&lt;author&gt;Hébert, Josée&lt;/author&gt;&lt;author&gt;Perreault, Claude&lt;/author&gt;&lt;author&gt;Hoang, Trang&lt;/author&gt;&lt;/authors&gt;&lt;/contributors&gt;&lt;titles&gt;&lt;title&gt;Modeling T-cell acute lymphoblastic leukemia induced by the SCL and LMO1 oncogenes&lt;/title&gt;&lt;secondary-title&gt;Genes &amp;amp; Development&lt;/secondary-title&gt;&lt;/titles&gt;&lt;periodical&gt;&lt;full-title&gt;Genes &amp;amp; Development&lt;/full-title&gt;&lt;/periodical&gt;&lt;pages&gt;1093-1105&lt;/pages&gt;&lt;volume&gt;24&lt;/volume&gt;&lt;number&gt;11&lt;/number&gt;&lt;dates&gt;&lt;year&gt;2010&lt;/year&gt;&lt;/dates&gt;&lt;isbn&gt;0890-9369&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(22)</w:t>
      </w:r>
      <w:r w:rsidRPr="00551A8E">
        <w:rPr>
          <w:rFonts w:ascii="Times New Roman" w:hAnsi="Times New Roman" w:cs="Times New Roman"/>
        </w:rPr>
        <w:fldChar w:fldCharType="end"/>
      </w:r>
      <w:r w:rsidRPr="00551A8E">
        <w:rPr>
          <w:rFonts w:ascii="Times New Roman" w:hAnsi="Times New Roman" w:cs="Times New Roman"/>
        </w:rPr>
        <w:t xml:space="preserve">. Mutations of gene CBFB and MYH11 induced DEGs mostly in the same direction with DEGs in MM induced datasets (15 positive relationships for both, one negative correlation for MYH11). This result is consistent with the several literature reports. CBFB-MYH11 fusion gene was identified in patients with acute myeloid leukemia subtype M4, and encodes a chimeric protein that is necessary but not sufficient for leukemogenesis </w:t>
      </w:r>
      <w:r w:rsidRPr="00551A8E">
        <w:rPr>
          <w:rFonts w:ascii="Times New Roman" w:hAnsi="Times New Roman" w:cs="Times New Roman"/>
        </w:rPr>
        <w:fldChar w:fldCharType="begin">
          <w:fldData xml:space="preserve">PEVuZE5vdGU+PENpdGU+PEF1dGhvcj5MaXU8L0F1dGhvcj48WWVhcj4xOTk2PC9ZZWFyPjxSZWNO
dW0+MzQ8L1JlY051bT48RGlzcGxheVRleHQ+KDI0LTI3KTwvRGlzcGxheVRleHQ+PHJlY29yZD48
cmVjLW51bWJlcj4zNDwvcmVjLW51bWJlcj48Zm9yZWlnbi1rZXlzPjxrZXkgYXBwPSJFTiIgZGIt
aWQ9IjlzeHZ0c2E5YXpwMDV4ZXR6ZDJ4dzB4M2VyYWFhejVwNXp6ciIgdGltZXN0YW1wPSIxNTM0
NjAxMjMwIj4zNDwva2V5PjwvZm9yZWlnbi1rZXlzPjxyZWYtdHlwZSBuYW1lPSJKb3VybmFsIEFy
dGljbGUiPjE3PC9yZWYtdHlwZT48Y29udHJpYnV0b3JzPjxhdXRob3JzPjxhdXRob3I+TGl1LCBQ
LiBQYXVsPC9hdXRob3I+PGF1dGhvcj5XaWptZW5nYSwgQ2lzY2E8L2F1dGhvcj48YXV0aG9yPkhh
anJhLCBBbWl0YXY8L2F1dGhvcj48YXV0aG9yPkJsYWtlLCBUcmV2b3IgQi48L2F1dGhvcj48YXV0
aG9yPktlbGxleSwgQ2hyaXN0aW5lIEEuPC9hdXRob3I+PGF1dGhvcj5BZGVsc3RlaW4sIFJvYmVy
dCBTLjwvYXV0aG9yPjxhdXRob3I+QmFnZywgQWRhbTwvYXV0aG9yPjxhdXRob3I+UmVjdG9yLCBK
YW1lczwvYXV0aG9yPjxhdXRob3I+Q290ZWxpbmdhbSwgSmFtZXM8L2F1dGhvcj48YXV0aG9yPldp
bGxtYW4sIENoZXJ5bCBMLjwvYXV0aG9yPjwvYXV0aG9ycz48L2NvbnRyaWJ1dG9ycz48dGl0bGVz
Pjx0aXRsZT5JZGVudGlmaWNhdGlvbiBvZiB0aGUgY2hpbWVyaWMgcHJvdGVpbiBwcm9kdWN0IG9m
IHRoZSBDQkZC4oCQTVlIMTEgZnVzaW9uIGdlbmUgaW4gaW52ICgxNikgbGV1a2VtaWEgY2VsbHM8
L3RpdGxlPjxzZWNvbmRhcnktdGl0bGU+R2VuZXMsIENocm9tb3NvbWVzIGFuZCBDYW5jZXI8L3Nl
Y29uZGFyeS10aXRsZT48L3RpdGxlcz48cGVyaW9kaWNhbD48ZnVsbC10aXRsZT5HZW5lcywgQ2hy
b21vc29tZXMgYW5kIENhbmNlcjwvZnVsbC10aXRsZT48L3BlcmlvZGljYWw+PHBhZ2VzPjc3LTg3
PC9wYWdlcz48dm9sdW1lPjE2PC92b2x1bWU+PG51bWJlcj4yPC9udW1iZXI+PGRhdGVzPjx5ZWFy
PjE5OTY8L3llYXI+PC9kYXRlcz48aXNibj4xMDk4LTIyNjQ8L2lzYm4+PHVybHM+PC91cmxzPjwv
cmVjb3JkPjwvQ2l0ZT48Q2l0ZT48QXV0aG9yPnZhbiBkZXIgUmVpamRlbjwvQXV0aG9yPjxZZWFy
PjE5OTU8L1llYXI+PFJlY051bT4zNTwvUmVjTnVtPjxyZWNvcmQ+PHJlYy1udW1iZXI+MzU8L3Jl
Yy1udW1iZXI+PGZvcmVpZ24ta2V5cz48a2V5IGFwcD0iRU4iIGRiLWlkPSI5c3h2dHNhOWF6cDA1
eGV0emQyeHcweDNlcmFhYXo1cDV6enIiIHRpbWVzdGFtcD0iMTUzNDYwMTIzMCI+MzU8L2tleT48
L2ZvcmVpZ24ta2V5cz48cmVmLXR5cGUgbmFtZT0iSm91cm5hbCBBcnRpY2xlIj4xNzwvcmVmLXR5
cGU+PGNvbnRyaWJ1dG9ycz48YXV0aG9ycz48YXV0aG9yPnZhbiBkZXIgUmVpamRlbiwgQmVydCBB
LjwvYXV0aG9yPjxhdXRob3I+TG9tYmFyZG8sIE1hcmllbGxhPC9hdXRob3I+PGF1dGhvcj5EYXV3
ZXJzZSwgSGFucyBHLjwvYXV0aG9yPjxhdXRob3I+R2lsZXMsIFJhY2hlbCBILjwvYXV0aG9yPjxh
dXRob3I+TXVobGVtYXR0ZXIsIERvbWluaXF1ZTwvYXV0aG9yPjxhdXRob3I+QmVsbG9tbywgTS4g
Sm90dGVyYW5kPC9hdXRob3I+PGF1dGhvcj5XZXNzZWxzLCBILiBXLjwvYXV0aG9yPjxhdXRob3I+
QmV2ZXJzdG9jaywgRy4gQy48L2F1dGhvcj48YXV0aG9yPlZhbiBPbW1lbiwgRy4gSi48L2F1dGhv
cj48YXV0aG9yPkhhZ2VtZWlqZXIsIEEuPC9hdXRob3I+PC9hdXRob3JzPjwvY29udHJpYnV0b3Jz
Pjx0aXRsZXM+PHRpdGxlPlJULVBDUiBkaWFnbm9zaXMgb2YgcGF0aWVudHMgd2l0aCBhY3V0ZSBu
b25seW1waG9jeXRpYyBsZXVrZW1pYSBhbmQgaW52ICgxNikocDEzcTIyKSBhbmQgaWRlbnRpZmlj
YXRpb24gb2YgbmV3IGFsdGVybmF0aXZlIHNwbGljaW5nIGluIENCRkItTVlIMTEgdHJhbnNjcmlw
dHM8L3RpdGxlPjxzZWNvbmRhcnktdGl0bGU+Qmxvb2Q8L3NlY29uZGFyeS10aXRsZT48L3RpdGxl
cz48cGVyaW9kaWNhbD48ZnVsbC10aXRsZT5CbG9vZDwvZnVsbC10aXRsZT48L3BlcmlvZGljYWw+
PHBhZ2VzPjI3Ny0yODI8L3BhZ2VzPjx2b2x1bWU+ODY8L3ZvbHVtZT48bnVtYmVyPjE8L251bWJl
cj48ZGF0ZXM+PHllYXI+MTk5NTwveWVhcj48L2RhdGVzPjxpc2JuPjAwMDYtNDk3MTwvaXNibj48
dXJscz48L3VybHM+PC9yZWNvcmQ+PC9DaXRlPjxDaXRlPjxBdXRob3I+TGl1PC9BdXRob3I+PFll
YXI+MTk5MzwvWWVhcj48UmVjTnVtPjM2PC9SZWNOdW0+PHJlY29yZD48cmVjLW51bWJlcj4zNjwv
cmVjLW51bWJlcj48Zm9yZWlnbi1rZXlzPjxrZXkgYXBwPSJFTiIgZGItaWQ9IjlzeHZ0c2E5YXpw
MDV4ZXR6ZDJ4dzB4M2VyYWFhejVwNXp6ciIgdGltZXN0YW1wPSIxNTM0NjAxMjMwIj4zNjwva2V5
PjwvZm9yZWlnbi1rZXlzPjxyZWYtdHlwZSBuYW1lPSJKb3VybmFsIEFydGljbGUiPjE3PC9yZWYt
dHlwZT48Y29udHJpYnV0b3JzPjxhdXRob3JzPjxhdXRob3I+TGl1LCBQdTwvYXV0aG9yPjxhdXRo
b3I+VGFybGUsIFN1c2FuIEEuPC9hdXRob3I+PGF1dGhvcj5IYWpyYSwgQW1pdGF2PC9hdXRob3I+
PGF1dGhvcj5DbGF4dG9uLCBEYXZpZCBGLjwvYXV0aG9yPjxhdXRob3I+TWFybHRvbiwgUGF1bGE8
L2F1dGhvcj48YXV0aG9yPkZyZWVkbWFuLCBNYXR0aGV3PC9hdXRob3I+PGF1dGhvcj5TaWNpbGlh
bm8sIE1pY2hhZWwgSi48L2F1dGhvcj48YXV0aG9yPkNvbGxpbnMsIEZyYW5jaXM8L2F1dGhvcj48
L2F1dGhvcnM+PC9jb250cmlidXRvcnM+PHRpdGxlcz48dGl0bGU+RnVzaW9uIGJldHdlZW4gdHJh
bnNjcmlwdGlvbiBmYWN0b3IgQ0JGYmV0YS9QRUJQMmJldGEgYW5kIGEgbXlvc2luIGhlYXZ5IGNo
YWluIGluIGFjdXRlIG15ZWxvaWQgbGV1a2VtaWE8L3RpdGxlPjxzZWNvbmRhcnktdGl0bGU+U2Np
ZW5jZTwvc2Vjb25kYXJ5LXRpdGxlPjwvdGl0bGVzPjxwZXJpb2RpY2FsPjxmdWxsLXRpdGxlPlNj
aWVuY2U8L2Z1bGwtdGl0bGU+PGFiYnItMT5TY2llbmNlPC9hYmJyLTE+PC9wZXJpb2RpY2FsPjxw
YWdlcz4xMDQxLTEwNDU8L3BhZ2VzPjx2b2x1bWU+MjYxPC92b2x1bWU+PG51bWJlcj41MTI0PC9u
dW1iZXI+PGRhdGVzPjx5ZWFyPjE5OTM8L3llYXI+PC9kYXRlcz48aXNibj4wMDM2LTgwNzU8L2lz
Ym4+PHVybHM+PC91cmxzPjwvcmVjb3JkPjwvQ2l0ZT48Q2l0ZT48QXV0aG9yPkNhc3RpbGxhPC9B
dXRob3I+PFllYXI+MjAwNDwvWWVhcj48UmVjTnVtPjM3PC9SZWNOdW0+PHJlY29yZD48cmVjLW51
bWJlcj4zNzwvcmVjLW51bWJlcj48Zm9yZWlnbi1rZXlzPjxrZXkgYXBwPSJFTiIgZGItaWQ9Ijlz
eHZ0c2E5YXpwMDV4ZXR6ZDJ4dzB4M2VyYWFhejVwNXp6ciIgdGltZXN0YW1wPSIxNTM0NjAxMjMw
Ij4zNzwva2V5PjwvZm9yZWlnbi1rZXlzPjxyZWYtdHlwZSBuYW1lPSJKb3VybmFsIEFydGljbGUi
PjE3PC9yZWYtdHlwZT48Y29udHJpYnV0b3JzPjxhdXRob3JzPjxhdXRob3I+Q2FzdGlsbGEsIEx1
Y2lvIEguPC9hdXRob3I+PGF1dGhvcj5QZXJyYXQsIFAuPC9hdXRob3I+PGF1dGhvcj5NYXJ0aW5l
eiwgTmF0YWxpYSBKdWxpYTwvYXV0aG9yPjxhdXRob3I+TGFuZHJldHRlLCBTZWFuIEYuPC9hdXRo
b3I+PGF1dGhvcj5LZXlzLCBSLjwvYXV0aG9yPjxhdXRob3I+T2lrZW11cywgUy48L2F1dGhvcj48
YXV0aG9yPkZsYW5lZ2FuLCBKLjwvYXV0aG9yPjxhdXRob3I+SGVpbG1hbiwgUy48L2F1dGhvcj48
YXV0aG9yPkdhcnJldHQsIExpc2E8L2F1dGhvcj48YXV0aG9yPkR1dHJhLCBBLjwvYXV0aG9yPjwv
YXV0aG9ycz48L2NvbnRyaWJ1dG9ycz48dGl0bGVzPjx0aXRsZT5JZGVudGlmaWNhdGlvbiBvZiBn
ZW5lcyB0aGF0IHN5bmVyZ2l6ZSB3aXRoIENiZmItTVlIMTEgaW4gdGhlIHBhdGhvZ2VuZXNpcyBv
ZiBhY3V0ZSBteWVsb2lkIGxldWtlbWlhPC90aXRsZT48c2Vjb25kYXJ5LXRpdGxlPlByb2NlZWRp
bmdzIG9mIHRoZSBOYXRpb25hbCBBY2FkZW15IG9mIFNjaWVuY2VzIG9mIHRoZSBVbml0ZWQgU3Rh
dGVzIG9mIEFtZXJpY2E8L3NlY29uZGFyeS10aXRsZT48L3RpdGxlcz48cGVyaW9kaWNhbD48ZnVs
bC10aXRsZT5Qcm9jZWVkaW5ncyBvZiB0aGUgTmF0aW9uYWwgQWNhZGVteSBvZiBTY2llbmNlcyBv
ZiB0aGUgVW5pdGVkIFN0YXRlcyBvZiBBbWVyaWNhPC9mdWxsLXRpdGxlPjwvcGVyaW9kaWNhbD48
cGFnZXM+NDkyNC00OTI5PC9wYWdlcz48dm9sdW1lPjEwMTwvdm9sdW1lPjxudW1iZXI+MTQ8L251
bWJlcj48ZGF0ZXM+PHllYXI+MjAwNDwveWVhcj48L2RhdGVzPjxpc2JuPjAwMjctODQyNDwvaXNi
bj48dXJscz48L3VybHM+PC9yZWNvcmQ+PC9DaXRlPjwvRW5kTm90ZT5=
</w:fldData>
        </w:fldChar>
      </w:r>
      <w:r w:rsidRPr="00551A8E">
        <w:rPr>
          <w:rFonts w:ascii="Times New Roman" w:hAnsi="Times New Roman" w:cs="Times New Roman"/>
        </w:rPr>
        <w:instrText xml:space="preserve"> ADDIN EN.CITE </w:instrText>
      </w:r>
      <w:r w:rsidRPr="00551A8E">
        <w:rPr>
          <w:rFonts w:ascii="Times New Roman" w:hAnsi="Times New Roman" w:cs="Times New Roman"/>
        </w:rPr>
        <w:fldChar w:fldCharType="begin">
          <w:fldData xml:space="preserve">PEVuZE5vdGU+PENpdGU+PEF1dGhvcj5MaXU8L0F1dGhvcj48WWVhcj4xOTk2PC9ZZWFyPjxSZWNO
dW0+MzQ8L1JlY051bT48RGlzcGxheVRleHQ+KDI0LTI3KTwvRGlzcGxheVRleHQ+PHJlY29yZD48
cmVjLW51bWJlcj4zNDwvcmVjLW51bWJlcj48Zm9yZWlnbi1rZXlzPjxrZXkgYXBwPSJFTiIgZGIt
aWQ9IjlzeHZ0c2E5YXpwMDV4ZXR6ZDJ4dzB4M2VyYWFhejVwNXp6ciIgdGltZXN0YW1wPSIxNTM0
NjAxMjMwIj4zNDwva2V5PjwvZm9yZWlnbi1rZXlzPjxyZWYtdHlwZSBuYW1lPSJKb3VybmFsIEFy
dGljbGUiPjE3PC9yZWYtdHlwZT48Y29udHJpYnV0b3JzPjxhdXRob3JzPjxhdXRob3I+TGl1LCBQ
LiBQYXVsPC9hdXRob3I+PGF1dGhvcj5XaWptZW5nYSwgQ2lzY2E8L2F1dGhvcj48YXV0aG9yPkhh
anJhLCBBbWl0YXY8L2F1dGhvcj48YXV0aG9yPkJsYWtlLCBUcmV2b3IgQi48L2F1dGhvcj48YXV0
aG9yPktlbGxleSwgQ2hyaXN0aW5lIEEuPC9hdXRob3I+PGF1dGhvcj5BZGVsc3RlaW4sIFJvYmVy
dCBTLjwvYXV0aG9yPjxhdXRob3I+QmFnZywgQWRhbTwvYXV0aG9yPjxhdXRob3I+UmVjdG9yLCBK
YW1lczwvYXV0aG9yPjxhdXRob3I+Q290ZWxpbmdhbSwgSmFtZXM8L2F1dGhvcj48YXV0aG9yPldp
bGxtYW4sIENoZXJ5bCBMLjwvYXV0aG9yPjwvYXV0aG9ycz48L2NvbnRyaWJ1dG9ycz48dGl0bGVz
Pjx0aXRsZT5JZGVudGlmaWNhdGlvbiBvZiB0aGUgY2hpbWVyaWMgcHJvdGVpbiBwcm9kdWN0IG9m
IHRoZSBDQkZC4oCQTVlIMTEgZnVzaW9uIGdlbmUgaW4gaW52ICgxNikgbGV1a2VtaWEgY2VsbHM8
L3RpdGxlPjxzZWNvbmRhcnktdGl0bGU+R2VuZXMsIENocm9tb3NvbWVzIGFuZCBDYW5jZXI8L3Nl
Y29uZGFyeS10aXRsZT48L3RpdGxlcz48cGVyaW9kaWNhbD48ZnVsbC10aXRsZT5HZW5lcywgQ2hy
b21vc29tZXMgYW5kIENhbmNlcjwvZnVsbC10aXRsZT48L3BlcmlvZGljYWw+PHBhZ2VzPjc3LTg3
PC9wYWdlcz48dm9sdW1lPjE2PC92b2x1bWU+PG51bWJlcj4yPC9udW1iZXI+PGRhdGVzPjx5ZWFy
PjE5OTY8L3llYXI+PC9kYXRlcz48aXNibj4xMDk4LTIyNjQ8L2lzYm4+PHVybHM+PC91cmxzPjwv
cmVjb3JkPjwvQ2l0ZT48Q2l0ZT48QXV0aG9yPnZhbiBkZXIgUmVpamRlbjwvQXV0aG9yPjxZZWFy
PjE5OTU8L1llYXI+PFJlY051bT4zNTwvUmVjTnVtPjxyZWNvcmQ+PHJlYy1udW1iZXI+MzU8L3Jl
Yy1udW1iZXI+PGZvcmVpZ24ta2V5cz48a2V5IGFwcD0iRU4iIGRiLWlkPSI5c3h2dHNhOWF6cDA1
eGV0emQyeHcweDNlcmFhYXo1cDV6enIiIHRpbWVzdGFtcD0iMTUzNDYwMTIzMCI+MzU8L2tleT48
L2ZvcmVpZ24ta2V5cz48cmVmLXR5cGUgbmFtZT0iSm91cm5hbCBBcnRpY2xlIj4xNzwvcmVmLXR5
cGU+PGNvbnRyaWJ1dG9ycz48YXV0aG9ycz48YXV0aG9yPnZhbiBkZXIgUmVpamRlbiwgQmVydCBB
LjwvYXV0aG9yPjxhdXRob3I+TG9tYmFyZG8sIE1hcmllbGxhPC9hdXRob3I+PGF1dGhvcj5EYXV3
ZXJzZSwgSGFucyBHLjwvYXV0aG9yPjxhdXRob3I+R2lsZXMsIFJhY2hlbCBILjwvYXV0aG9yPjxh
dXRob3I+TXVobGVtYXR0ZXIsIERvbWluaXF1ZTwvYXV0aG9yPjxhdXRob3I+QmVsbG9tbywgTS4g
Sm90dGVyYW5kPC9hdXRob3I+PGF1dGhvcj5XZXNzZWxzLCBILiBXLjwvYXV0aG9yPjxhdXRob3I+
QmV2ZXJzdG9jaywgRy4gQy48L2F1dGhvcj48YXV0aG9yPlZhbiBPbW1lbiwgRy4gSi48L2F1dGhv
cj48YXV0aG9yPkhhZ2VtZWlqZXIsIEEuPC9hdXRob3I+PC9hdXRob3JzPjwvY29udHJpYnV0b3Jz
Pjx0aXRsZXM+PHRpdGxlPlJULVBDUiBkaWFnbm9zaXMgb2YgcGF0aWVudHMgd2l0aCBhY3V0ZSBu
b25seW1waG9jeXRpYyBsZXVrZW1pYSBhbmQgaW52ICgxNikocDEzcTIyKSBhbmQgaWRlbnRpZmlj
YXRpb24gb2YgbmV3IGFsdGVybmF0aXZlIHNwbGljaW5nIGluIENCRkItTVlIMTEgdHJhbnNjcmlw
dHM8L3RpdGxlPjxzZWNvbmRhcnktdGl0bGU+Qmxvb2Q8L3NlY29uZGFyeS10aXRsZT48L3RpdGxl
cz48cGVyaW9kaWNhbD48ZnVsbC10aXRsZT5CbG9vZDwvZnVsbC10aXRsZT48L3BlcmlvZGljYWw+
PHBhZ2VzPjI3Ny0yODI8L3BhZ2VzPjx2b2x1bWU+ODY8L3ZvbHVtZT48bnVtYmVyPjE8L251bWJl
cj48ZGF0ZXM+PHllYXI+MTk5NTwveWVhcj48L2RhdGVzPjxpc2JuPjAwMDYtNDk3MTwvaXNibj48
dXJscz48L3VybHM+PC9yZWNvcmQ+PC9DaXRlPjxDaXRlPjxBdXRob3I+TGl1PC9BdXRob3I+PFll
YXI+MTk5MzwvWWVhcj48UmVjTnVtPjM2PC9SZWNOdW0+PHJlY29yZD48cmVjLW51bWJlcj4zNjwv
cmVjLW51bWJlcj48Zm9yZWlnbi1rZXlzPjxrZXkgYXBwPSJFTiIgZGItaWQ9IjlzeHZ0c2E5YXpw
MDV4ZXR6ZDJ4dzB4M2VyYWFhejVwNXp6ciIgdGltZXN0YW1wPSIxNTM0NjAxMjMwIj4zNjwva2V5
PjwvZm9yZWlnbi1rZXlzPjxyZWYtdHlwZSBuYW1lPSJKb3VybmFsIEFydGljbGUiPjE3PC9yZWYt
dHlwZT48Y29udHJpYnV0b3JzPjxhdXRob3JzPjxhdXRob3I+TGl1LCBQdTwvYXV0aG9yPjxhdXRo
b3I+VGFybGUsIFN1c2FuIEEuPC9hdXRob3I+PGF1dGhvcj5IYWpyYSwgQW1pdGF2PC9hdXRob3I+
PGF1dGhvcj5DbGF4dG9uLCBEYXZpZCBGLjwvYXV0aG9yPjxhdXRob3I+TWFybHRvbiwgUGF1bGE8
L2F1dGhvcj48YXV0aG9yPkZyZWVkbWFuLCBNYXR0aGV3PC9hdXRob3I+PGF1dGhvcj5TaWNpbGlh
bm8sIE1pY2hhZWwgSi48L2F1dGhvcj48YXV0aG9yPkNvbGxpbnMsIEZyYW5jaXM8L2F1dGhvcj48
L2F1dGhvcnM+PC9jb250cmlidXRvcnM+PHRpdGxlcz48dGl0bGU+RnVzaW9uIGJldHdlZW4gdHJh
bnNjcmlwdGlvbiBmYWN0b3IgQ0JGYmV0YS9QRUJQMmJldGEgYW5kIGEgbXlvc2luIGhlYXZ5IGNo
YWluIGluIGFjdXRlIG15ZWxvaWQgbGV1a2VtaWE8L3RpdGxlPjxzZWNvbmRhcnktdGl0bGU+U2Np
ZW5jZTwvc2Vjb25kYXJ5LXRpdGxlPjwvdGl0bGVzPjxwZXJpb2RpY2FsPjxmdWxsLXRpdGxlPlNj
aWVuY2U8L2Z1bGwtdGl0bGU+PGFiYnItMT5TY2llbmNlPC9hYmJyLTE+PC9wZXJpb2RpY2FsPjxw
YWdlcz4xMDQxLTEwNDU8L3BhZ2VzPjx2b2x1bWU+MjYxPC92b2x1bWU+PG51bWJlcj41MTI0PC9u
dW1iZXI+PGRhdGVzPjx5ZWFyPjE5OTM8L3llYXI+PC9kYXRlcz48aXNibj4wMDM2LTgwNzU8L2lz
Ym4+PHVybHM+PC91cmxzPjwvcmVjb3JkPjwvQ2l0ZT48Q2l0ZT48QXV0aG9yPkNhc3RpbGxhPC9B
dXRob3I+PFllYXI+MjAwNDwvWWVhcj48UmVjTnVtPjM3PC9SZWNOdW0+PHJlY29yZD48cmVjLW51
bWJlcj4zNzwvcmVjLW51bWJlcj48Zm9yZWlnbi1rZXlzPjxrZXkgYXBwPSJFTiIgZGItaWQ9Ijlz
eHZ0c2E5YXpwMDV4ZXR6ZDJ4dzB4M2VyYWFhejVwNXp6ciIgdGltZXN0YW1wPSIxNTM0NjAxMjMw
Ij4zNzwva2V5PjwvZm9yZWlnbi1rZXlzPjxyZWYtdHlwZSBuYW1lPSJKb3VybmFsIEFydGljbGUi
PjE3PC9yZWYtdHlwZT48Y29udHJpYnV0b3JzPjxhdXRob3JzPjxhdXRob3I+Q2FzdGlsbGEsIEx1
Y2lvIEguPC9hdXRob3I+PGF1dGhvcj5QZXJyYXQsIFAuPC9hdXRob3I+PGF1dGhvcj5NYXJ0aW5l
eiwgTmF0YWxpYSBKdWxpYTwvYXV0aG9yPjxhdXRob3I+TGFuZHJldHRlLCBTZWFuIEYuPC9hdXRo
b3I+PGF1dGhvcj5LZXlzLCBSLjwvYXV0aG9yPjxhdXRob3I+T2lrZW11cywgUy48L2F1dGhvcj48
YXV0aG9yPkZsYW5lZ2FuLCBKLjwvYXV0aG9yPjxhdXRob3I+SGVpbG1hbiwgUy48L2F1dGhvcj48
YXV0aG9yPkdhcnJldHQsIExpc2E8L2F1dGhvcj48YXV0aG9yPkR1dHJhLCBBLjwvYXV0aG9yPjwv
YXV0aG9ycz48L2NvbnRyaWJ1dG9ycz48dGl0bGVzPjx0aXRsZT5JZGVudGlmaWNhdGlvbiBvZiBn
ZW5lcyB0aGF0IHN5bmVyZ2l6ZSB3aXRoIENiZmItTVlIMTEgaW4gdGhlIHBhdGhvZ2VuZXNpcyBv
ZiBhY3V0ZSBteWVsb2lkIGxldWtlbWlhPC90aXRsZT48c2Vjb25kYXJ5LXRpdGxlPlByb2NlZWRp
bmdzIG9mIHRoZSBOYXRpb25hbCBBY2FkZW15IG9mIFNjaWVuY2VzIG9mIHRoZSBVbml0ZWQgU3Rh
dGVzIG9mIEFtZXJpY2E8L3NlY29uZGFyeS10aXRsZT48L3RpdGxlcz48cGVyaW9kaWNhbD48ZnVs
bC10aXRsZT5Qcm9jZWVkaW5ncyBvZiB0aGUgTmF0aW9uYWwgQWNhZGVteSBvZiBTY2llbmNlcyBv
ZiB0aGUgVW5pdGVkIFN0YXRlcyBvZiBBbWVyaWNhPC9mdWxsLXRpdGxlPjwvcGVyaW9kaWNhbD48
cGFnZXM+NDkyNC00OTI5PC9wYWdlcz48dm9sdW1lPjEwMTwvdm9sdW1lPjxudW1iZXI+MTQ8L251
bWJlcj48ZGF0ZXM+PHllYXI+MjAwNDwveWVhcj48L2RhdGVzPjxpc2JuPjAwMjctODQyNDwvaXNi
bj48dXJscz48L3VybHM+PC9yZWNvcmQ+PC9DaXRlPjwvRW5kTm90ZT5=
</w:fldData>
        </w:fldChar>
      </w:r>
      <w:r w:rsidRPr="00551A8E">
        <w:rPr>
          <w:rFonts w:ascii="Times New Roman" w:hAnsi="Times New Roman" w:cs="Times New Roman"/>
        </w:rPr>
        <w:instrText xml:space="preserve"> ADDIN EN.CITE.DATA </w:instrText>
      </w:r>
      <w:r w:rsidRPr="00551A8E">
        <w:rPr>
          <w:rFonts w:ascii="Times New Roman" w:hAnsi="Times New Roman" w:cs="Times New Roman"/>
        </w:rPr>
      </w:r>
      <w:r w:rsidRPr="00551A8E">
        <w:rPr>
          <w:rFonts w:ascii="Times New Roman" w:hAnsi="Times New Roman" w:cs="Times New Roman"/>
        </w:rPr>
        <w:fldChar w:fldCharType="end"/>
      </w:r>
      <w:r w:rsidRPr="00551A8E">
        <w:rPr>
          <w:rFonts w:ascii="Times New Roman" w:hAnsi="Times New Roman" w:cs="Times New Roman"/>
        </w:rPr>
      </w:r>
      <w:r w:rsidRPr="00551A8E">
        <w:rPr>
          <w:rFonts w:ascii="Times New Roman" w:hAnsi="Times New Roman" w:cs="Times New Roman"/>
        </w:rPr>
        <w:fldChar w:fldCharType="separate"/>
      </w:r>
      <w:r w:rsidRPr="00551A8E">
        <w:rPr>
          <w:rFonts w:ascii="Times New Roman" w:hAnsi="Times New Roman" w:cs="Times New Roman"/>
          <w:noProof/>
        </w:rPr>
        <w:t>(24-27)</w:t>
      </w:r>
      <w:r w:rsidRPr="00551A8E">
        <w:rPr>
          <w:rFonts w:ascii="Times New Roman" w:hAnsi="Times New Roman" w:cs="Times New Roman"/>
        </w:rPr>
        <w:fldChar w:fldCharType="end"/>
      </w:r>
      <w:r w:rsidRPr="00551A8E">
        <w:rPr>
          <w:rFonts w:ascii="Times New Roman" w:hAnsi="Times New Roman" w:cs="Times New Roman"/>
        </w:rPr>
        <w:t>.  Mutation of BCR, which encodes B cell antigen receptor, is also positively associated with MM, in accordance with our pathway enrichment results and literature report.</w:t>
      </w:r>
    </w:p>
    <w:p w14:paraId="22C2A17C" w14:textId="77777777" w:rsidR="00010D3F" w:rsidRPr="00551A8E" w:rsidRDefault="00010D3F" w:rsidP="00C977E6">
      <w:pPr>
        <w:autoSpaceDE w:val="0"/>
        <w:autoSpaceDN w:val="0"/>
        <w:adjustRightInd w:val="0"/>
        <w:spacing w:before="120" w:after="120" w:line="480" w:lineRule="auto"/>
        <w:jc w:val="both"/>
        <w:rPr>
          <w:rFonts w:ascii="Times New Roman" w:hAnsi="Times New Roman" w:cs="Times New Roman"/>
        </w:rPr>
      </w:pPr>
    </w:p>
    <w:p w14:paraId="65BF9219" w14:textId="131307DA" w:rsidR="00E7013B" w:rsidRPr="00551A8E" w:rsidRDefault="00E7013B" w:rsidP="00C977E6">
      <w:pPr>
        <w:spacing w:before="120" w:line="480" w:lineRule="auto"/>
        <w:rPr>
          <w:rFonts w:ascii="Times New Roman" w:hAnsi="Times New Roman" w:cs="Times New Roman"/>
          <w:b/>
        </w:rPr>
      </w:pPr>
    </w:p>
    <w:p w14:paraId="5C20DECE" w14:textId="77777777" w:rsidR="00C977E6" w:rsidRPr="00551A8E" w:rsidRDefault="00C977E6" w:rsidP="005F50F1">
      <w:pPr>
        <w:spacing w:before="120" w:line="480" w:lineRule="auto"/>
        <w:jc w:val="center"/>
        <w:rPr>
          <w:rFonts w:ascii="Times New Roman" w:hAnsi="Times New Roman" w:cs="Times New Roman"/>
          <w:b/>
        </w:rPr>
      </w:pPr>
    </w:p>
    <w:p w14:paraId="241B009E" w14:textId="77777777" w:rsidR="00C977E6" w:rsidRPr="00551A8E" w:rsidRDefault="00C977E6">
      <w:pPr>
        <w:rPr>
          <w:rFonts w:ascii="Times New Roman" w:hAnsi="Times New Roman" w:cs="Times New Roman"/>
          <w:b/>
        </w:rPr>
      </w:pPr>
    </w:p>
    <w:p w14:paraId="08D0E999" w14:textId="76974410" w:rsidR="005F50F1" w:rsidRPr="00551A8E" w:rsidRDefault="005F50F1">
      <w:pPr>
        <w:rPr>
          <w:rFonts w:ascii="Times New Roman" w:hAnsi="Times New Roman" w:cs="Times New Roman"/>
          <w:b/>
        </w:rPr>
      </w:pPr>
      <w:r w:rsidRPr="00551A8E">
        <w:rPr>
          <w:rFonts w:ascii="Times New Roman" w:hAnsi="Times New Roman" w:cs="Times New Roman"/>
          <w:b/>
        </w:rPr>
        <w:br w:type="page"/>
      </w:r>
    </w:p>
    <w:p w14:paraId="519E4C17" w14:textId="77777777" w:rsidR="005F50F1" w:rsidRPr="00551A8E" w:rsidRDefault="005F50F1" w:rsidP="005F50F1">
      <w:pPr>
        <w:spacing w:before="120" w:line="480" w:lineRule="auto"/>
        <w:jc w:val="center"/>
        <w:rPr>
          <w:rFonts w:ascii="Times New Roman" w:hAnsi="Times New Roman" w:cs="Times New Roman"/>
          <w:b/>
        </w:rPr>
      </w:pPr>
    </w:p>
    <w:p w14:paraId="40D9E4B6" w14:textId="77777777" w:rsidR="005F50F1" w:rsidRPr="00551A8E" w:rsidRDefault="005F50F1">
      <w:pPr>
        <w:rPr>
          <w:rFonts w:ascii="Times New Roman" w:hAnsi="Times New Roman" w:cs="Times New Roman"/>
        </w:rPr>
      </w:pPr>
      <w:r w:rsidRPr="00551A8E">
        <w:rPr>
          <w:rFonts w:ascii="Times New Roman" w:hAnsi="Times New Roman" w:cs="Times New Roman"/>
          <w:noProof/>
        </w:rPr>
        <w:drawing>
          <wp:inline distT="0" distB="0" distL="0" distR="0" wp14:anchorId="0DE4D052" wp14:editId="1E18A146">
            <wp:extent cx="4231005" cy="38468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31005" cy="3846830"/>
                    </a:xfrm>
                    <a:prstGeom prst="rect">
                      <a:avLst/>
                    </a:prstGeom>
                    <a:noFill/>
                  </pic:spPr>
                </pic:pic>
              </a:graphicData>
            </a:graphic>
          </wp:inline>
        </w:drawing>
      </w:r>
    </w:p>
    <w:p w14:paraId="0227EDE4" w14:textId="77777777" w:rsidR="005F50F1" w:rsidRPr="00551A8E" w:rsidRDefault="005F50F1">
      <w:pPr>
        <w:rPr>
          <w:rFonts w:ascii="Times New Roman" w:hAnsi="Times New Roman" w:cs="Times New Roman"/>
        </w:rPr>
      </w:pPr>
      <w:r w:rsidRPr="00551A8E">
        <w:rPr>
          <w:rFonts w:ascii="Times New Roman" w:hAnsi="Times New Roman" w:cs="Times New Roman"/>
          <w:noProof/>
        </w:rPr>
        <w:drawing>
          <wp:inline distT="0" distB="0" distL="0" distR="0" wp14:anchorId="31EFB8D9" wp14:editId="54931C12">
            <wp:extent cx="4000500" cy="2238369"/>
            <wp:effectExtent l="0" t="0" r="0" b="0"/>
            <wp:docPr id="16" name="Picture 16" descr="Macintosh HD:Users:emmala:Desktop:overexpression_mutation_negati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emmala:Desktop:overexpression_mutation_negative.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003537" cy="2240068"/>
                    </a:xfrm>
                    <a:prstGeom prst="rect">
                      <a:avLst/>
                    </a:prstGeom>
                    <a:noFill/>
                    <a:ln>
                      <a:noFill/>
                    </a:ln>
                  </pic:spPr>
                </pic:pic>
              </a:graphicData>
            </a:graphic>
          </wp:inline>
        </w:drawing>
      </w:r>
    </w:p>
    <w:p w14:paraId="50DDFA27" w14:textId="77777777" w:rsidR="005F50F1" w:rsidRPr="00551A8E" w:rsidRDefault="005F50F1" w:rsidP="005F50F1">
      <w:pPr>
        <w:keepNext/>
        <w:spacing w:before="120"/>
        <w:jc w:val="center"/>
        <w:rPr>
          <w:rFonts w:ascii="Times New Roman" w:hAnsi="Times New Roman" w:cs="Times New Roman"/>
          <w:sz w:val="24"/>
        </w:rPr>
      </w:pPr>
    </w:p>
    <w:p w14:paraId="6ED27818" w14:textId="578F09AD" w:rsidR="005F50F1" w:rsidRPr="00551A8E" w:rsidRDefault="00AC4B01" w:rsidP="005F50F1">
      <w:pPr>
        <w:pStyle w:val="Caption"/>
        <w:rPr>
          <w:rFonts w:ascii="Times New Roman" w:hAnsi="Times New Roman" w:cs="Times New Roman"/>
          <w:b w:val="0"/>
          <w:color w:val="auto"/>
          <w:sz w:val="24"/>
          <w:szCs w:val="22"/>
        </w:rPr>
      </w:pPr>
      <w:r w:rsidRPr="00551A8E">
        <w:rPr>
          <w:rFonts w:ascii="Times New Roman" w:hAnsi="Times New Roman" w:cs="Times New Roman"/>
          <w:color w:val="auto"/>
          <w:sz w:val="24"/>
          <w:szCs w:val="22"/>
        </w:rPr>
        <w:t xml:space="preserve">Supplement Figure </w:t>
      </w:r>
      <w:r w:rsidR="00551A8E" w:rsidRPr="00551A8E">
        <w:rPr>
          <w:rFonts w:ascii="Times New Roman" w:hAnsi="Times New Roman" w:cs="Times New Roman"/>
          <w:color w:val="auto"/>
          <w:sz w:val="24"/>
          <w:szCs w:val="22"/>
        </w:rPr>
        <w:t>3</w:t>
      </w:r>
      <w:r w:rsidR="005F50F1" w:rsidRPr="00551A8E">
        <w:rPr>
          <w:rFonts w:ascii="Times New Roman" w:hAnsi="Times New Roman" w:cs="Times New Roman"/>
          <w:color w:val="auto"/>
          <w:sz w:val="24"/>
          <w:szCs w:val="22"/>
        </w:rPr>
        <w:t xml:space="preserve">. </w:t>
      </w:r>
      <w:r w:rsidR="005F50F1" w:rsidRPr="00551A8E">
        <w:rPr>
          <w:rFonts w:ascii="Times New Roman" w:hAnsi="Times New Roman" w:cs="Times New Roman"/>
          <w:b w:val="0"/>
          <w:color w:val="auto"/>
          <w:sz w:val="24"/>
          <w:szCs w:val="22"/>
        </w:rPr>
        <w:t xml:space="preserve">Overlapping between MM negatively correlated gene mutations and </w:t>
      </w:r>
      <w:proofErr w:type="spellStart"/>
      <w:r w:rsidR="005F50F1" w:rsidRPr="00551A8E">
        <w:rPr>
          <w:rFonts w:ascii="Times New Roman" w:hAnsi="Times New Roman" w:cs="Times New Roman"/>
          <w:b w:val="0"/>
          <w:color w:val="auto"/>
          <w:sz w:val="24"/>
          <w:szCs w:val="22"/>
        </w:rPr>
        <w:t>overexpressions</w:t>
      </w:r>
      <w:proofErr w:type="spellEnd"/>
      <w:r w:rsidR="005F50F1" w:rsidRPr="00551A8E">
        <w:rPr>
          <w:rFonts w:ascii="Times New Roman" w:hAnsi="Times New Roman" w:cs="Times New Roman"/>
          <w:b w:val="0"/>
          <w:color w:val="auto"/>
          <w:sz w:val="24"/>
          <w:szCs w:val="22"/>
        </w:rPr>
        <w:t>, positive correlated over-expressions, negatively correlated knockdown and mutations</w:t>
      </w:r>
    </w:p>
    <w:p w14:paraId="1B561DF7" w14:textId="77777777" w:rsidR="005F50F1" w:rsidRPr="00551A8E" w:rsidRDefault="005F50F1">
      <w:pPr>
        <w:rPr>
          <w:rFonts w:ascii="Times New Roman" w:hAnsi="Times New Roman" w:cs="Times New Roman"/>
          <w:lang w:eastAsia="ja-JP"/>
        </w:rPr>
      </w:pPr>
      <w:r w:rsidRPr="00551A8E">
        <w:rPr>
          <w:rFonts w:ascii="Times New Roman" w:hAnsi="Times New Roman" w:cs="Times New Roman"/>
          <w:lang w:eastAsia="ja-JP"/>
        </w:rPr>
        <w:br w:type="page"/>
      </w:r>
    </w:p>
    <w:p w14:paraId="2BECE2B2" w14:textId="3056A16E" w:rsidR="00310B91" w:rsidRPr="00551A8E" w:rsidRDefault="00310B91" w:rsidP="00310B91">
      <w:pPr>
        <w:spacing w:before="120" w:line="480" w:lineRule="auto"/>
        <w:jc w:val="both"/>
        <w:rPr>
          <w:rFonts w:ascii="Times New Roman" w:eastAsia="Times New Roman" w:hAnsi="Times New Roman" w:cs="Times New Roman"/>
        </w:rPr>
      </w:pPr>
      <w:r w:rsidRPr="00551A8E">
        <w:rPr>
          <w:rFonts w:ascii="Times New Roman" w:hAnsi="Times New Roman" w:cs="Times New Roman"/>
        </w:rPr>
        <w:lastRenderedPageBreak/>
        <w:t xml:space="preserve">Acrolein is a metabolite for Cyclophosphamide, an alkylating agent used as chemotherapy to treat lymphoma, multiple myeloma, leukemia, ovarian cancer, breast cancer, small cell lung cancer and autoimmune diseases. Cyclophosphamide is converted by cytochrome P450 systems to its main metabolite 4-hydroxycyclophosphamide and </w:t>
      </w:r>
      <w:proofErr w:type="spellStart"/>
      <w:r w:rsidRPr="00551A8E">
        <w:rPr>
          <w:rFonts w:ascii="Times New Roman" w:hAnsi="Times New Roman" w:cs="Times New Roman"/>
        </w:rPr>
        <w:t>aldophosphamide</w:t>
      </w:r>
      <w:proofErr w:type="spellEnd"/>
      <w:r w:rsidRPr="00551A8E">
        <w:rPr>
          <w:rFonts w:ascii="Times New Roman" w:hAnsi="Times New Roman" w:cs="Times New Roman"/>
        </w:rPr>
        <w:t xml:space="preserve">. A small proportion of </w:t>
      </w:r>
      <w:proofErr w:type="spellStart"/>
      <w:r w:rsidRPr="00551A8E">
        <w:rPr>
          <w:rFonts w:ascii="Times New Roman" w:hAnsi="Times New Roman" w:cs="Times New Roman"/>
        </w:rPr>
        <w:t>aldophosphamide</w:t>
      </w:r>
      <w:proofErr w:type="spellEnd"/>
      <w:r w:rsidRPr="00551A8E">
        <w:rPr>
          <w:rFonts w:ascii="Times New Roman" w:hAnsi="Times New Roman" w:cs="Times New Roman"/>
        </w:rPr>
        <w:t xml:space="preserve"> is decomposed into two compounds, </w:t>
      </w:r>
      <w:proofErr w:type="spellStart"/>
      <w:r w:rsidRPr="00551A8E">
        <w:rPr>
          <w:rFonts w:ascii="Times New Roman" w:hAnsi="Times New Roman" w:cs="Times New Roman"/>
        </w:rPr>
        <w:t>phosphoramide</w:t>
      </w:r>
      <w:proofErr w:type="spellEnd"/>
      <w:r w:rsidRPr="00551A8E">
        <w:rPr>
          <w:rFonts w:ascii="Times New Roman" w:hAnsi="Times New Roman" w:cs="Times New Roman"/>
        </w:rPr>
        <w:t xml:space="preserve"> mustard and acrolein. </w:t>
      </w:r>
      <w:proofErr w:type="spellStart"/>
      <w:r w:rsidRPr="00551A8E">
        <w:rPr>
          <w:rFonts w:ascii="Times New Roman" w:hAnsi="Times New Roman" w:cs="Times New Roman"/>
        </w:rPr>
        <w:t>Phosphoramide</w:t>
      </w:r>
      <w:proofErr w:type="spellEnd"/>
      <w:r w:rsidRPr="00551A8E">
        <w:rPr>
          <w:rFonts w:ascii="Times New Roman" w:hAnsi="Times New Roman" w:cs="Times New Roman"/>
        </w:rPr>
        <w:t xml:space="preserve"> forms DNA crosslinks between and within DNA, causes irreversible apoptosis and cell death, and accounts for the main cytotoxicity effect of Cyclophosphamide. This study shows that Acrolein can reverse the gene expression change caused by MM, indicating Cyclophosphamide might be more effective to treat MM with a combination effect with its active metabolites </w:t>
      </w:r>
      <w:proofErr w:type="spellStart"/>
      <w:r w:rsidRPr="00551A8E">
        <w:rPr>
          <w:rFonts w:ascii="Times New Roman" w:hAnsi="Times New Roman" w:cs="Times New Roman"/>
        </w:rPr>
        <w:t>phosphoramide</w:t>
      </w:r>
      <w:proofErr w:type="spellEnd"/>
      <w:r w:rsidRPr="00551A8E">
        <w:rPr>
          <w:rFonts w:ascii="Times New Roman" w:hAnsi="Times New Roman" w:cs="Times New Roman"/>
        </w:rPr>
        <w:t xml:space="preserve"> mustard and acrolein. </w:t>
      </w:r>
      <w:r w:rsidRPr="00551A8E">
        <w:rPr>
          <w:rFonts w:ascii="Times New Roman" w:hAnsi="Times New Roman" w:cs="Times New Roman"/>
          <w:color w:val="000000" w:themeColor="text1"/>
        </w:rPr>
        <w:t xml:space="preserve">Recently, some studies reported that caffeine could decrease the risk for cancer, or have on effect on the risk of cancer for most cancer types, which is in accordance with our results. Lithium prevents colon cancer metastasis to liver, lungs and lymph nodes by inhibiting </w:t>
      </w:r>
      <w:proofErr w:type="spellStart"/>
      <w:r w:rsidRPr="00551A8E">
        <w:rPr>
          <w:rFonts w:ascii="Times New Roman" w:hAnsi="Times New Roman" w:cs="Times New Roman"/>
          <w:color w:val="000000" w:themeColor="text1"/>
        </w:rPr>
        <w:t>TGFBIp</w:t>
      </w:r>
      <w:proofErr w:type="spellEnd"/>
      <w:r w:rsidRPr="00551A8E">
        <w:rPr>
          <w:rFonts w:ascii="Times New Roman" w:hAnsi="Times New Roman" w:cs="Times New Roman"/>
          <w:color w:val="000000" w:themeColor="text1"/>
        </w:rPr>
        <w:t xml:space="preserve">-induced tumor </w:t>
      </w:r>
      <w:proofErr w:type="spellStart"/>
      <w:r w:rsidRPr="00551A8E">
        <w:rPr>
          <w:rFonts w:ascii="Times New Roman" w:hAnsi="Times New Roman" w:cs="Times New Roman"/>
          <w:color w:val="000000" w:themeColor="text1"/>
        </w:rPr>
        <w:t>lymphangiogenesis</w:t>
      </w:r>
      <w:proofErr w:type="spellEnd"/>
      <w:r w:rsidRPr="00551A8E">
        <w:rPr>
          <w:rFonts w:ascii="Times New Roman" w:hAnsi="Times New Roman" w:cs="Times New Roman"/>
          <w:color w:val="000000" w:themeColor="text1"/>
        </w:rPr>
        <w:t xml:space="preserve"> through the reduction of expression in cancer cells </w:t>
      </w:r>
      <w:r w:rsidRPr="00551A8E">
        <w:rPr>
          <w:rFonts w:ascii="Times New Roman" w:hAnsi="Times New Roman" w:cs="Times New Roman"/>
          <w:color w:val="000000" w:themeColor="text1"/>
        </w:rPr>
        <w:fldChar w:fldCharType="begin"/>
      </w:r>
      <w:r w:rsidRPr="00551A8E">
        <w:rPr>
          <w:rFonts w:ascii="Times New Roman" w:hAnsi="Times New Roman" w:cs="Times New Roman"/>
          <w:color w:val="000000" w:themeColor="text1"/>
        </w:rPr>
        <w:instrText xml:space="preserve"> ADDIN EN.CITE &lt;EndNote&gt;&lt;Cite&gt;&lt;Author&gt;Maeng&lt;/Author&gt;&lt;Year&gt;2016&lt;/Year&gt;&lt;RecNum&gt;48&lt;/RecNum&gt;&lt;DisplayText&gt;(28)&lt;/DisplayText&gt;&lt;record&gt;&lt;rec-number&gt;48&lt;/rec-number&gt;&lt;foreign-keys&gt;&lt;key app="EN" db-id="9sxvtsa9azp05xetzd2xw0x3eraaaz5p5zzr" timestamp="1534601230"&gt;48&lt;/key&gt;&lt;/foreign-keys&gt;&lt;ref-type name="Journal Article"&gt;17&lt;/ref-type&gt;&lt;contributors&gt;&lt;authors&gt;&lt;author&gt;Maeng, Yong-Sun&lt;/author&gt;&lt;author&gt;Lee, Rina&lt;/author&gt;&lt;author&gt;Lee, Boram&lt;/author&gt;&lt;author&gt;Choi, Seung-il&lt;/author&gt;&lt;author&gt;Kim, Eung Kweon&lt;/author&gt;&lt;/authors&gt;&lt;/contributors&gt;&lt;titles&gt;&lt;title&gt;Lithium inhibits tumor lymphangiogenesis and metastasis through the inhibition of TGFBIp expression in cancer cells&lt;/title&gt;&lt;/titles&gt;&lt;pages&gt;20739&lt;/pages&gt;&lt;volume&gt;6&lt;/volume&gt;&lt;dates&gt;&lt;year&gt;2016&lt;/year&gt;&lt;pub-dates&gt;&lt;date&gt;02/09/online&lt;/date&gt;&lt;/pub-dates&gt;&lt;/dates&gt;&lt;publisher&gt;The Author(s)&lt;/publisher&gt;&lt;work-type&gt;Article&lt;/work-type&gt;&lt;urls&gt;&lt;related-urls&gt;&lt;url&gt;http://dx.doi.org/10.1038/srep20739&lt;/url&gt;&lt;/related-urls&gt;&lt;/urls&gt;&lt;electronic-resource-num&gt;10.1038/srep20739&amp;#xD;https://www.nature.com/articles/srep20739#supplementary-information&lt;/electronic-resource-num&gt;&lt;/record&gt;&lt;/Cite&gt;&lt;/EndNote&gt;</w:instrText>
      </w:r>
      <w:r w:rsidRPr="00551A8E">
        <w:rPr>
          <w:rFonts w:ascii="Times New Roman" w:hAnsi="Times New Roman" w:cs="Times New Roman"/>
          <w:color w:val="000000" w:themeColor="text1"/>
        </w:rPr>
        <w:fldChar w:fldCharType="separate"/>
      </w:r>
      <w:r w:rsidRPr="00551A8E">
        <w:rPr>
          <w:rFonts w:ascii="Times New Roman" w:hAnsi="Times New Roman" w:cs="Times New Roman"/>
          <w:noProof/>
          <w:color w:val="000000" w:themeColor="text1"/>
        </w:rPr>
        <w:t>(28)</w:t>
      </w:r>
      <w:r w:rsidRPr="00551A8E">
        <w:rPr>
          <w:rFonts w:ascii="Times New Roman" w:hAnsi="Times New Roman" w:cs="Times New Roman"/>
          <w:color w:val="000000" w:themeColor="text1"/>
        </w:rPr>
        <w:fldChar w:fldCharType="end"/>
      </w:r>
      <w:r w:rsidRPr="00551A8E">
        <w:rPr>
          <w:rFonts w:ascii="Times New Roman" w:hAnsi="Times New Roman" w:cs="Times New Roman"/>
          <w:color w:val="000000" w:themeColor="text1"/>
        </w:rPr>
        <w:t xml:space="preserve">. Lithium Carbonate is investigated in clinical studies for treating patients with acute intestinal graft-versus-host-disease (GVHD) after donor stem cell transplants under the condition of acute multiple myeloma, stage I/II/III multiple myeloma, acute lymphoblastic leukemia, chronic myelogenous leukemia, </w:t>
      </w:r>
      <w:r w:rsidRPr="00551A8E">
        <w:rPr>
          <w:rFonts w:ascii="Times New Roman" w:eastAsia="Times New Roman" w:hAnsi="Times New Roman" w:cs="Times New Roman"/>
          <w:color w:val="000000"/>
          <w:shd w:val="clear" w:color="auto" w:fill="FFFFFF"/>
        </w:rPr>
        <w:t xml:space="preserve">neuroblastoma, and breast cancer (NCT00408681). </w:t>
      </w:r>
      <w:r w:rsidRPr="00551A8E">
        <w:rPr>
          <w:rFonts w:ascii="Times New Roman" w:hAnsi="Times New Roman" w:cs="Times New Roman"/>
          <w:color w:val="000000" w:themeColor="text1"/>
        </w:rPr>
        <w:t>Sotalol was reported to have an association with a reduced risk of prostatic cancer in a population-based case-control study</w:t>
      </w:r>
      <w:r w:rsidRPr="00551A8E">
        <w:rPr>
          <w:rFonts w:ascii="Times New Roman" w:hAnsi="Times New Roman" w:cs="Times New Roman"/>
        </w:rPr>
        <w:t xml:space="preserve"> </w:t>
      </w:r>
      <w:r w:rsidRPr="00551A8E">
        <w:rPr>
          <w:rFonts w:ascii="Times New Roman" w:hAnsi="Times New Roman" w:cs="Times New Roman"/>
          <w:color w:val="000000" w:themeColor="text1"/>
        </w:rPr>
        <w:fldChar w:fldCharType="begin"/>
      </w:r>
      <w:r w:rsidRPr="00551A8E">
        <w:rPr>
          <w:rFonts w:ascii="Times New Roman" w:hAnsi="Times New Roman" w:cs="Times New Roman"/>
          <w:color w:val="000000" w:themeColor="text1"/>
        </w:rPr>
        <w:instrText xml:space="preserve"> ADDIN EN.CITE &lt;EndNote&gt;&lt;Cite&gt;&lt;Author&gt;Kaapu&lt;/Author&gt;&lt;Year&gt;2015&lt;/Year&gt;&lt;RecNum&gt;49&lt;/RecNum&gt;&lt;DisplayText&gt;(29)&lt;/DisplayText&gt;&lt;record&gt;&lt;rec-number&gt;49&lt;/rec-number&gt;&lt;foreign-keys&gt;&lt;key app="EN" db-id="9sxvtsa9azp05xetzd2xw0x3eraaaz5p5zzr" timestamp="1534601230"&gt;49&lt;/key&gt;&lt;/foreign-keys&gt;&lt;ref-type name="Journal Article"&gt;17&lt;/ref-type&gt;&lt;contributors&gt;&lt;authors&gt;&lt;author&gt;Kaapu, Kalle J.&lt;/author&gt;&lt;author&gt;Ahti, Janne&lt;/author&gt;&lt;author&gt;Tammela, Teuvo L. J.&lt;/author&gt;&lt;author&gt;Auvinen, Anssi&lt;/author&gt;&lt;author&gt;Murtola, Teemu J.&lt;/author&gt;&lt;/authors&gt;&lt;/contributors&gt;&lt;titles&gt;&lt;title&gt;Sotalol, but not digoxin is associated with decreased prostate cancer risk: A population‐based case–control study&lt;/title&gt;&lt;secondary-title&gt;International journal of cancer&lt;/secondary-title&gt;&lt;/titles&gt;&lt;periodical&gt;&lt;full-title&gt;International journal of cancer&lt;/full-title&gt;&lt;/periodical&gt;&lt;pages&gt;1187-1195&lt;/pages&gt;&lt;volume&gt;137&lt;/volume&gt;&lt;number&gt;5&lt;/number&gt;&lt;dates&gt;&lt;year&gt;2015&lt;/year&gt;&lt;/dates&gt;&lt;isbn&gt;1097-0215&lt;/isbn&gt;&lt;urls&gt;&lt;/urls&gt;&lt;/record&gt;&lt;/Cite&gt;&lt;/EndNote&gt;</w:instrText>
      </w:r>
      <w:r w:rsidRPr="00551A8E">
        <w:rPr>
          <w:rFonts w:ascii="Times New Roman" w:hAnsi="Times New Roman" w:cs="Times New Roman"/>
          <w:color w:val="000000" w:themeColor="text1"/>
        </w:rPr>
        <w:fldChar w:fldCharType="separate"/>
      </w:r>
      <w:r w:rsidRPr="00551A8E">
        <w:rPr>
          <w:rFonts w:ascii="Times New Roman" w:hAnsi="Times New Roman" w:cs="Times New Roman"/>
          <w:noProof/>
          <w:color w:val="000000" w:themeColor="text1"/>
        </w:rPr>
        <w:t>(29)</w:t>
      </w:r>
      <w:r w:rsidRPr="00551A8E">
        <w:rPr>
          <w:rFonts w:ascii="Times New Roman" w:hAnsi="Times New Roman" w:cs="Times New Roman"/>
          <w:color w:val="000000" w:themeColor="text1"/>
        </w:rPr>
        <w:fldChar w:fldCharType="end"/>
      </w:r>
      <w:r w:rsidRPr="00551A8E">
        <w:rPr>
          <w:rFonts w:ascii="Times New Roman" w:hAnsi="Times New Roman" w:cs="Times New Roman"/>
          <w:color w:val="000000" w:themeColor="text1"/>
        </w:rPr>
        <w:t xml:space="preserve">. </w:t>
      </w:r>
      <w:r w:rsidRPr="00551A8E">
        <w:rPr>
          <w:rFonts w:ascii="Times New Roman" w:hAnsi="Times New Roman" w:cs="Times New Roman"/>
        </w:rPr>
        <w:t xml:space="preserve"> </w:t>
      </w:r>
      <w:r w:rsidRPr="00551A8E">
        <w:rPr>
          <w:rFonts w:ascii="Times New Roman" w:eastAsia="Times New Roman" w:hAnsi="Times New Roman" w:cs="Times New Roman"/>
        </w:rPr>
        <w:t xml:space="preserve">α-Solanine inhibits prostate cancer cell growth by the induction of ROS-mediated autophagy and p38-MAPK pathway via the activation of ER stress as well as inhibition of Akt/mTOR pathway </w:t>
      </w:r>
      <w:r w:rsidRPr="00551A8E">
        <w:rPr>
          <w:rFonts w:ascii="Times New Roman" w:eastAsia="Times New Roman" w:hAnsi="Times New Roman" w:cs="Times New Roman"/>
        </w:rPr>
        <w:fldChar w:fldCharType="begin">
          <w:fldData xml:space="preserve">PEVuZE5vdGU+PENpdGU+PEF1dGhvcj5QYW48L0F1dGhvcj48WWVhcj4yMDE2PC9ZZWFyPjxSZWNO
dW0+NTA8L1JlY051bT48RGlzcGxheVRleHQ+KDMwLCAzMSk8L0Rpc3BsYXlUZXh0PjxyZWNvcmQ+
PHJlYy1udW1iZXI+NTA8L3JlYy1udW1iZXI+PGZvcmVpZ24ta2V5cz48a2V5IGFwcD0iRU4iIGRi
LWlkPSI5c3h2dHNhOWF6cDA1eGV0emQyeHcweDNlcmFhYXo1cDV6enIiIHRpbWVzdGFtcD0iMTUz
NDYwMTIzMCI+NTA8L2tleT48L2ZvcmVpZ24ta2V5cz48cmVmLXR5cGUgbmFtZT0iSm91cm5hbCBB
cnRpY2xlIj4xNzwvcmVmLXR5cGU+PGNvbnRyaWJ1dG9ycz48YXV0aG9ycz48YXV0aG9yPlBhbiwg
QmluPC9hdXRob3I+PGF1dGhvcj5aaG9uZywgV2VpZmVuZzwvYXV0aG9yPjxhdXRob3I+RGVuZywg
WmhpaGFpPC9hdXRob3I+PGF1dGhvcj5MYWksIENhaXlvbmc8L2F1dGhvcj48YXV0aG9yPkNodSwg
SmluZzwvYXV0aG9yPjxhdXRob3I+SmlhbywgR2VubG9uZzwvYXV0aG9yPjxhdXRob3I+TGl1LCBK
dW5mZW5nPC9hdXRob3I+PGF1dGhvcj5aaG91LCBRaXpoYW88L2F1dGhvcj48L2F1dGhvcnM+PC9j
b250cmlidXRvcnM+PHRpdGxlcz48dGl0bGU+SW5oaWJpdGlvbiBvZiBwcm9zdGF0ZSBjYW5jZXIg
Z3Jvd3RoIGJ5IHNvbGFuaW5lIHJlcXVpcmVzIHRoZSBzdXBwcmVzc2lvbiBvZiBjZWxsIGN5Y2xl
IHByb3RlaW5zIGFuZCB0aGUgYWN0aXZhdGlvbiBvZiBST1MvUDM4IHNpZ25hbGluZyBwYXRod2F5
PC90aXRsZT48c2Vjb25kYXJ5LXRpdGxlPkNhbmNlciBNZWRpY2luZTwvc2Vjb25kYXJ5LXRpdGxl
PjwvdGl0bGVzPjxwZXJpb2RpY2FsPjxmdWxsLXRpdGxlPkNhbmNlciBNZWRpY2luZTwvZnVsbC10
aXRsZT48L3BlcmlvZGljYWw+PHBhZ2VzPjMyMTQtMzIyMjwvcGFnZXM+PHZvbHVtZT41PC92b2x1
bWU+PG51bWJlcj4xMTwvbnVtYmVyPjxkYXRlcz48eWVhcj4yMDE2PC95ZWFyPjxwdWItZGF0ZXM+
PGRhdGU+MTAvMTAmI3hEOzA1LzE2L3JlY2VpdmVkJiN4RDswOC8yMS9yZXZpc2VkJiN4RDswOC8y
My9hY2NlcHRlZDwvZGF0ZT48L3B1Yi1kYXRlcz48L2RhdGVzPjxwdWItbG9jYXRpb24+SG9ib2tl
bjwvcHViLWxvY2F0aW9uPjxwdWJsaXNoZXI+Sm9obiBXaWxleSBhbmQgU29ucyBJbmMuPC9wdWJs
aXNoZXI+PGlzYm4+MjA0NS03NjM0PC9pc2JuPjxhY2Nlc3Npb24tbnVtPlBNQzUxMTk5Nzc8L2Fj
Y2Vzc2lvbi1udW0+PHVybHM+PHJlbGF0ZWQtdXJscz48dXJsPmh0dHA6Ly93d3cubmNiaS5ubG0u
bmloLmdvdi9wbWMvYXJ0aWNsZXMvUE1DNTExOTk3Ny88L3VybD48L3JlbGF0ZWQtdXJscz48L3Vy
bHM+PGVsZWN0cm9uaWMtcmVzb3VyY2UtbnVtPjEwLjEwMDIvY2FtNC45MTY8L2VsZWN0cm9uaWMt
cmVzb3VyY2UtbnVtPjxyZW1vdGUtZGF0YWJhc2UtbmFtZT5QTUM8L3JlbW90ZS1kYXRhYmFzZS1u
YW1lPjwvcmVjb3JkPjwvQ2l0ZT48Q2l0ZT48QXV0aG9yPkhhc2FuYWluPC9BdXRob3I+PFllYXI+
MjAxNTwvWWVhcj48UmVjTnVtPjUxPC9SZWNOdW0+PHJlY29yZD48cmVjLW51bWJlcj41MTwvcmVj
LW51bWJlcj48Zm9yZWlnbi1rZXlzPjxrZXkgYXBwPSJFTiIgZGItaWQ9IjlzeHZ0c2E5YXpwMDV4
ZXR6ZDJ4dzB4M2VyYWFhejVwNXp6ciIgdGltZXN0YW1wPSIxNTM0NjAxMjMwIj41MTwva2V5Pjwv
Zm9yZWlnbi1rZXlzPjxyZWYtdHlwZSBuYW1lPSJKb3VybmFsIEFydGljbGUiPjE3PC9yZWYtdHlw
ZT48Y29udHJpYnV0b3JzPjxhdXRob3JzPjxhdXRob3I+SGFzYW5haW4sIE0uPC9hdXRob3I+PGF1
dGhvcj5CaGF0dGFjaGFyamVlLCBBLjwvYXV0aG9yPjxhdXRob3I+UGFuZGV5LCBQLjwvYXV0aG9y
PjxhdXRob3I+QXNocmFmLCBSLjwvYXV0aG9yPjxhdXRob3I+U2luZ2gsIE4uPC9hdXRob3I+PGF1
dGhvcj5TaGFybWEsIFMuPC9hdXRob3I+PGF1dGhvcj5WaXNod2FrYXJtYSwgQS4gTC48L2F1dGhv
cj48YXV0aG9yPkRhdHRhLCBELjwvYXV0aG9yPjxhdXRob3I+TWl0cmEsIEsuPC9hdXRob3I+PGF1
dGhvcj5TYXJrYXIsIEouPC9hdXRob3I+PC9hdXRob3JzPjwvY29udHJpYnV0b3JzPjx0aXRsZXM+
PHRpdGxlPlthbHBoYV0tU29sYW5pbmUgaW5kdWNlcyBST1MtbWVkaWF0ZWQgYXV0b3BoYWd5IHRo
cm91Z2ggYWN0aXZhdGlvbiBvZiBlbmRvcGxhc21pYyByZXRpY3VsdW0gc3RyZXNzIGFuZCBpbmhp
Yml0aW9uIG9mIEFrdC9tVE9SIHBhdGh3YXk8L3RpdGxlPjxzZWNvbmRhcnktdGl0bGU+Q2VsbCBE
ZWF0aCBEaXM8L3NlY29uZGFyeS10aXRsZT48L3RpdGxlcz48cGVyaW9kaWNhbD48ZnVsbC10aXRs
ZT5DZWxsIERlYXRoIERpczwvZnVsbC10aXRsZT48L3BlcmlvZGljYWw+PHBhZ2VzPmUxODYwPC9w
YWdlcz48dm9sdW1lPjY8L3ZvbHVtZT48ZGF0ZXM+PHllYXI+MjAxNTwveWVhcj48cHViLWRhdGVz
PjxkYXRlPjA4LzI3L29ubGluZTwvZGF0ZT48L3B1Yi1kYXRlcz48L2RhdGVzPjxwdWJsaXNoZXI+
TWFjbWlsbGFuIFB1Ymxpc2hlcnMgTGltaXRlZDwvcHVibGlzaGVyPjx3b3JrLXR5cGU+T3JpZ2lu
YWwgQXJ0aWNsZTwvd29yay10eXBlPjx1cmxzPjxyZWxhdGVkLXVybHM+PHVybD5odHRwOi8vZHgu
ZG9pLm9yZy8xMC4xMDM4L2NkZGlzLjIwMTUuMjE5PC91cmw+PC9yZWxhdGVkLXVybHM+PC91cmxz
PjxlbGVjdHJvbmljLXJlc291cmNlLW51bT4xMC4xMDM4L2NkZGlzLjIwMTUuMjE5PC9lbGVjdHJv
bmljLXJlc291cmNlLW51bT48L3JlY29yZD48L0NpdGU+PC9FbmROb3RlPn==
</w:fldData>
        </w:fldChar>
      </w:r>
      <w:r w:rsidRPr="00551A8E">
        <w:rPr>
          <w:rFonts w:ascii="Times New Roman" w:eastAsia="Times New Roman" w:hAnsi="Times New Roman" w:cs="Times New Roman"/>
        </w:rPr>
        <w:instrText xml:space="preserve"> ADDIN EN.CITE </w:instrText>
      </w:r>
      <w:r w:rsidRPr="00551A8E">
        <w:rPr>
          <w:rFonts w:ascii="Times New Roman" w:eastAsia="Times New Roman" w:hAnsi="Times New Roman" w:cs="Times New Roman"/>
        </w:rPr>
        <w:fldChar w:fldCharType="begin">
          <w:fldData xml:space="preserve">PEVuZE5vdGU+PENpdGU+PEF1dGhvcj5QYW48L0F1dGhvcj48WWVhcj4yMDE2PC9ZZWFyPjxSZWNO
dW0+NTA8L1JlY051bT48RGlzcGxheVRleHQ+KDMwLCAzMSk8L0Rpc3BsYXlUZXh0PjxyZWNvcmQ+
PHJlYy1udW1iZXI+NTA8L3JlYy1udW1iZXI+PGZvcmVpZ24ta2V5cz48a2V5IGFwcD0iRU4iIGRi
LWlkPSI5c3h2dHNhOWF6cDA1eGV0emQyeHcweDNlcmFhYXo1cDV6enIiIHRpbWVzdGFtcD0iMTUz
NDYwMTIzMCI+NTA8L2tleT48L2ZvcmVpZ24ta2V5cz48cmVmLXR5cGUgbmFtZT0iSm91cm5hbCBB
cnRpY2xlIj4xNzwvcmVmLXR5cGU+PGNvbnRyaWJ1dG9ycz48YXV0aG9ycz48YXV0aG9yPlBhbiwg
QmluPC9hdXRob3I+PGF1dGhvcj5aaG9uZywgV2VpZmVuZzwvYXV0aG9yPjxhdXRob3I+RGVuZywg
WmhpaGFpPC9hdXRob3I+PGF1dGhvcj5MYWksIENhaXlvbmc8L2F1dGhvcj48YXV0aG9yPkNodSwg
SmluZzwvYXV0aG9yPjxhdXRob3I+SmlhbywgR2VubG9uZzwvYXV0aG9yPjxhdXRob3I+TGl1LCBK
dW5mZW5nPC9hdXRob3I+PGF1dGhvcj5aaG91LCBRaXpoYW88L2F1dGhvcj48L2F1dGhvcnM+PC9j
b250cmlidXRvcnM+PHRpdGxlcz48dGl0bGU+SW5oaWJpdGlvbiBvZiBwcm9zdGF0ZSBjYW5jZXIg
Z3Jvd3RoIGJ5IHNvbGFuaW5lIHJlcXVpcmVzIHRoZSBzdXBwcmVzc2lvbiBvZiBjZWxsIGN5Y2xl
IHByb3RlaW5zIGFuZCB0aGUgYWN0aXZhdGlvbiBvZiBST1MvUDM4IHNpZ25hbGluZyBwYXRod2F5
PC90aXRsZT48c2Vjb25kYXJ5LXRpdGxlPkNhbmNlciBNZWRpY2luZTwvc2Vjb25kYXJ5LXRpdGxl
PjwvdGl0bGVzPjxwZXJpb2RpY2FsPjxmdWxsLXRpdGxlPkNhbmNlciBNZWRpY2luZTwvZnVsbC10
aXRsZT48L3BlcmlvZGljYWw+PHBhZ2VzPjMyMTQtMzIyMjwvcGFnZXM+PHZvbHVtZT41PC92b2x1
bWU+PG51bWJlcj4xMTwvbnVtYmVyPjxkYXRlcz48eWVhcj4yMDE2PC95ZWFyPjxwdWItZGF0ZXM+
PGRhdGU+MTAvMTAmI3hEOzA1LzE2L3JlY2VpdmVkJiN4RDswOC8yMS9yZXZpc2VkJiN4RDswOC8y
My9hY2NlcHRlZDwvZGF0ZT48L3B1Yi1kYXRlcz48L2RhdGVzPjxwdWItbG9jYXRpb24+SG9ib2tl
bjwvcHViLWxvY2F0aW9uPjxwdWJsaXNoZXI+Sm9obiBXaWxleSBhbmQgU29ucyBJbmMuPC9wdWJs
aXNoZXI+PGlzYm4+MjA0NS03NjM0PC9pc2JuPjxhY2Nlc3Npb24tbnVtPlBNQzUxMTk5Nzc8L2Fj
Y2Vzc2lvbi1udW0+PHVybHM+PHJlbGF0ZWQtdXJscz48dXJsPmh0dHA6Ly93d3cubmNiaS5ubG0u
bmloLmdvdi9wbWMvYXJ0aWNsZXMvUE1DNTExOTk3Ny88L3VybD48L3JlbGF0ZWQtdXJscz48L3Vy
bHM+PGVsZWN0cm9uaWMtcmVzb3VyY2UtbnVtPjEwLjEwMDIvY2FtNC45MTY8L2VsZWN0cm9uaWMt
cmVzb3VyY2UtbnVtPjxyZW1vdGUtZGF0YWJhc2UtbmFtZT5QTUM8L3JlbW90ZS1kYXRhYmFzZS1u
YW1lPjwvcmVjb3JkPjwvQ2l0ZT48Q2l0ZT48QXV0aG9yPkhhc2FuYWluPC9BdXRob3I+PFllYXI+
MjAxNTwvWWVhcj48UmVjTnVtPjUxPC9SZWNOdW0+PHJlY29yZD48cmVjLW51bWJlcj41MTwvcmVj
LW51bWJlcj48Zm9yZWlnbi1rZXlzPjxrZXkgYXBwPSJFTiIgZGItaWQ9IjlzeHZ0c2E5YXpwMDV4
ZXR6ZDJ4dzB4M2VyYWFhejVwNXp6ciIgdGltZXN0YW1wPSIxNTM0NjAxMjMwIj41MTwva2V5Pjwv
Zm9yZWlnbi1rZXlzPjxyZWYtdHlwZSBuYW1lPSJKb3VybmFsIEFydGljbGUiPjE3PC9yZWYtdHlw
ZT48Y29udHJpYnV0b3JzPjxhdXRob3JzPjxhdXRob3I+SGFzYW5haW4sIE0uPC9hdXRob3I+PGF1
dGhvcj5CaGF0dGFjaGFyamVlLCBBLjwvYXV0aG9yPjxhdXRob3I+UGFuZGV5LCBQLjwvYXV0aG9y
PjxhdXRob3I+QXNocmFmLCBSLjwvYXV0aG9yPjxhdXRob3I+U2luZ2gsIE4uPC9hdXRob3I+PGF1
dGhvcj5TaGFybWEsIFMuPC9hdXRob3I+PGF1dGhvcj5WaXNod2FrYXJtYSwgQS4gTC48L2F1dGhv
cj48YXV0aG9yPkRhdHRhLCBELjwvYXV0aG9yPjxhdXRob3I+TWl0cmEsIEsuPC9hdXRob3I+PGF1
dGhvcj5TYXJrYXIsIEouPC9hdXRob3I+PC9hdXRob3JzPjwvY29udHJpYnV0b3JzPjx0aXRsZXM+
PHRpdGxlPlthbHBoYV0tU29sYW5pbmUgaW5kdWNlcyBST1MtbWVkaWF0ZWQgYXV0b3BoYWd5IHRo
cm91Z2ggYWN0aXZhdGlvbiBvZiBlbmRvcGxhc21pYyByZXRpY3VsdW0gc3RyZXNzIGFuZCBpbmhp
Yml0aW9uIG9mIEFrdC9tVE9SIHBhdGh3YXk8L3RpdGxlPjxzZWNvbmRhcnktdGl0bGU+Q2VsbCBE
ZWF0aCBEaXM8L3NlY29uZGFyeS10aXRsZT48L3RpdGxlcz48cGVyaW9kaWNhbD48ZnVsbC10aXRs
ZT5DZWxsIERlYXRoIERpczwvZnVsbC10aXRsZT48L3BlcmlvZGljYWw+PHBhZ2VzPmUxODYwPC9w
YWdlcz48dm9sdW1lPjY8L3ZvbHVtZT48ZGF0ZXM+PHllYXI+MjAxNTwveWVhcj48cHViLWRhdGVz
PjxkYXRlPjA4LzI3L29ubGluZTwvZGF0ZT48L3B1Yi1kYXRlcz48L2RhdGVzPjxwdWJsaXNoZXI+
TWFjbWlsbGFuIFB1Ymxpc2hlcnMgTGltaXRlZDwvcHVibGlzaGVyPjx3b3JrLXR5cGU+T3JpZ2lu
YWwgQXJ0aWNsZTwvd29yay10eXBlPjx1cmxzPjxyZWxhdGVkLXVybHM+PHVybD5odHRwOi8vZHgu
ZG9pLm9yZy8xMC4xMDM4L2NkZGlzLjIwMTUuMjE5PC91cmw+PC9yZWxhdGVkLXVybHM+PC91cmxz
PjxlbGVjdHJvbmljLXJlc291cmNlLW51bT4xMC4xMDM4L2NkZGlzLjIwMTUuMjE5PC9lbGVjdHJv
bmljLXJlc291cmNlLW51bT48L3JlY29yZD48L0NpdGU+PC9FbmROb3RlPn==
</w:fldData>
        </w:fldChar>
      </w:r>
      <w:r w:rsidRPr="00551A8E">
        <w:rPr>
          <w:rFonts w:ascii="Times New Roman" w:eastAsia="Times New Roman" w:hAnsi="Times New Roman" w:cs="Times New Roman"/>
        </w:rPr>
        <w:instrText xml:space="preserve"> ADDIN EN.CITE.DATA </w:instrText>
      </w:r>
      <w:r w:rsidRPr="00551A8E">
        <w:rPr>
          <w:rFonts w:ascii="Times New Roman" w:eastAsia="Times New Roman" w:hAnsi="Times New Roman" w:cs="Times New Roman"/>
        </w:rPr>
      </w:r>
      <w:r w:rsidRPr="00551A8E">
        <w:rPr>
          <w:rFonts w:ascii="Times New Roman" w:eastAsia="Times New Roman" w:hAnsi="Times New Roman" w:cs="Times New Roman"/>
        </w:rPr>
        <w:fldChar w:fldCharType="end"/>
      </w:r>
      <w:r w:rsidRPr="00551A8E">
        <w:rPr>
          <w:rFonts w:ascii="Times New Roman" w:eastAsia="Times New Roman" w:hAnsi="Times New Roman" w:cs="Times New Roman"/>
        </w:rPr>
      </w:r>
      <w:r w:rsidRPr="00551A8E">
        <w:rPr>
          <w:rFonts w:ascii="Times New Roman" w:eastAsia="Times New Roman" w:hAnsi="Times New Roman" w:cs="Times New Roman"/>
        </w:rPr>
        <w:fldChar w:fldCharType="separate"/>
      </w:r>
      <w:r w:rsidRPr="00551A8E">
        <w:rPr>
          <w:rFonts w:ascii="Times New Roman" w:eastAsia="Times New Roman" w:hAnsi="Times New Roman" w:cs="Times New Roman"/>
          <w:noProof/>
        </w:rPr>
        <w:t>(30, 31)</w:t>
      </w:r>
      <w:r w:rsidRPr="00551A8E">
        <w:rPr>
          <w:rFonts w:ascii="Times New Roman" w:eastAsia="Times New Roman" w:hAnsi="Times New Roman" w:cs="Times New Roman"/>
        </w:rPr>
        <w:fldChar w:fldCharType="end"/>
      </w:r>
      <w:r w:rsidRPr="00551A8E">
        <w:rPr>
          <w:rFonts w:ascii="Times New Roman" w:eastAsia="Times New Roman" w:hAnsi="Times New Roman" w:cs="Times New Roman"/>
        </w:rPr>
        <w:t xml:space="preserve">. α-Solanine also inhibits human prostate and lung cancer cell invasion through suppressing the epithelial-mesenchymal transition as well as miR-21 and MMPs expression </w:t>
      </w:r>
      <w:r w:rsidRPr="00551A8E">
        <w:rPr>
          <w:rFonts w:ascii="Times New Roman" w:eastAsia="Times New Roman" w:hAnsi="Times New Roman" w:cs="Times New Roman"/>
        </w:rPr>
        <w:fldChar w:fldCharType="begin">
          <w:fldData xml:space="preserve">PEVuZE5vdGU+PENpdGU+PEF1dGhvcj5TaGVuPC9BdXRob3I+PFllYXI+MjAxNDwvWWVhcj48UmVj
TnVtPjUyPC9SZWNOdW0+PERpc3BsYXlUZXh0PigzMiwgMzMpPC9EaXNwbGF5VGV4dD48cmVjb3Jk
PjxyZWMtbnVtYmVyPjUyPC9yZWMtbnVtYmVyPjxmb3JlaWduLWtleXM+PGtleSBhcHA9IkVOIiBk
Yi1pZD0iOXN4dnRzYTlhenAwNXhldHpkMnh3MHgzZXJhYWF6NXA1enpyIiB0aW1lc3RhbXA9IjE1
MzQ2MDEyMzAiPjUyPC9rZXk+PC9mb3JlaWduLWtleXM+PHJlZi10eXBlIG5hbWU9IkpvdXJuYWwg
QXJ0aWNsZSI+MTc8L3JlZi10eXBlPjxjb250cmlidXRvcnM+PGF1dGhvcnM+PGF1dGhvcj5TaGVu
LCBLdW4tSHVuZzwvYXV0aG9yPjxhdXRob3I+TGlhbywgQWxleDwvYXV0aG9yPjxhdXRob3I+SHVu
ZywgSnVpLUhzaWFuZzwvYXV0aG9yPjxhdXRob3I+TGVlLCBXZWktSml1bm48L2F1dGhvcj48YXV0
aG9yPkh1LCBLYWktQ2hpZWg8L2F1dGhvcj48YXV0aG9yPkxpbiwgUGluLVRzZW48L2F1dGhvcj48
YXV0aG9yPkxpYW8sIFJ1ZWktRmFuZzwvYXV0aG9yPjxhdXRob3I+Q2hlbiwgUGluLVNoZXJuPC9h
dXRob3I+PC9hdXRob3JzPjwvY29udHJpYnV0b3JzPjx0aXRsZXM+PHRpdGxlPs6xLVNvbGFuaW5l
IEluaGliaXRzIEludmFzaW9uIG9mIEh1bWFuIFByb3N0YXRlIENhbmNlciBDZWxsIGJ5IFN1cHBy
ZXNzaW5nIEVwaXRoZWxpYWwtTWVzZW5jaHltYWwgVHJhbnNpdGlvbiBhbmQgTU1QcyBFeHByZXNz
aW9uPC90aXRsZT48c2Vjb25kYXJ5LXRpdGxlPk1vbGVjdWxlczwvc2Vjb25kYXJ5LXRpdGxlPjwv
dGl0bGVzPjxwZXJpb2RpY2FsPjxmdWxsLXRpdGxlPk1vbGVjdWxlczwvZnVsbC10aXRsZT48L3Bl
cmlvZGljYWw+PHBhZ2VzPjExODk2PC9wYWdlcz48dm9sdW1lPjE5PC92b2x1bWU+PG51bWJlcj44
PC9udW1iZXI+PGRhdGVzPjx5ZWFyPjIwMTQ8L3llYXI+PC9kYXRlcz48aXNibj4xNDIwLTMwNDk8
L2lzYm4+PGFjY2Vzc2lvbi1udW0+ZG9pOjEwLjMzOTAvbW9sZWN1bGVzMTkwODExODk2PC9hY2Nl
c3Npb24tbnVtPjx1cmxzPjxyZWxhdGVkLXVybHM+PHVybD5odHRwOi8vd3d3Lm1kcGkuY29tLzE0
MjAtMzA0OS8xOS84LzExODk2PC91cmw+PC9yZWxhdGVkLXVybHM+PC91cmxzPjwvcmVjb3JkPjwv
Q2l0ZT48Q2l0ZT48QXV0aG9yPlNoZW48L0F1dGhvcj48WWVhcj4yMDE3PC9ZZWFyPjxSZWNOdW0+
NTM8L1JlY051bT48cmVjb3JkPjxyZWMtbnVtYmVyPjUzPC9yZWMtbnVtYmVyPjxmb3JlaWduLWtl
eXM+PGtleSBhcHA9IkVOIiBkYi1pZD0iOXN4dnRzYTlhenAwNXhldHpkMnh3MHgzZXJhYWF6NXA1
enpyIiB0aW1lc3RhbXA9IjE1MzQ2MDEyMzAiPjUzPC9rZXk+PC9mb3JlaWduLWtleXM+PHJlZi10
eXBlIG5hbWU9IkpvdXJuYWwgQXJ0aWNsZSI+MTc8L3JlZi10eXBlPjxjb250cmlidXRvcnM+PGF1
dGhvcnM+PGF1dGhvcj5TaGVuLCBLdW4tSHVuZzwvYXV0aG9yPjxhdXRob3I+SHVuZywgSnVpLUhz
aWFuZzwvYXV0aG9yPjxhdXRob3I+Q2hhbmcsIENoaWEtV2VpPC9hdXRob3I+PGF1dGhvcj5XZW5n
LCBZdS1UaW5nPC9hdXRob3I+PGF1dGhvcj5XdSwgTWluZy1KaXVhbjwvYXV0aG9yPjxhdXRob3I+
Q2hlbiwgUGluLVNoZXJuPC9hdXRob3I+PC9hdXRob3JzPjwvY29udHJpYnV0b3JzPjx0aXRsZXM+
PHRpdGxlPlNvbGFzb2RpbmUgaW5oaWJpdHMgaW52YXNpb24gb2YgaHVtYW4gbHVuZyBjYW5jZXIg
Y2VsbCB0aHJvdWdoIGRvd25yZWd1bGF0aW9uIG9mIG1pUi0yMSBhbmQgTU1QcyBleHByZXNzaW9u
PC90aXRsZT48c2Vjb25kYXJ5LXRpdGxlPkNoZW1pY28tQmlvbG9naWNhbCBJbnRlcmFjdGlvbnM8
L3NlY29uZGFyeS10aXRsZT48L3RpdGxlcz48cGVyaW9kaWNhbD48ZnVsbC10aXRsZT5DaGVtaWNv
LUJpb2xvZ2ljYWwgSW50ZXJhY3Rpb25zPC9mdWxsLXRpdGxlPjwvcGVyaW9kaWNhbD48cGFnZXM+
MTI5LTEzNTwvcGFnZXM+PHZvbHVtZT4yNjg8L3ZvbHVtZT48bnVtYmVyPlN1cHBsZW1lbnQgQzwv
bnVtYmVyPjxrZXl3b3Jkcz48a2V5d29yZD5Tb2xhc29kaW5lPC9rZXl3b3JkPjxrZXl3b3JkPkx1
bmcgY2FuY2VyPC9rZXl3b3JkPjxrZXl3b3JkPkNlbGwgaW52YXNpb248L2tleXdvcmQ+PGtleXdv
cmQ+TWF0cml4IG1ldGFsbG9wcm90ZWluYXNlPC9rZXl3b3JkPjxrZXl3b3JkPk1pY3JvUk5BLTIx
PC9rZXl3b3JkPjwva2V5d29yZHM+PGRhdGVzPjx5ZWFyPjIwMTc8L3llYXI+PHB1Yi1kYXRlcz48
ZGF0ZT4yMDE3LzA0LzI1LzwvZGF0ZT48L3B1Yi1kYXRlcz48L2RhdGVzPjxpc2JuPjAwMDktMjc5
NzwvaXNibj48dXJscz48cmVsYXRlZC11cmxzPjx1cmw+aHR0cDovL3d3dy5zY2llbmNlZGlyZWN0
LmNvbS9zY2llbmNlL2FydGljbGUvcGlpL1MwMDA5Mjc5NzE2MzA0MjE1PC91cmw+PC9yZWxhdGVk
LXVybHM+PC91cmxzPjxlbGVjdHJvbmljLXJlc291cmNlLW51bT5odHRwczovL2RvaS5vcmcvMTAu
MTAxNi9qLmNiaS4yMDE3LjAzLjAwNTwvZWxlY3Ryb25pYy1yZXNvdXJjZS1udW0+PC9yZWNvcmQ+
PC9DaXRlPjwvRW5kTm90ZT4A
</w:fldData>
        </w:fldChar>
      </w:r>
      <w:r w:rsidRPr="00551A8E">
        <w:rPr>
          <w:rFonts w:ascii="Times New Roman" w:eastAsia="Times New Roman" w:hAnsi="Times New Roman" w:cs="Times New Roman"/>
        </w:rPr>
        <w:instrText xml:space="preserve"> ADDIN EN.CITE </w:instrText>
      </w:r>
      <w:r w:rsidRPr="00551A8E">
        <w:rPr>
          <w:rFonts w:ascii="Times New Roman" w:eastAsia="Times New Roman" w:hAnsi="Times New Roman" w:cs="Times New Roman"/>
        </w:rPr>
        <w:fldChar w:fldCharType="begin">
          <w:fldData xml:space="preserve">PEVuZE5vdGU+PENpdGU+PEF1dGhvcj5TaGVuPC9BdXRob3I+PFllYXI+MjAxNDwvWWVhcj48UmVj
TnVtPjUyPC9SZWNOdW0+PERpc3BsYXlUZXh0PigzMiwgMzMpPC9EaXNwbGF5VGV4dD48cmVjb3Jk
PjxyZWMtbnVtYmVyPjUyPC9yZWMtbnVtYmVyPjxmb3JlaWduLWtleXM+PGtleSBhcHA9IkVOIiBk
Yi1pZD0iOXN4dnRzYTlhenAwNXhldHpkMnh3MHgzZXJhYWF6NXA1enpyIiB0aW1lc3RhbXA9IjE1
MzQ2MDEyMzAiPjUyPC9rZXk+PC9mb3JlaWduLWtleXM+PHJlZi10eXBlIG5hbWU9IkpvdXJuYWwg
QXJ0aWNsZSI+MTc8L3JlZi10eXBlPjxjb250cmlidXRvcnM+PGF1dGhvcnM+PGF1dGhvcj5TaGVu
LCBLdW4tSHVuZzwvYXV0aG9yPjxhdXRob3I+TGlhbywgQWxleDwvYXV0aG9yPjxhdXRob3I+SHVu
ZywgSnVpLUhzaWFuZzwvYXV0aG9yPjxhdXRob3I+TGVlLCBXZWktSml1bm48L2F1dGhvcj48YXV0
aG9yPkh1LCBLYWktQ2hpZWg8L2F1dGhvcj48YXV0aG9yPkxpbiwgUGluLVRzZW48L2F1dGhvcj48
YXV0aG9yPkxpYW8sIFJ1ZWktRmFuZzwvYXV0aG9yPjxhdXRob3I+Q2hlbiwgUGluLVNoZXJuPC9h
dXRob3I+PC9hdXRob3JzPjwvY29udHJpYnV0b3JzPjx0aXRsZXM+PHRpdGxlPs6xLVNvbGFuaW5l
IEluaGliaXRzIEludmFzaW9uIG9mIEh1bWFuIFByb3N0YXRlIENhbmNlciBDZWxsIGJ5IFN1cHBy
ZXNzaW5nIEVwaXRoZWxpYWwtTWVzZW5jaHltYWwgVHJhbnNpdGlvbiBhbmQgTU1QcyBFeHByZXNz
aW9uPC90aXRsZT48c2Vjb25kYXJ5LXRpdGxlPk1vbGVjdWxlczwvc2Vjb25kYXJ5LXRpdGxlPjwv
dGl0bGVzPjxwZXJpb2RpY2FsPjxmdWxsLXRpdGxlPk1vbGVjdWxlczwvZnVsbC10aXRsZT48L3Bl
cmlvZGljYWw+PHBhZ2VzPjExODk2PC9wYWdlcz48dm9sdW1lPjE5PC92b2x1bWU+PG51bWJlcj44
PC9udW1iZXI+PGRhdGVzPjx5ZWFyPjIwMTQ8L3llYXI+PC9kYXRlcz48aXNibj4xNDIwLTMwNDk8
L2lzYm4+PGFjY2Vzc2lvbi1udW0+ZG9pOjEwLjMzOTAvbW9sZWN1bGVzMTkwODExODk2PC9hY2Nl
c3Npb24tbnVtPjx1cmxzPjxyZWxhdGVkLXVybHM+PHVybD5odHRwOi8vd3d3Lm1kcGkuY29tLzE0
MjAtMzA0OS8xOS84LzExODk2PC91cmw+PC9yZWxhdGVkLXVybHM+PC91cmxzPjwvcmVjb3JkPjwv
Q2l0ZT48Q2l0ZT48QXV0aG9yPlNoZW48L0F1dGhvcj48WWVhcj4yMDE3PC9ZZWFyPjxSZWNOdW0+
NTM8L1JlY051bT48cmVjb3JkPjxyZWMtbnVtYmVyPjUzPC9yZWMtbnVtYmVyPjxmb3JlaWduLWtl
eXM+PGtleSBhcHA9IkVOIiBkYi1pZD0iOXN4dnRzYTlhenAwNXhldHpkMnh3MHgzZXJhYWF6NXA1
enpyIiB0aW1lc3RhbXA9IjE1MzQ2MDEyMzAiPjUzPC9rZXk+PC9mb3JlaWduLWtleXM+PHJlZi10
eXBlIG5hbWU9IkpvdXJuYWwgQXJ0aWNsZSI+MTc8L3JlZi10eXBlPjxjb250cmlidXRvcnM+PGF1
dGhvcnM+PGF1dGhvcj5TaGVuLCBLdW4tSHVuZzwvYXV0aG9yPjxhdXRob3I+SHVuZywgSnVpLUhz
aWFuZzwvYXV0aG9yPjxhdXRob3I+Q2hhbmcsIENoaWEtV2VpPC9hdXRob3I+PGF1dGhvcj5XZW5n
LCBZdS1UaW5nPC9hdXRob3I+PGF1dGhvcj5XdSwgTWluZy1KaXVhbjwvYXV0aG9yPjxhdXRob3I+
Q2hlbiwgUGluLVNoZXJuPC9hdXRob3I+PC9hdXRob3JzPjwvY29udHJpYnV0b3JzPjx0aXRsZXM+
PHRpdGxlPlNvbGFzb2RpbmUgaW5oaWJpdHMgaW52YXNpb24gb2YgaHVtYW4gbHVuZyBjYW5jZXIg
Y2VsbCB0aHJvdWdoIGRvd25yZWd1bGF0aW9uIG9mIG1pUi0yMSBhbmQgTU1QcyBleHByZXNzaW9u
PC90aXRsZT48c2Vjb25kYXJ5LXRpdGxlPkNoZW1pY28tQmlvbG9naWNhbCBJbnRlcmFjdGlvbnM8
L3NlY29uZGFyeS10aXRsZT48L3RpdGxlcz48cGVyaW9kaWNhbD48ZnVsbC10aXRsZT5DaGVtaWNv
LUJpb2xvZ2ljYWwgSW50ZXJhY3Rpb25zPC9mdWxsLXRpdGxlPjwvcGVyaW9kaWNhbD48cGFnZXM+
MTI5LTEzNTwvcGFnZXM+PHZvbHVtZT4yNjg8L3ZvbHVtZT48bnVtYmVyPlN1cHBsZW1lbnQgQzwv
bnVtYmVyPjxrZXl3b3Jkcz48a2V5d29yZD5Tb2xhc29kaW5lPC9rZXl3b3JkPjxrZXl3b3JkPkx1
bmcgY2FuY2VyPC9rZXl3b3JkPjxrZXl3b3JkPkNlbGwgaW52YXNpb248L2tleXdvcmQ+PGtleXdv
cmQ+TWF0cml4IG1ldGFsbG9wcm90ZWluYXNlPC9rZXl3b3JkPjxrZXl3b3JkPk1pY3JvUk5BLTIx
PC9rZXl3b3JkPjwva2V5d29yZHM+PGRhdGVzPjx5ZWFyPjIwMTc8L3llYXI+PHB1Yi1kYXRlcz48
ZGF0ZT4yMDE3LzA0LzI1LzwvZGF0ZT48L3B1Yi1kYXRlcz48L2RhdGVzPjxpc2JuPjAwMDktMjc5
NzwvaXNibj48dXJscz48cmVsYXRlZC11cmxzPjx1cmw+aHR0cDovL3d3dy5zY2llbmNlZGlyZWN0
LmNvbS9zY2llbmNlL2FydGljbGUvcGlpL1MwMDA5Mjc5NzE2MzA0MjE1PC91cmw+PC9yZWxhdGVk
LXVybHM+PC91cmxzPjxlbGVjdHJvbmljLXJlc291cmNlLW51bT5odHRwczovL2RvaS5vcmcvMTAu
MTAxNi9qLmNiaS4yMDE3LjAzLjAwNTwvZWxlY3Ryb25pYy1yZXNvdXJjZS1udW0+PC9yZWNvcmQ+
PC9DaXRlPjwvRW5kTm90ZT4A
</w:fldData>
        </w:fldChar>
      </w:r>
      <w:r w:rsidRPr="00551A8E">
        <w:rPr>
          <w:rFonts w:ascii="Times New Roman" w:eastAsia="Times New Roman" w:hAnsi="Times New Roman" w:cs="Times New Roman"/>
        </w:rPr>
        <w:instrText xml:space="preserve"> ADDIN EN.CITE.DATA </w:instrText>
      </w:r>
      <w:r w:rsidRPr="00551A8E">
        <w:rPr>
          <w:rFonts w:ascii="Times New Roman" w:eastAsia="Times New Roman" w:hAnsi="Times New Roman" w:cs="Times New Roman"/>
        </w:rPr>
      </w:r>
      <w:r w:rsidRPr="00551A8E">
        <w:rPr>
          <w:rFonts w:ascii="Times New Roman" w:eastAsia="Times New Roman" w:hAnsi="Times New Roman" w:cs="Times New Roman"/>
        </w:rPr>
        <w:fldChar w:fldCharType="end"/>
      </w:r>
      <w:r w:rsidRPr="00551A8E">
        <w:rPr>
          <w:rFonts w:ascii="Times New Roman" w:eastAsia="Times New Roman" w:hAnsi="Times New Roman" w:cs="Times New Roman"/>
        </w:rPr>
      </w:r>
      <w:r w:rsidRPr="00551A8E">
        <w:rPr>
          <w:rFonts w:ascii="Times New Roman" w:eastAsia="Times New Roman" w:hAnsi="Times New Roman" w:cs="Times New Roman"/>
        </w:rPr>
        <w:fldChar w:fldCharType="separate"/>
      </w:r>
      <w:r w:rsidRPr="00551A8E">
        <w:rPr>
          <w:rFonts w:ascii="Times New Roman" w:eastAsia="Times New Roman" w:hAnsi="Times New Roman" w:cs="Times New Roman"/>
          <w:noProof/>
        </w:rPr>
        <w:t>(32, 33)</w:t>
      </w:r>
      <w:r w:rsidRPr="00551A8E">
        <w:rPr>
          <w:rFonts w:ascii="Times New Roman" w:eastAsia="Times New Roman" w:hAnsi="Times New Roman" w:cs="Times New Roman"/>
        </w:rPr>
        <w:fldChar w:fldCharType="end"/>
      </w:r>
      <w:r w:rsidRPr="00551A8E">
        <w:rPr>
          <w:rFonts w:ascii="Times New Roman" w:eastAsia="Times New Roman" w:hAnsi="Times New Roman" w:cs="Times New Roman"/>
        </w:rPr>
        <w:t>.</w:t>
      </w:r>
    </w:p>
    <w:p w14:paraId="443121DD" w14:textId="77777777" w:rsidR="00310B91" w:rsidRPr="00551A8E" w:rsidRDefault="00310B91" w:rsidP="003B1479">
      <w:pPr>
        <w:pStyle w:val="Caption"/>
        <w:keepNext/>
        <w:rPr>
          <w:rFonts w:ascii="Times New Roman" w:hAnsi="Times New Roman" w:cs="Times New Roman"/>
          <w:color w:val="auto"/>
          <w:sz w:val="24"/>
          <w:szCs w:val="22"/>
        </w:rPr>
      </w:pPr>
    </w:p>
    <w:p w14:paraId="51C86046" w14:textId="4B5D3C0C" w:rsidR="005F50F1" w:rsidRPr="00551A8E" w:rsidRDefault="00BA6078" w:rsidP="003B1479">
      <w:pPr>
        <w:pStyle w:val="Caption"/>
        <w:keepNext/>
        <w:rPr>
          <w:rFonts w:ascii="Times New Roman" w:hAnsi="Times New Roman" w:cs="Times New Roman"/>
          <w:color w:val="auto"/>
          <w:sz w:val="24"/>
          <w:szCs w:val="22"/>
        </w:rPr>
      </w:pPr>
      <w:r w:rsidRPr="00551A8E">
        <w:rPr>
          <w:rFonts w:ascii="Times New Roman" w:hAnsi="Times New Roman" w:cs="Times New Roman"/>
          <w:color w:val="auto"/>
          <w:sz w:val="24"/>
          <w:szCs w:val="22"/>
        </w:rPr>
        <w:t xml:space="preserve">Supplement Table </w:t>
      </w:r>
      <w:r w:rsidR="00551A8E" w:rsidRPr="00551A8E">
        <w:rPr>
          <w:rFonts w:ascii="Times New Roman" w:hAnsi="Times New Roman" w:cs="Times New Roman"/>
          <w:color w:val="auto"/>
          <w:sz w:val="24"/>
          <w:szCs w:val="22"/>
        </w:rPr>
        <w:t>3</w:t>
      </w:r>
      <w:r w:rsidRPr="00551A8E">
        <w:rPr>
          <w:rFonts w:ascii="Times New Roman" w:hAnsi="Times New Roman" w:cs="Times New Roman"/>
          <w:color w:val="auto"/>
          <w:sz w:val="24"/>
          <w:szCs w:val="22"/>
        </w:rPr>
        <w:t>.</w:t>
      </w:r>
      <w:r w:rsidR="005F50F1" w:rsidRPr="00551A8E">
        <w:rPr>
          <w:rFonts w:ascii="Times New Roman" w:hAnsi="Times New Roman" w:cs="Times New Roman"/>
          <w:color w:val="auto"/>
          <w:sz w:val="24"/>
          <w:szCs w:val="22"/>
        </w:rPr>
        <w:t xml:space="preserve"> Literature reported MM-related drugs with negative associations</w:t>
      </w:r>
    </w:p>
    <w:tbl>
      <w:tblPr>
        <w:tblStyle w:val="LightShading-Accent5"/>
        <w:tblW w:w="9606" w:type="dxa"/>
        <w:tblLayout w:type="fixed"/>
        <w:tblLook w:val="04A0" w:firstRow="1" w:lastRow="0" w:firstColumn="1" w:lastColumn="0" w:noHBand="0" w:noVBand="1"/>
      </w:tblPr>
      <w:tblGrid>
        <w:gridCol w:w="1548"/>
        <w:gridCol w:w="90"/>
        <w:gridCol w:w="810"/>
        <w:gridCol w:w="1080"/>
        <w:gridCol w:w="6078"/>
      </w:tblGrid>
      <w:tr w:rsidR="005F50F1" w:rsidRPr="00551A8E" w14:paraId="46E42E07" w14:textId="77777777" w:rsidTr="003B1479">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48" w:type="dxa"/>
            <w:noWrap/>
            <w:hideMark/>
          </w:tcPr>
          <w:p w14:paraId="0F224B94"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Drug</w:t>
            </w:r>
          </w:p>
        </w:tc>
        <w:tc>
          <w:tcPr>
            <w:tcW w:w="900" w:type="dxa"/>
            <w:gridSpan w:val="2"/>
            <w:noWrap/>
            <w:hideMark/>
          </w:tcPr>
          <w:p w14:paraId="31BA20B1" w14:textId="77777777" w:rsidR="005F50F1" w:rsidRPr="00551A8E" w:rsidRDefault="005F50F1" w:rsidP="003B1479">
            <w:pPr>
              <w:spacing w:before="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22"/>
              </w:rPr>
            </w:pPr>
            <w:r w:rsidRPr="00551A8E">
              <w:rPr>
                <w:rFonts w:ascii="Times New Roman" w:hAnsi="Times New Roman" w:cs="Times New Roman"/>
                <w:color w:val="auto"/>
                <w:sz w:val="18"/>
                <w:szCs w:val="22"/>
              </w:rPr>
              <w:t>Negative association</w:t>
            </w:r>
          </w:p>
        </w:tc>
        <w:tc>
          <w:tcPr>
            <w:tcW w:w="1080" w:type="dxa"/>
            <w:noWrap/>
            <w:hideMark/>
          </w:tcPr>
          <w:p w14:paraId="4C84FB6B" w14:textId="77777777" w:rsidR="005F50F1" w:rsidRPr="00551A8E" w:rsidRDefault="005F50F1" w:rsidP="003B1479">
            <w:pPr>
              <w:spacing w:before="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8"/>
                <w:szCs w:val="22"/>
              </w:rPr>
            </w:pPr>
            <w:r w:rsidRPr="00551A8E">
              <w:rPr>
                <w:rFonts w:ascii="Times New Roman" w:hAnsi="Times New Roman" w:cs="Times New Roman"/>
                <w:color w:val="auto"/>
                <w:sz w:val="18"/>
                <w:szCs w:val="22"/>
              </w:rPr>
              <w:t>Positive association</w:t>
            </w:r>
          </w:p>
        </w:tc>
        <w:tc>
          <w:tcPr>
            <w:tcW w:w="6078" w:type="dxa"/>
          </w:tcPr>
          <w:p w14:paraId="24AE1EE6" w14:textId="77777777" w:rsidR="005F50F1" w:rsidRPr="00551A8E" w:rsidRDefault="005F50F1" w:rsidP="003B1479">
            <w:pPr>
              <w:spacing w:before="120"/>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Notes and Reference</w:t>
            </w:r>
          </w:p>
        </w:tc>
      </w:tr>
      <w:tr w:rsidR="005F50F1" w:rsidRPr="00551A8E" w14:paraId="090B9E14" w14:textId="77777777" w:rsidTr="003B1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3AC69F88"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lastRenderedPageBreak/>
              <w:t>Brefeldin A</w:t>
            </w:r>
          </w:p>
        </w:tc>
        <w:tc>
          <w:tcPr>
            <w:tcW w:w="810" w:type="dxa"/>
            <w:noWrap/>
            <w:hideMark/>
          </w:tcPr>
          <w:p w14:paraId="70E2E7D7"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21</w:t>
            </w:r>
          </w:p>
        </w:tc>
        <w:tc>
          <w:tcPr>
            <w:tcW w:w="1080" w:type="dxa"/>
            <w:noWrap/>
            <w:hideMark/>
          </w:tcPr>
          <w:p w14:paraId="4BE50F3A"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6078" w:type="dxa"/>
            <w:noWrap/>
            <w:hideMark/>
          </w:tcPr>
          <w:p w14:paraId="2D86021B" w14:textId="57AF24AE" w:rsidR="005F50F1" w:rsidRPr="00551A8E" w:rsidRDefault="005F50F1" w:rsidP="00416C1B">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It was reported that CLL cells and multiple myeloma cells are highly sensitive to brefeldin A, an inhibitor of endoplasmic reticulum (ER) to Golgi protein transport currently being developed as a novel anticancer agent in a prodrug formulation. Of importance, brefeldin A effectively induced apoptosis in fludarabine-refractory CLL cells. Disruption of protein trafficking by brefeldin A caused the sequestration of the </w:t>
            </w:r>
            <w:proofErr w:type="spellStart"/>
            <w:r w:rsidRPr="00551A8E">
              <w:rPr>
                <w:rFonts w:ascii="Times New Roman" w:hAnsi="Times New Roman" w:cs="Times New Roman"/>
                <w:color w:val="auto"/>
                <w:sz w:val="16"/>
                <w:szCs w:val="16"/>
              </w:rPr>
              <w:t>prosurvival</w:t>
            </w:r>
            <w:proofErr w:type="spellEnd"/>
            <w:r w:rsidRPr="00551A8E">
              <w:rPr>
                <w:rFonts w:ascii="Times New Roman" w:hAnsi="Times New Roman" w:cs="Times New Roman"/>
                <w:color w:val="auto"/>
                <w:sz w:val="16"/>
                <w:szCs w:val="16"/>
              </w:rPr>
              <w:t xml:space="preserve"> factors APRIL and VEGF in the ER, leading to abnormal ER swelling and a decrease in VEGF secretion. Such ER stress and blockage of secretory protein traffic eventually resulted in Golgi collapse, activation of caspases, and cell death.</w:t>
            </w:r>
            <w:r w:rsidRPr="00551A8E">
              <w:rPr>
                <w:rFonts w:ascii="Times New Roman" w:hAnsi="Times New Roman" w:cs="Times New Roman"/>
                <w:color w:val="auto"/>
                <w:sz w:val="22"/>
              </w:rPr>
              <w:t xml:space="preserve"> </w:t>
            </w:r>
            <w:r w:rsidRPr="00551A8E">
              <w:rPr>
                <w:rFonts w:ascii="Times New Roman" w:hAnsi="Times New Roman" w:cs="Times New Roman"/>
                <w:sz w:val="16"/>
              </w:rPr>
              <w:fldChar w:fldCharType="begin"/>
            </w:r>
            <w:r w:rsidR="00310B91" w:rsidRPr="00551A8E">
              <w:rPr>
                <w:rFonts w:ascii="Times New Roman" w:hAnsi="Times New Roman" w:cs="Times New Roman"/>
                <w:sz w:val="16"/>
              </w:rPr>
              <w:instrText xml:space="preserve"> ADDIN EN.CITE &lt;EndNote&gt;&lt;Cite&gt;&lt;Author&gt;Carew&lt;/Author&gt;&lt;Year&gt;2006&lt;/Year&gt;&lt;RecNum&gt;39&lt;/RecNum&gt;&lt;DisplayText&gt;(34)&lt;/DisplayText&gt;&lt;record&gt;&lt;rec-number&gt;39&lt;/rec-number&gt;&lt;foreign-keys&gt;&lt;key app="EN" db-id="9sxvtsa9azp05xetzd2xw0x3eraaaz5p5zzr" timestamp="1534601230"&gt;39&lt;/key&gt;&lt;/foreign-keys&gt;&lt;ref-type name="Journal Article"&gt;17&lt;/ref-type&gt;&lt;contributors&gt;&lt;authors&gt;&lt;author&gt;Carew, Jennifer S.&lt;/author&gt;&lt;author&gt;Nawrocki, Steffan T.&lt;/author&gt;&lt;author&gt;Krupnik, Yelena V.&lt;/author&gt;&lt;author&gt;Dunner, Kenneth&lt;/author&gt;&lt;author&gt;McConkey, David J.&lt;/author&gt;&lt;author&gt;Keating, Michael J.&lt;/author&gt;&lt;author&gt;Huang, Peng&lt;/author&gt;&lt;/authors&gt;&lt;/contributors&gt;&lt;titles&gt;&lt;title&gt;Targeting endoplasmic reticulum protein transport: a novel strategy to kill malignant B cells and overcome fludarabine resistance in CLL&lt;/title&gt;&lt;secondary-title&gt;Blood&lt;/secondary-title&gt;&lt;/titles&gt;&lt;periodical&gt;&lt;full-title&gt;Blood&lt;/full-title&gt;&lt;/periodical&gt;&lt;pages&gt;222-231&lt;/pages&gt;&lt;volume&gt;107&lt;/volume&gt;&lt;number&gt;1&lt;/number&gt;&lt;dates&gt;&lt;year&gt;2006&lt;/year&gt;&lt;pub-dates&gt;&lt;date&gt;05/11/received&amp;#xD;08/21/accepted&lt;/date&gt;&lt;/pub-dates&gt;&lt;/dates&gt;&lt;publisher&gt;© 2006 by The American Society of Hematology&lt;/publisher&gt;&lt;isbn&gt;0006-4971&amp;#xD;1528-0020&lt;/isbn&gt;&lt;accession-num&gt;PMC1895341&lt;/accession-num&gt;&lt;urls&gt;&lt;related-urls&gt;&lt;url&gt;http://www.ncbi.nlm.nih.gov/pmc/articles/PMC1895341/&lt;/url&gt;&lt;/related-urls&gt;&lt;/urls&gt;&lt;electronic-resource-num&gt;10.1182/blood-2005-05-1923&lt;/electronic-resource-num&gt;&lt;remote-database-name&gt;PMC&lt;/remote-database-name&gt;&lt;/record&gt;&lt;/Cite&gt;&lt;/EndNote&gt;</w:instrText>
            </w:r>
            <w:r w:rsidRPr="00551A8E">
              <w:rPr>
                <w:rFonts w:ascii="Times New Roman" w:hAnsi="Times New Roman" w:cs="Times New Roman"/>
                <w:sz w:val="16"/>
              </w:rPr>
              <w:fldChar w:fldCharType="separate"/>
            </w:r>
            <w:r w:rsidR="00310B91" w:rsidRPr="00551A8E">
              <w:rPr>
                <w:rFonts w:ascii="Times New Roman" w:hAnsi="Times New Roman" w:cs="Times New Roman"/>
                <w:noProof/>
                <w:sz w:val="16"/>
              </w:rPr>
              <w:t>(34)</w:t>
            </w:r>
            <w:r w:rsidRPr="00551A8E">
              <w:rPr>
                <w:rFonts w:ascii="Times New Roman" w:hAnsi="Times New Roman" w:cs="Times New Roman"/>
                <w:sz w:val="16"/>
              </w:rPr>
              <w:fldChar w:fldCharType="end"/>
            </w:r>
          </w:p>
        </w:tc>
      </w:tr>
      <w:tr w:rsidR="005F50F1" w:rsidRPr="00551A8E" w14:paraId="7ECD2CA5" w14:textId="77777777" w:rsidTr="003B1479">
        <w:trPr>
          <w:trHeight w:val="30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1DBC17B2"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Bafilomycin A</w:t>
            </w:r>
          </w:p>
        </w:tc>
        <w:tc>
          <w:tcPr>
            <w:tcW w:w="810" w:type="dxa"/>
            <w:noWrap/>
            <w:hideMark/>
          </w:tcPr>
          <w:p w14:paraId="53E5C481"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19</w:t>
            </w:r>
          </w:p>
        </w:tc>
        <w:tc>
          <w:tcPr>
            <w:tcW w:w="1080" w:type="dxa"/>
            <w:noWrap/>
            <w:hideMark/>
          </w:tcPr>
          <w:p w14:paraId="30B07596"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6</w:t>
            </w:r>
          </w:p>
        </w:tc>
        <w:tc>
          <w:tcPr>
            <w:tcW w:w="6078" w:type="dxa"/>
            <w:noWrap/>
            <w:hideMark/>
          </w:tcPr>
          <w:p w14:paraId="7C9BC478" w14:textId="45641BCC" w:rsidR="005F50F1" w:rsidRPr="00551A8E" w:rsidRDefault="005F50F1" w:rsidP="00416C1B">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Combined treatment of Bortezomib and Bafilomycin A enhances cytocidal effect and endoplasmic reticulum stress in U66 myeloma cells. Bafilomycin A is approved for the treatment of osteoporosis, which is closely related with multiple myeloma. </w:t>
            </w:r>
            <w:r w:rsidRPr="00551A8E">
              <w:rPr>
                <w:rFonts w:ascii="Times New Roman" w:hAnsi="Times New Roman" w:cs="Times New Roman"/>
                <w:sz w:val="16"/>
                <w:szCs w:val="16"/>
              </w:rPr>
              <w:fldChar w:fldCharType="begin"/>
            </w:r>
            <w:r w:rsidR="00310B91" w:rsidRPr="00551A8E">
              <w:rPr>
                <w:rFonts w:ascii="Times New Roman" w:hAnsi="Times New Roman" w:cs="Times New Roman"/>
                <w:sz w:val="16"/>
                <w:szCs w:val="16"/>
              </w:rPr>
              <w:instrText xml:space="preserve"> ADDIN EN.CITE &lt;EndNote&gt;&lt;Cite&gt;&lt;Author&gt;Kawaguchi&lt;/Author&gt;&lt;Year&gt;2011&lt;/Year&gt;&lt;RecNum&gt;45&lt;/RecNum&gt;&lt;DisplayText&gt;(35)&lt;/DisplayText&gt;&lt;record&gt;&lt;rec-number&gt;45&lt;/rec-number&gt;&lt;foreign-keys&gt;&lt;key app="EN" db-id="9sxvtsa9azp05xetzd2xw0x3eraaaz5p5zzr" timestamp="1534601230"&gt;45&lt;/key&gt;&lt;/foreign-keys&gt;&lt;ref-type name="Journal Article"&gt;17&lt;/ref-type&gt;&lt;contributors&gt;&lt;authors&gt;&lt;author&gt;Kawaguchi, Tomohiro&lt;/author&gt;&lt;author&gt;Miyazawa, Keisuke&lt;/author&gt;&lt;author&gt;Moriya, Shota&lt;/author&gt;&lt;author&gt;Ohtomo, Tadashi&lt;/author&gt;&lt;author&gt;Che, Xiao-Fang&lt;/author&gt;&lt;author&gt;Naito, Munekazu&lt;/author&gt;&lt;author&gt;Itoh, Masahiro&lt;/author&gt;&lt;author&gt;Tomoda, Akio&lt;/author&gt;&lt;/authors&gt;&lt;/contributors&gt;&lt;titles&gt;&lt;title&gt;Combined treatment with bortezomib plus bafilomycin A1 enhances the cytocidal effect and induces endoplasmic reticulum stress in U266 myeloma cells: crosstalk among proteasome, autophagy-lysosome and ER stress&lt;/title&gt;&lt;secondary-title&gt;International journal of oncology&lt;/secondary-title&gt;&lt;/titles&gt;&lt;periodical&gt;&lt;full-title&gt;International journal of oncology&lt;/full-title&gt;&lt;/periodical&gt;&lt;pages&gt;643-654&lt;/pages&gt;&lt;volume&gt;38&lt;/volume&gt;&lt;number&gt;3&lt;/number&gt;&lt;dates&gt;&lt;year&gt;2011&lt;/year&gt;&lt;/dates&gt;&lt;isbn&gt;1019-6439&lt;/isbn&gt;&lt;urls&gt;&lt;/urls&gt;&lt;/record&gt;&lt;/Cite&gt;&lt;/EndNote&gt;</w:instrText>
            </w:r>
            <w:r w:rsidRPr="00551A8E">
              <w:rPr>
                <w:rFonts w:ascii="Times New Roman" w:hAnsi="Times New Roman" w:cs="Times New Roman"/>
                <w:sz w:val="16"/>
                <w:szCs w:val="16"/>
              </w:rPr>
              <w:fldChar w:fldCharType="separate"/>
            </w:r>
            <w:r w:rsidR="00310B91" w:rsidRPr="00551A8E">
              <w:rPr>
                <w:rFonts w:ascii="Times New Roman" w:hAnsi="Times New Roman" w:cs="Times New Roman"/>
                <w:noProof/>
                <w:sz w:val="16"/>
                <w:szCs w:val="16"/>
              </w:rPr>
              <w:t>(35)</w:t>
            </w:r>
            <w:r w:rsidRPr="00551A8E">
              <w:rPr>
                <w:rFonts w:ascii="Times New Roman" w:hAnsi="Times New Roman" w:cs="Times New Roman"/>
                <w:sz w:val="16"/>
                <w:szCs w:val="16"/>
              </w:rPr>
              <w:fldChar w:fldCharType="end"/>
            </w:r>
          </w:p>
        </w:tc>
      </w:tr>
      <w:tr w:rsidR="005F50F1" w:rsidRPr="00551A8E" w14:paraId="62393270" w14:textId="77777777" w:rsidTr="003B1479">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2036BC4A" w14:textId="77777777" w:rsidR="005F50F1" w:rsidRPr="00551A8E" w:rsidRDefault="005F50F1" w:rsidP="003B1479">
            <w:pPr>
              <w:spacing w:before="120"/>
              <w:jc w:val="both"/>
              <w:rPr>
                <w:rFonts w:ascii="Times New Roman" w:hAnsi="Times New Roman" w:cs="Times New Roman"/>
                <w:color w:val="auto"/>
                <w:sz w:val="20"/>
                <w:szCs w:val="20"/>
              </w:rPr>
            </w:pPr>
            <w:proofErr w:type="spellStart"/>
            <w:r w:rsidRPr="00551A8E">
              <w:rPr>
                <w:rFonts w:ascii="Times New Roman" w:hAnsi="Times New Roman" w:cs="Times New Roman"/>
                <w:color w:val="auto"/>
                <w:sz w:val="20"/>
                <w:szCs w:val="20"/>
              </w:rPr>
              <w:t>Ambroxol</w:t>
            </w:r>
            <w:proofErr w:type="spellEnd"/>
          </w:p>
        </w:tc>
        <w:tc>
          <w:tcPr>
            <w:tcW w:w="810" w:type="dxa"/>
            <w:noWrap/>
            <w:hideMark/>
          </w:tcPr>
          <w:p w14:paraId="6EE23095"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18</w:t>
            </w:r>
          </w:p>
        </w:tc>
        <w:tc>
          <w:tcPr>
            <w:tcW w:w="1080" w:type="dxa"/>
            <w:noWrap/>
            <w:hideMark/>
          </w:tcPr>
          <w:p w14:paraId="766EABD4"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w:t>
            </w:r>
          </w:p>
        </w:tc>
        <w:tc>
          <w:tcPr>
            <w:tcW w:w="6078" w:type="dxa"/>
            <w:noWrap/>
            <w:hideMark/>
          </w:tcPr>
          <w:p w14:paraId="0EC2CCD8" w14:textId="5F15A245" w:rsidR="005F50F1" w:rsidRPr="00551A8E" w:rsidRDefault="005F50F1" w:rsidP="00416C1B">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Recently, a hypothesis suggested that </w:t>
            </w:r>
            <w:proofErr w:type="spellStart"/>
            <w:r w:rsidRPr="00551A8E">
              <w:rPr>
                <w:rFonts w:ascii="Times New Roman" w:hAnsi="Times New Roman" w:cs="Times New Roman"/>
                <w:color w:val="auto"/>
                <w:sz w:val="16"/>
                <w:szCs w:val="16"/>
              </w:rPr>
              <w:t>Ambroxol</w:t>
            </w:r>
            <w:proofErr w:type="spellEnd"/>
            <w:r w:rsidRPr="00551A8E">
              <w:rPr>
                <w:rFonts w:ascii="Times New Roman" w:hAnsi="Times New Roman" w:cs="Times New Roman"/>
                <w:color w:val="auto"/>
                <w:sz w:val="16"/>
                <w:szCs w:val="16"/>
              </w:rPr>
              <w:t xml:space="preserve"> may have a potential role in treatment of Paget's disease of bone, Parkinsonism and other common autophagy-mediated aging diseases.</w:t>
            </w:r>
            <w:r w:rsidRPr="00551A8E">
              <w:rPr>
                <w:rFonts w:ascii="Times New Roman" w:hAnsi="Times New Roman" w:cs="Times New Roman"/>
                <w:color w:val="auto"/>
              </w:rPr>
              <w:t xml:space="preserve"> </w:t>
            </w:r>
            <w:r w:rsidRPr="00551A8E">
              <w:rPr>
                <w:rFonts w:ascii="Times New Roman" w:hAnsi="Times New Roman" w:cs="Times New Roman"/>
                <w:sz w:val="16"/>
                <w:szCs w:val="16"/>
              </w:rPr>
              <w:fldChar w:fldCharType="begin"/>
            </w:r>
            <w:r w:rsidR="00310B91" w:rsidRPr="00551A8E">
              <w:rPr>
                <w:rFonts w:ascii="Times New Roman" w:hAnsi="Times New Roman" w:cs="Times New Roman"/>
                <w:sz w:val="16"/>
                <w:szCs w:val="16"/>
              </w:rPr>
              <w:instrText xml:space="preserve"> ADDIN EN.CITE &lt;EndNote&gt;&lt;Cite ExcludeYear="1"&gt;&lt;Author&gt;Numan&lt;/Author&gt;&lt;RecNum&gt;47&lt;/RecNum&gt;&lt;DisplayText&gt;(36)&lt;/DisplayText&gt;&lt;record&gt;&lt;rec-number&gt;47&lt;/rec-number&gt;&lt;foreign-keys&gt;&lt;key app="EN" db-id="9sxvtsa9azp05xetzd2xw0x3eraaaz5p5zzr" timestamp="1534601230"&gt;47&lt;/key&gt;&lt;/foreign-keys&gt;&lt;ref-type name="Journal Article"&gt;17&lt;/ref-type&gt;&lt;contributors&gt;&lt;authors&gt;&lt;author&gt;Numan, Mohamed&lt;/author&gt;&lt;/authors&gt;&lt;/contributors&gt;&lt;titles&gt;&lt;title&gt;Ambroxol hydrochloride, a chaperone therapy for Paget’s disease of bone and other common autophagy-mediated aging diseases?&lt;/title&gt;&lt;/titles&gt;&lt;dates&gt;&lt;/dates&gt;&lt;urls&gt;&lt;/urls&gt;&lt;/record&gt;&lt;/Cite&gt;&lt;/EndNote&gt;</w:instrText>
            </w:r>
            <w:r w:rsidRPr="00551A8E">
              <w:rPr>
                <w:rFonts w:ascii="Times New Roman" w:hAnsi="Times New Roman" w:cs="Times New Roman"/>
                <w:sz w:val="16"/>
                <w:szCs w:val="16"/>
              </w:rPr>
              <w:fldChar w:fldCharType="separate"/>
            </w:r>
            <w:r w:rsidR="00310B91" w:rsidRPr="00551A8E">
              <w:rPr>
                <w:rFonts w:ascii="Times New Roman" w:hAnsi="Times New Roman" w:cs="Times New Roman"/>
                <w:noProof/>
                <w:sz w:val="16"/>
                <w:szCs w:val="16"/>
              </w:rPr>
              <w:t>(36)</w:t>
            </w:r>
            <w:r w:rsidRPr="00551A8E">
              <w:rPr>
                <w:rFonts w:ascii="Times New Roman" w:hAnsi="Times New Roman" w:cs="Times New Roman"/>
                <w:sz w:val="16"/>
                <w:szCs w:val="16"/>
              </w:rPr>
              <w:fldChar w:fldCharType="end"/>
            </w:r>
          </w:p>
        </w:tc>
      </w:tr>
      <w:tr w:rsidR="005F50F1" w:rsidRPr="00551A8E" w14:paraId="48542E25" w14:textId="77777777" w:rsidTr="003B1479">
        <w:trPr>
          <w:trHeight w:val="1413"/>
        </w:trPr>
        <w:tc>
          <w:tcPr>
            <w:cnfStyle w:val="001000000000" w:firstRow="0" w:lastRow="0" w:firstColumn="1" w:lastColumn="0" w:oddVBand="0" w:evenVBand="0" w:oddHBand="0" w:evenHBand="0" w:firstRowFirstColumn="0" w:firstRowLastColumn="0" w:lastRowFirstColumn="0" w:lastRowLastColumn="0"/>
            <w:tcW w:w="1638" w:type="dxa"/>
            <w:gridSpan w:val="2"/>
            <w:noWrap/>
          </w:tcPr>
          <w:p w14:paraId="4750E6D4" w14:textId="77777777" w:rsidR="005F50F1" w:rsidRPr="00551A8E" w:rsidRDefault="005F50F1" w:rsidP="003B1479">
            <w:pPr>
              <w:jc w:val="both"/>
              <w:rPr>
                <w:rFonts w:ascii="Times New Roman" w:eastAsia="Times New Roman" w:hAnsi="Times New Roman" w:cs="Times New Roman"/>
                <w:color w:val="auto"/>
                <w:sz w:val="20"/>
                <w:szCs w:val="20"/>
                <w:lang w:eastAsia="en-US"/>
              </w:rPr>
            </w:pPr>
            <w:r w:rsidRPr="00551A8E">
              <w:rPr>
                <w:rFonts w:ascii="Times New Roman" w:eastAsia="Times New Roman" w:hAnsi="Times New Roman" w:cs="Times New Roman"/>
                <w:color w:val="auto"/>
                <w:sz w:val="20"/>
                <w:szCs w:val="20"/>
                <w:lang w:eastAsia="en-US"/>
              </w:rPr>
              <w:t>2-(1H-indazol-4-yl)-6-(4-methanesulfonylpiperazin-1-ylmethyl)-4-morpholin-4-ylthieno(3,2-</w:t>
            </w:r>
            <w:proofErr w:type="gramStart"/>
            <w:r w:rsidRPr="00551A8E">
              <w:rPr>
                <w:rFonts w:ascii="Times New Roman" w:eastAsia="Times New Roman" w:hAnsi="Times New Roman" w:cs="Times New Roman"/>
                <w:color w:val="auto"/>
                <w:sz w:val="20"/>
                <w:szCs w:val="20"/>
                <w:lang w:eastAsia="en-US"/>
              </w:rPr>
              <w:t>d)pyrimidine</w:t>
            </w:r>
            <w:proofErr w:type="gramEnd"/>
          </w:p>
          <w:p w14:paraId="05B41B53" w14:textId="77777777" w:rsidR="005F50F1" w:rsidRPr="00551A8E" w:rsidRDefault="005F50F1" w:rsidP="003B1479">
            <w:pPr>
              <w:spacing w:before="120"/>
              <w:jc w:val="both"/>
              <w:rPr>
                <w:rFonts w:ascii="Times New Roman" w:hAnsi="Times New Roman" w:cs="Times New Roman"/>
                <w:color w:val="auto"/>
                <w:sz w:val="20"/>
                <w:szCs w:val="20"/>
              </w:rPr>
            </w:pPr>
          </w:p>
        </w:tc>
        <w:tc>
          <w:tcPr>
            <w:tcW w:w="810" w:type="dxa"/>
            <w:noWrap/>
            <w:hideMark/>
          </w:tcPr>
          <w:p w14:paraId="6988FD7E"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18</w:t>
            </w:r>
          </w:p>
        </w:tc>
        <w:tc>
          <w:tcPr>
            <w:tcW w:w="1080" w:type="dxa"/>
            <w:noWrap/>
            <w:hideMark/>
          </w:tcPr>
          <w:p w14:paraId="4771A968"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5</w:t>
            </w:r>
          </w:p>
        </w:tc>
        <w:tc>
          <w:tcPr>
            <w:tcW w:w="6078" w:type="dxa"/>
            <w:noWrap/>
            <w:hideMark/>
          </w:tcPr>
          <w:p w14:paraId="6E7CE46D" w14:textId="11D16CE8" w:rsidR="005F50F1" w:rsidRPr="00551A8E" w:rsidRDefault="005F50F1" w:rsidP="00416C1B">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Inhibition of PI3K Signaling Spurs New Therapeutic Opportunities in Inflammatory/Autoimmune Diseases and Hematological Malignancies </w:t>
            </w:r>
            <w:r w:rsidRPr="00551A8E">
              <w:rPr>
                <w:rFonts w:ascii="Times New Roman" w:hAnsi="Times New Roman" w:cs="Times New Roman"/>
                <w:sz w:val="16"/>
                <w:szCs w:val="16"/>
              </w:rPr>
              <w:fldChar w:fldCharType="begin"/>
            </w:r>
            <w:r w:rsidR="00310B91" w:rsidRPr="00551A8E">
              <w:rPr>
                <w:rFonts w:ascii="Times New Roman" w:hAnsi="Times New Roman" w:cs="Times New Roman"/>
                <w:sz w:val="16"/>
                <w:szCs w:val="16"/>
              </w:rPr>
              <w:instrText xml:space="preserve"> ADDIN EN.CITE &lt;EndNote&gt;&lt;Cite&gt;&lt;Author&gt;Foster&lt;/Author&gt;&lt;Year&gt;2012&lt;/Year&gt;&lt;RecNum&gt;61&lt;/RecNum&gt;&lt;DisplayText&gt;(37)&lt;/DisplayText&gt;&lt;record&gt;&lt;rec-number&gt;61&lt;/rec-number&gt;&lt;foreign-keys&gt;&lt;key app="EN" db-id="9sxvtsa9azp05xetzd2xw0x3eraaaz5p5zzr" timestamp="1534605193"&gt;61&lt;/key&gt;&lt;/foreign-keys&gt;&lt;ref-type name="Journal Article"&gt;17&lt;/ref-type&gt;&lt;contributors&gt;&lt;authors&gt;&lt;author&gt;Foster, John G.&lt;/author&gt;&lt;author&gt;Blunt, Matthew D.&lt;/author&gt;&lt;author&gt;Carter, Edward&lt;/author&gt;&lt;author&gt;Ward, Stephen G.&lt;/author&gt;&lt;/authors&gt;&lt;secondary-authors&gt;&lt;author&gt;Sibley, David R.&lt;/author&gt;&lt;/secondary-authors&gt;&lt;/contributors&gt;&lt;titles&gt;&lt;title&gt;Inhibition of PI3K Signaling Spurs New Therapeutic Opportunities in Inflammatory/Autoimmune Diseases and Hematological Malignancies&lt;/title&gt;&lt;secondary-title&gt;Pharmacological Reviews&lt;/secondary-title&gt;&lt;/titles&gt;&lt;periodical&gt;&lt;full-title&gt;Pharmacological Reviews&lt;/full-title&gt;&lt;/periodical&gt;&lt;pages&gt;1027&lt;/pages&gt;&lt;volume&gt;64&lt;/volume&gt;&lt;number&gt;4&lt;/number&gt;&lt;dates&gt;&lt;year&gt;2012&lt;/year&gt;&lt;/dates&gt;&lt;work-type&gt;10.1124/pr.110.004051&lt;/work-type&gt;&lt;urls&gt;&lt;related-urls&gt;&lt;url&gt;http://pharmrev.aspetjournals.org/content/64/4/1027.abstract&lt;/url&gt;&lt;/related-urls&gt;&lt;/urls&gt;&lt;/record&gt;&lt;/Cite&gt;&lt;/EndNote&gt;</w:instrText>
            </w:r>
            <w:r w:rsidRPr="00551A8E">
              <w:rPr>
                <w:rFonts w:ascii="Times New Roman" w:hAnsi="Times New Roman" w:cs="Times New Roman"/>
                <w:sz w:val="16"/>
                <w:szCs w:val="16"/>
              </w:rPr>
              <w:fldChar w:fldCharType="separate"/>
            </w:r>
            <w:r w:rsidR="00310B91" w:rsidRPr="00551A8E">
              <w:rPr>
                <w:rFonts w:ascii="Times New Roman" w:hAnsi="Times New Roman" w:cs="Times New Roman"/>
                <w:noProof/>
                <w:sz w:val="16"/>
                <w:szCs w:val="16"/>
              </w:rPr>
              <w:t>(37)</w:t>
            </w:r>
            <w:r w:rsidRPr="00551A8E">
              <w:rPr>
                <w:rFonts w:ascii="Times New Roman" w:hAnsi="Times New Roman" w:cs="Times New Roman"/>
                <w:sz w:val="16"/>
                <w:szCs w:val="16"/>
              </w:rPr>
              <w:fldChar w:fldCharType="end"/>
            </w:r>
          </w:p>
        </w:tc>
      </w:tr>
      <w:tr w:rsidR="005F50F1" w:rsidRPr="00551A8E" w14:paraId="061E139B" w14:textId="77777777" w:rsidTr="003B1479">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607B27B8"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Geldanamycin</w:t>
            </w:r>
          </w:p>
        </w:tc>
        <w:tc>
          <w:tcPr>
            <w:tcW w:w="810" w:type="dxa"/>
            <w:noWrap/>
            <w:hideMark/>
          </w:tcPr>
          <w:p w14:paraId="6FAF955B"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17</w:t>
            </w:r>
          </w:p>
        </w:tc>
        <w:tc>
          <w:tcPr>
            <w:tcW w:w="1080" w:type="dxa"/>
            <w:noWrap/>
            <w:hideMark/>
          </w:tcPr>
          <w:p w14:paraId="3E01CA41"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4</w:t>
            </w:r>
          </w:p>
        </w:tc>
        <w:tc>
          <w:tcPr>
            <w:tcW w:w="6078" w:type="dxa"/>
            <w:noWrap/>
            <w:hideMark/>
          </w:tcPr>
          <w:p w14:paraId="65B905BD"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Its analogy </w:t>
            </w:r>
            <w:proofErr w:type="spellStart"/>
            <w:r w:rsidRPr="00551A8E">
              <w:rPr>
                <w:rFonts w:ascii="Times New Roman" w:hAnsi="Times New Roman" w:cs="Times New Roman"/>
                <w:color w:val="auto"/>
                <w:sz w:val="16"/>
                <w:szCs w:val="16"/>
              </w:rPr>
              <w:t>Tanespimycin</w:t>
            </w:r>
            <w:proofErr w:type="spellEnd"/>
            <w:r w:rsidRPr="00551A8E">
              <w:rPr>
                <w:rFonts w:ascii="Times New Roman" w:hAnsi="Times New Roman" w:cs="Times New Roman"/>
                <w:color w:val="auto"/>
                <w:sz w:val="16"/>
                <w:szCs w:val="16"/>
              </w:rPr>
              <w:t xml:space="preserve"> is in Phase III clinical trial for multiple myeloma treatment (NCT00546780)</w:t>
            </w:r>
          </w:p>
        </w:tc>
      </w:tr>
      <w:tr w:rsidR="005F50F1" w:rsidRPr="00551A8E" w14:paraId="48239DC6" w14:textId="77777777" w:rsidTr="003B1479">
        <w:trPr>
          <w:trHeight w:val="34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4AE2E305"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Letrozole</w:t>
            </w:r>
          </w:p>
        </w:tc>
        <w:tc>
          <w:tcPr>
            <w:tcW w:w="810" w:type="dxa"/>
            <w:noWrap/>
            <w:hideMark/>
          </w:tcPr>
          <w:p w14:paraId="7D2C1C1E"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17</w:t>
            </w:r>
          </w:p>
        </w:tc>
        <w:tc>
          <w:tcPr>
            <w:tcW w:w="1080" w:type="dxa"/>
            <w:noWrap/>
            <w:hideMark/>
          </w:tcPr>
          <w:p w14:paraId="203F9AEB"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4</w:t>
            </w:r>
          </w:p>
        </w:tc>
        <w:tc>
          <w:tcPr>
            <w:tcW w:w="6078" w:type="dxa"/>
            <w:noWrap/>
            <w:hideMark/>
          </w:tcPr>
          <w:p w14:paraId="4326F220"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First-line treatment for breast cancer</w:t>
            </w:r>
          </w:p>
        </w:tc>
      </w:tr>
      <w:tr w:rsidR="005F50F1" w:rsidRPr="00551A8E" w14:paraId="01D1154F" w14:textId="77777777" w:rsidTr="003B1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1968A134" w14:textId="77777777" w:rsidR="005F50F1" w:rsidRPr="00551A8E" w:rsidRDefault="005F50F1" w:rsidP="003B1479">
            <w:pPr>
              <w:spacing w:before="120"/>
              <w:jc w:val="both"/>
              <w:rPr>
                <w:rFonts w:ascii="Times New Roman" w:hAnsi="Times New Roman" w:cs="Times New Roman"/>
                <w:color w:val="auto"/>
                <w:sz w:val="20"/>
                <w:szCs w:val="20"/>
              </w:rPr>
            </w:pPr>
            <w:proofErr w:type="spellStart"/>
            <w:r w:rsidRPr="00551A8E">
              <w:rPr>
                <w:rFonts w:ascii="Times New Roman" w:hAnsi="Times New Roman" w:cs="Times New Roman"/>
                <w:color w:val="auto"/>
                <w:sz w:val="20"/>
                <w:szCs w:val="20"/>
              </w:rPr>
              <w:t>Reversine</w:t>
            </w:r>
            <w:proofErr w:type="spellEnd"/>
          </w:p>
        </w:tc>
        <w:tc>
          <w:tcPr>
            <w:tcW w:w="810" w:type="dxa"/>
            <w:noWrap/>
            <w:hideMark/>
          </w:tcPr>
          <w:p w14:paraId="5DFD0D6C"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15</w:t>
            </w:r>
          </w:p>
        </w:tc>
        <w:tc>
          <w:tcPr>
            <w:tcW w:w="1080" w:type="dxa"/>
            <w:noWrap/>
            <w:hideMark/>
          </w:tcPr>
          <w:p w14:paraId="4FF8D7A7"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5</w:t>
            </w:r>
          </w:p>
        </w:tc>
        <w:tc>
          <w:tcPr>
            <w:tcW w:w="6078" w:type="dxa"/>
            <w:noWrap/>
            <w:hideMark/>
          </w:tcPr>
          <w:p w14:paraId="1875FF55" w14:textId="09F242F0" w:rsidR="005F50F1" w:rsidRPr="00551A8E" w:rsidRDefault="005F50F1" w:rsidP="00416C1B">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proofErr w:type="spellStart"/>
            <w:r w:rsidRPr="00551A8E">
              <w:rPr>
                <w:rFonts w:ascii="Times New Roman" w:hAnsi="Times New Roman" w:cs="Times New Roman"/>
                <w:color w:val="auto"/>
                <w:sz w:val="16"/>
                <w:szCs w:val="16"/>
              </w:rPr>
              <w:t>Reversine</w:t>
            </w:r>
            <w:proofErr w:type="spellEnd"/>
            <w:r w:rsidRPr="00551A8E">
              <w:rPr>
                <w:rFonts w:ascii="Times New Roman" w:hAnsi="Times New Roman" w:cs="Times New Roman"/>
                <w:color w:val="auto"/>
                <w:sz w:val="16"/>
                <w:szCs w:val="16"/>
              </w:rPr>
              <w:t xml:space="preserve"> inhibit osteoblast formation, inhibit apoptosis, </w:t>
            </w:r>
            <w:r w:rsidR="00BA6078" w:rsidRPr="00551A8E">
              <w:rPr>
                <w:rFonts w:ascii="Times New Roman" w:hAnsi="Times New Roman" w:cs="Times New Roman"/>
                <w:color w:val="auto"/>
                <w:sz w:val="16"/>
                <w:szCs w:val="16"/>
              </w:rPr>
              <w:t>and inhibit</w:t>
            </w:r>
            <w:r w:rsidRPr="00551A8E">
              <w:rPr>
                <w:rFonts w:ascii="Times New Roman" w:hAnsi="Times New Roman" w:cs="Times New Roman"/>
                <w:color w:val="auto"/>
                <w:sz w:val="16"/>
                <w:szCs w:val="16"/>
              </w:rPr>
              <w:t xml:space="preserve"> acute myeloid leukemia cells. </w:t>
            </w:r>
            <w:r w:rsidRPr="00551A8E">
              <w:rPr>
                <w:rFonts w:ascii="Times New Roman" w:hAnsi="Times New Roman" w:cs="Times New Roman"/>
                <w:sz w:val="16"/>
                <w:szCs w:val="16"/>
              </w:rPr>
              <w:fldChar w:fldCharType="begin"/>
            </w:r>
            <w:r w:rsidR="00310B91" w:rsidRPr="00551A8E">
              <w:rPr>
                <w:rFonts w:ascii="Times New Roman" w:hAnsi="Times New Roman" w:cs="Times New Roman"/>
                <w:sz w:val="16"/>
                <w:szCs w:val="16"/>
              </w:rPr>
              <w:instrText xml:space="preserve"> ADDIN EN.CITE &lt;EndNote&gt;&lt;Cite&gt;&lt;Author&gt;Alise&lt;/Author&gt;&lt;Year&gt;2008&lt;/Year&gt;&lt;RecNum&gt;62&lt;/RecNum&gt;&lt;DisplayText&gt;(38)&lt;/DisplayText&gt;&lt;record&gt;&lt;rec-number&gt;62&lt;/rec-number&gt;&lt;foreign-keys&gt;&lt;key app="EN" db-id="9sxvtsa9azp05xetzd2xw0x3eraaaz5p5zzr" timestamp="1534605283"&gt;62&lt;/key&gt;&lt;/foreign-keys&gt;&lt;ref-type name="Journal Article"&gt;17&lt;/ref-type&gt;&lt;contributors&gt;&lt;authors&gt;&lt;author&gt;Alise, Anna Morena&lt;/author&gt;&lt;author&gt;Amabile, Giovanni&lt;/author&gt;&lt;author&gt;Iovino, Mariangela&lt;/author&gt;&lt;author&gt;Di Giorgio, Francesco Paolo&lt;/author&gt;&lt;author&gt;Bartiromo, Marta&lt;/author&gt;&lt;author&gt;Sessa, Fabio&lt;/author&gt;&lt;author&gt;Villa, Fabrizio&lt;/author&gt;&lt;author&gt;Musacchio, Andrea&lt;/author&gt;&lt;author&gt;Cortese, Riccardo&lt;/author&gt;&lt;/authors&gt;&lt;/contributors&gt;&lt;titles&gt;&lt;title&gt;Reversine, a novel Aurora kinases inhibitor, inhibits colony formation of human acute myeloid leukemia cells&lt;/title&gt;&lt;secondary-title&gt;Molecular Cancer Therapeutics&lt;/secondary-title&gt;&lt;/titles&gt;&lt;periodical&gt;&lt;full-title&gt;Molecular Cancer Therapeutics&lt;/full-title&gt;&lt;/periodical&gt;&lt;pages&gt;1140&lt;/pages&gt;&lt;volume&gt;7&lt;/volume&gt;&lt;number&gt;5&lt;/number&gt;&lt;dates&gt;&lt;year&gt;2008&lt;/year&gt;&lt;/dates&gt;&lt;work-type&gt;10.1158/1535-7163.MCT-07-2051&lt;/work-type&gt;&lt;urls&gt;&lt;related-urls&gt;&lt;url&gt;http://mct.aacrjournals.org/content/7/5/1140.abstract&lt;/url&gt;&lt;/related-urls&gt;&lt;/urls&gt;&lt;/record&gt;&lt;/Cite&gt;&lt;/EndNote&gt;</w:instrText>
            </w:r>
            <w:r w:rsidRPr="00551A8E">
              <w:rPr>
                <w:rFonts w:ascii="Times New Roman" w:hAnsi="Times New Roman" w:cs="Times New Roman"/>
                <w:sz w:val="16"/>
                <w:szCs w:val="16"/>
              </w:rPr>
              <w:fldChar w:fldCharType="separate"/>
            </w:r>
            <w:r w:rsidR="00310B91" w:rsidRPr="00551A8E">
              <w:rPr>
                <w:rFonts w:ascii="Times New Roman" w:hAnsi="Times New Roman" w:cs="Times New Roman"/>
                <w:noProof/>
                <w:sz w:val="16"/>
                <w:szCs w:val="16"/>
              </w:rPr>
              <w:t>(38)</w:t>
            </w:r>
            <w:r w:rsidRPr="00551A8E">
              <w:rPr>
                <w:rFonts w:ascii="Times New Roman" w:hAnsi="Times New Roman" w:cs="Times New Roman"/>
                <w:sz w:val="16"/>
                <w:szCs w:val="16"/>
              </w:rPr>
              <w:fldChar w:fldCharType="end"/>
            </w:r>
          </w:p>
        </w:tc>
      </w:tr>
      <w:tr w:rsidR="005F50F1" w:rsidRPr="00551A8E" w14:paraId="71CF7C40" w14:textId="77777777" w:rsidTr="003B1479">
        <w:trPr>
          <w:trHeight w:val="187"/>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4D2B185E"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Clobetasol</w:t>
            </w:r>
          </w:p>
        </w:tc>
        <w:tc>
          <w:tcPr>
            <w:tcW w:w="810" w:type="dxa"/>
            <w:noWrap/>
            <w:hideMark/>
          </w:tcPr>
          <w:p w14:paraId="0952AF7C"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15</w:t>
            </w:r>
          </w:p>
        </w:tc>
        <w:tc>
          <w:tcPr>
            <w:tcW w:w="1080" w:type="dxa"/>
            <w:noWrap/>
            <w:hideMark/>
          </w:tcPr>
          <w:p w14:paraId="4422F0A7"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8</w:t>
            </w:r>
          </w:p>
        </w:tc>
        <w:tc>
          <w:tcPr>
            <w:tcW w:w="6078" w:type="dxa"/>
            <w:noWrap/>
            <w:hideMark/>
          </w:tcPr>
          <w:p w14:paraId="0B7710E3" w14:textId="48604081" w:rsidR="005F50F1" w:rsidRPr="00551A8E" w:rsidRDefault="005F50F1" w:rsidP="00416C1B">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Clobetasol treats multiple </w:t>
            </w:r>
            <w:proofErr w:type="spellStart"/>
            <w:r w:rsidRPr="00551A8E">
              <w:rPr>
                <w:rFonts w:ascii="Times New Roman" w:hAnsi="Times New Roman" w:cs="Times New Roman"/>
                <w:color w:val="auto"/>
                <w:sz w:val="16"/>
                <w:szCs w:val="16"/>
              </w:rPr>
              <w:t>myelpma</w:t>
            </w:r>
            <w:proofErr w:type="spellEnd"/>
            <w:r w:rsidRPr="00551A8E">
              <w:rPr>
                <w:rFonts w:ascii="Times New Roman" w:hAnsi="Times New Roman" w:cs="Times New Roman"/>
                <w:color w:val="auto"/>
                <w:sz w:val="16"/>
                <w:szCs w:val="16"/>
              </w:rPr>
              <w:t xml:space="preserve"> </w:t>
            </w:r>
            <w:proofErr w:type="spellStart"/>
            <w:r w:rsidRPr="00551A8E">
              <w:rPr>
                <w:rFonts w:ascii="Times New Roman" w:hAnsi="Times New Roman" w:cs="Times New Roman"/>
                <w:color w:val="auto"/>
                <w:sz w:val="16"/>
                <w:szCs w:val="16"/>
              </w:rPr>
              <w:t>combidities</w:t>
            </w:r>
            <w:proofErr w:type="spellEnd"/>
            <w:r w:rsidRPr="00551A8E">
              <w:rPr>
                <w:rFonts w:ascii="Times New Roman" w:hAnsi="Times New Roman" w:cs="Times New Roman"/>
                <w:color w:val="auto"/>
                <w:sz w:val="16"/>
                <w:szCs w:val="16"/>
              </w:rPr>
              <w:t xml:space="preserve"> such as paraneoplastic epidermolysis bullosa and remission of psoriasis after transplant. </w:t>
            </w:r>
            <w:r w:rsidRPr="00551A8E">
              <w:rPr>
                <w:rFonts w:ascii="Times New Roman" w:hAnsi="Times New Roman" w:cs="Times New Roman"/>
                <w:sz w:val="16"/>
                <w:szCs w:val="16"/>
              </w:rPr>
              <w:fldChar w:fldCharType="begin"/>
            </w:r>
            <w:r w:rsidR="00310B91" w:rsidRPr="00551A8E">
              <w:rPr>
                <w:rFonts w:ascii="Times New Roman" w:hAnsi="Times New Roman" w:cs="Times New Roman"/>
                <w:sz w:val="16"/>
                <w:szCs w:val="16"/>
              </w:rPr>
              <w:instrText xml:space="preserve"> ADDIN EN.CITE &lt;EndNote&gt;&lt;Cite&gt;&lt;Author&gt;Cadmus&lt;/Author&gt;&lt;Year&gt;2018&lt;/Year&gt;&lt;RecNum&gt;63&lt;/RecNum&gt;&lt;DisplayText&gt;(39)&lt;/DisplayText&gt;&lt;record&gt;&lt;rec-number&gt;63&lt;/rec-number&gt;&lt;foreign-keys&gt;&lt;key app="EN" db-id="9sxvtsa9azp05xetzd2xw0x3eraaaz5p5zzr" timestamp="1534606215"&gt;63&lt;/key&gt;&lt;/foreign-keys&gt;&lt;ref-type name="Journal Article"&gt;17&lt;/ref-type&gt;&lt;contributors&gt;&lt;authors&gt;&lt;author&gt;Cadmus, Simi D.&lt;/author&gt;&lt;author&gt;Pearlstein, Michelle V.&lt;/author&gt;&lt;author&gt;Pearlstein, Kevin A.&lt;/author&gt;&lt;author&gt;Googe, Paul B.&lt;/author&gt;&lt;author&gt;Jolly, Puneet S.&lt;/author&gt;&lt;/authors&gt;&lt;/contributors&gt;&lt;titles&gt;&lt;title&gt;Paraneoplastic psoriasis in a patient with prostate cancer&lt;/title&gt;&lt;secondary-title&gt;JAAD Case Reports&lt;/secondary-title&gt;&lt;/titles&gt;&lt;periodical&gt;&lt;full-title&gt;JAAD Case Reports&lt;/full-title&gt;&lt;/periodical&gt;&lt;pages&gt;220-221&lt;/pages&gt;&lt;volume&gt;4&lt;/volume&gt;&lt;number&gt;3&lt;/number&gt;&lt;dates&gt;&lt;year&gt;2018&lt;/year&gt;&lt;pub-dates&gt;&lt;date&gt;02/23&amp;#xD;02/23/pmc-release&lt;/date&gt;&lt;/pub-dates&gt;&lt;/dates&gt;&lt;publisher&gt;Elsevier&lt;/publisher&gt;&lt;isbn&gt;2352-5126&lt;/isbn&gt;&lt;accession-num&gt;PMC5909472&lt;/accession-num&gt;&lt;urls&gt;&lt;related-urls&gt;&lt;url&gt;http://www.ncbi.nlm.nih.gov/pmc/articles/PMC5909472/&lt;/url&gt;&lt;/related-urls&gt;&lt;/urls&gt;&lt;electronic-resource-num&gt;10.1016/j.jdcr.2017.09.014&lt;/electronic-resource-num&gt;&lt;remote-database-name&gt;PMC&lt;/remote-database-name&gt;&lt;/record&gt;&lt;/Cite&gt;&lt;/EndNote&gt;</w:instrText>
            </w:r>
            <w:r w:rsidRPr="00551A8E">
              <w:rPr>
                <w:rFonts w:ascii="Times New Roman" w:hAnsi="Times New Roman" w:cs="Times New Roman"/>
                <w:sz w:val="16"/>
                <w:szCs w:val="16"/>
              </w:rPr>
              <w:fldChar w:fldCharType="separate"/>
            </w:r>
            <w:r w:rsidR="00310B91" w:rsidRPr="00551A8E">
              <w:rPr>
                <w:rFonts w:ascii="Times New Roman" w:hAnsi="Times New Roman" w:cs="Times New Roman"/>
                <w:noProof/>
                <w:sz w:val="16"/>
                <w:szCs w:val="16"/>
              </w:rPr>
              <w:t>(39)</w:t>
            </w:r>
            <w:r w:rsidRPr="00551A8E">
              <w:rPr>
                <w:rFonts w:ascii="Times New Roman" w:hAnsi="Times New Roman" w:cs="Times New Roman"/>
                <w:sz w:val="16"/>
                <w:szCs w:val="16"/>
              </w:rPr>
              <w:fldChar w:fldCharType="end"/>
            </w:r>
          </w:p>
        </w:tc>
      </w:tr>
      <w:tr w:rsidR="005F50F1" w:rsidRPr="00551A8E" w14:paraId="2167A61F" w14:textId="77777777" w:rsidTr="003B1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3FDE8E66"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Clonidine</w:t>
            </w:r>
          </w:p>
        </w:tc>
        <w:tc>
          <w:tcPr>
            <w:tcW w:w="810" w:type="dxa"/>
            <w:noWrap/>
            <w:hideMark/>
          </w:tcPr>
          <w:p w14:paraId="5809AF4D"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17</w:t>
            </w:r>
          </w:p>
        </w:tc>
        <w:tc>
          <w:tcPr>
            <w:tcW w:w="1080" w:type="dxa"/>
            <w:noWrap/>
            <w:hideMark/>
          </w:tcPr>
          <w:p w14:paraId="06970B6C"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2</w:t>
            </w:r>
          </w:p>
        </w:tc>
        <w:tc>
          <w:tcPr>
            <w:tcW w:w="6078" w:type="dxa"/>
            <w:noWrap/>
            <w:hideMark/>
          </w:tcPr>
          <w:p w14:paraId="6B9DD7AB"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Autophagy inducer might </w:t>
            </w:r>
            <w:r w:rsidR="00BA6078" w:rsidRPr="00551A8E">
              <w:rPr>
                <w:rFonts w:ascii="Times New Roman" w:hAnsi="Times New Roman" w:cs="Times New Roman"/>
                <w:color w:val="auto"/>
                <w:sz w:val="16"/>
                <w:szCs w:val="16"/>
              </w:rPr>
              <w:t>be used</w:t>
            </w:r>
            <w:r w:rsidRPr="00551A8E">
              <w:rPr>
                <w:rFonts w:ascii="Times New Roman" w:hAnsi="Times New Roman" w:cs="Times New Roman"/>
                <w:color w:val="auto"/>
                <w:sz w:val="16"/>
                <w:szCs w:val="16"/>
              </w:rPr>
              <w:t xml:space="preserve"> in combination with other drugs to treat MM</w:t>
            </w:r>
          </w:p>
        </w:tc>
      </w:tr>
      <w:tr w:rsidR="005F50F1" w:rsidRPr="00551A8E" w14:paraId="54535E52" w14:textId="77777777" w:rsidTr="003B1479">
        <w:trPr>
          <w:trHeight w:val="30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205CB56D"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Clinafloxacin</w:t>
            </w:r>
          </w:p>
        </w:tc>
        <w:tc>
          <w:tcPr>
            <w:tcW w:w="810" w:type="dxa"/>
            <w:noWrap/>
            <w:hideMark/>
          </w:tcPr>
          <w:p w14:paraId="1FA8D8FD"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17</w:t>
            </w:r>
          </w:p>
        </w:tc>
        <w:tc>
          <w:tcPr>
            <w:tcW w:w="1080" w:type="dxa"/>
            <w:noWrap/>
            <w:hideMark/>
          </w:tcPr>
          <w:p w14:paraId="2B9912D7"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7</w:t>
            </w:r>
          </w:p>
        </w:tc>
        <w:tc>
          <w:tcPr>
            <w:tcW w:w="6078" w:type="dxa"/>
            <w:noWrap/>
            <w:hideMark/>
          </w:tcPr>
          <w:p w14:paraId="2A748D09" w14:textId="77777777" w:rsidR="005F50F1" w:rsidRPr="00551A8E" w:rsidRDefault="005F50F1" w:rsidP="003B1479">
            <w:pPr>
              <w:spacing w:before="12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Prevent severe infection accompanied with MM</w:t>
            </w:r>
          </w:p>
        </w:tc>
      </w:tr>
      <w:tr w:rsidR="005F50F1" w:rsidRPr="00551A8E" w14:paraId="3F838424" w14:textId="77777777" w:rsidTr="003B1479">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638" w:type="dxa"/>
            <w:gridSpan w:val="2"/>
            <w:noWrap/>
            <w:hideMark/>
          </w:tcPr>
          <w:p w14:paraId="1D5657A4" w14:textId="77777777" w:rsidR="005F50F1" w:rsidRPr="00551A8E" w:rsidRDefault="005F50F1" w:rsidP="003B1479">
            <w:pPr>
              <w:spacing w:before="120"/>
              <w:jc w:val="both"/>
              <w:rPr>
                <w:rFonts w:ascii="Times New Roman" w:hAnsi="Times New Roman" w:cs="Times New Roman"/>
                <w:color w:val="auto"/>
                <w:sz w:val="20"/>
                <w:szCs w:val="20"/>
              </w:rPr>
            </w:pPr>
            <w:r w:rsidRPr="00551A8E">
              <w:rPr>
                <w:rFonts w:ascii="Times New Roman" w:hAnsi="Times New Roman" w:cs="Times New Roman"/>
                <w:color w:val="auto"/>
                <w:sz w:val="20"/>
                <w:szCs w:val="20"/>
              </w:rPr>
              <w:t>Amphotericin B</w:t>
            </w:r>
          </w:p>
        </w:tc>
        <w:tc>
          <w:tcPr>
            <w:tcW w:w="810" w:type="dxa"/>
            <w:noWrap/>
            <w:hideMark/>
          </w:tcPr>
          <w:p w14:paraId="146CFEFB"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16</w:t>
            </w:r>
          </w:p>
        </w:tc>
        <w:tc>
          <w:tcPr>
            <w:tcW w:w="1080" w:type="dxa"/>
            <w:noWrap/>
            <w:hideMark/>
          </w:tcPr>
          <w:p w14:paraId="347E92D7" w14:textId="77777777" w:rsidR="005F50F1" w:rsidRPr="00551A8E" w:rsidRDefault="005F50F1" w:rsidP="003B1479">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2"/>
                <w:szCs w:val="22"/>
              </w:rPr>
            </w:pPr>
            <w:r w:rsidRPr="00551A8E">
              <w:rPr>
                <w:rFonts w:ascii="Times New Roman" w:hAnsi="Times New Roman" w:cs="Times New Roman"/>
                <w:color w:val="auto"/>
                <w:sz w:val="22"/>
                <w:szCs w:val="22"/>
              </w:rPr>
              <w:t>3</w:t>
            </w:r>
          </w:p>
        </w:tc>
        <w:tc>
          <w:tcPr>
            <w:tcW w:w="6078" w:type="dxa"/>
            <w:noWrap/>
            <w:hideMark/>
          </w:tcPr>
          <w:p w14:paraId="76D409A9" w14:textId="7990266B" w:rsidR="005F50F1" w:rsidRPr="00551A8E" w:rsidRDefault="005F50F1" w:rsidP="00416C1B">
            <w:pPr>
              <w:spacing w:before="12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16"/>
                <w:szCs w:val="16"/>
              </w:rPr>
            </w:pPr>
            <w:r w:rsidRPr="00551A8E">
              <w:rPr>
                <w:rFonts w:ascii="Times New Roman" w:hAnsi="Times New Roman" w:cs="Times New Roman"/>
                <w:color w:val="auto"/>
                <w:sz w:val="16"/>
                <w:szCs w:val="16"/>
              </w:rPr>
              <w:t xml:space="preserve">Invasive aspergillosis as an opportunistic infection in </w:t>
            </w:r>
            <w:proofErr w:type="spellStart"/>
            <w:r w:rsidRPr="00551A8E">
              <w:rPr>
                <w:rFonts w:ascii="Times New Roman" w:hAnsi="Times New Roman" w:cs="Times New Roman"/>
                <w:color w:val="auto"/>
                <w:sz w:val="16"/>
                <w:szCs w:val="16"/>
              </w:rPr>
              <w:t>nonallografted</w:t>
            </w:r>
            <w:proofErr w:type="spellEnd"/>
            <w:r w:rsidRPr="00551A8E">
              <w:rPr>
                <w:rFonts w:ascii="Times New Roman" w:hAnsi="Times New Roman" w:cs="Times New Roman"/>
                <w:color w:val="auto"/>
                <w:sz w:val="16"/>
                <w:szCs w:val="16"/>
              </w:rPr>
              <w:t xml:space="preserve"> patients with multiple myeloma</w:t>
            </w:r>
            <w:r w:rsidRPr="00551A8E">
              <w:rPr>
                <w:rFonts w:ascii="Times New Roman" w:eastAsia="SimSun" w:hAnsi="Times New Roman" w:cs="Times New Roman"/>
                <w:color w:val="auto"/>
                <w:sz w:val="16"/>
                <w:szCs w:val="16"/>
                <w:lang w:eastAsia="zh-CN"/>
              </w:rPr>
              <w:t>.</w:t>
            </w:r>
            <w:r w:rsidRPr="00551A8E">
              <w:rPr>
                <w:rFonts w:ascii="Times New Roman" w:hAnsi="Times New Roman" w:cs="Times New Roman"/>
                <w:color w:val="auto"/>
              </w:rPr>
              <w:t xml:space="preserve"> </w:t>
            </w:r>
            <w:r w:rsidRPr="00551A8E">
              <w:rPr>
                <w:rFonts w:ascii="Times New Roman" w:hAnsi="Times New Roman" w:cs="Times New Roman"/>
                <w:sz w:val="16"/>
                <w:szCs w:val="16"/>
              </w:rPr>
              <w:fldChar w:fldCharType="begin">
                <w:fldData xml:space="preserve">PEVuZE5vdGU+PENpdGU+PEF1dGhvcj5Mb3J0aG9sYXJ5PC9BdXRob3I+PFllYXI+MjAwMDwvWWVh
cj48UmVjTnVtPjY0PC9SZWNOdW0+PERpc3BsYXlUZXh0Pig0MCk8L0Rpc3BsYXlUZXh0PjxyZWNv
cmQ+PHJlYy1udW1iZXI+NjQ8L3JlYy1udW1iZXI+PGZvcmVpZ24ta2V5cz48a2V5IGFwcD0iRU4i
IGRiLWlkPSI5c3h2dHNhOWF6cDA1eGV0emQyeHcweDNlcmFhYXo1cDV6enIiIHRpbWVzdGFtcD0i
MTUzNDYwNjU1NiI+NjQ8L2tleT48L2ZvcmVpZ24ta2V5cz48cmVmLXR5cGUgbmFtZT0iSm91cm5h
bCBBcnRpY2xlIj4xNzwvcmVmLXR5cGU+PGNvbnRyaWJ1dG9ycz48YXV0aG9ycz48YXV0aG9yPkxv
cnRob2xhcnksIE9saXZpZXI8L2F1dGhvcj48YXV0aG9yPkV1cm9wZWFuIE9yZ2FuaXphdGlvbiBm
b3IsIFJlc2VhcmNoPC9hdXRob3I+PGF1dGhvcj5UcmVhdG1lbnQgb2YgQ2FuY2VyL0ludmFzaXZl
IEZ1bmdhbCBJbmZlY3Rpb25zIENvb3BlcmF0aXZlLCBHcm91cDwvYXV0aG9yPjxhdXRob3I+dGhl
IEludGVyZ3JvdXBlIEZyYW7Dp2FpcyBkdSwgTXnDqWxvbWU8L2F1dGhvcj48YXV0aG9yPkFzY2lv
Z2x1LCBTaWJlbDwvYXV0aG9yPjxhdXRob3I+RXVyb3BlYW4gT3JnYW5pemF0aW9uIGZvciwgUmVz
ZWFyY2g8L2F1dGhvcj48YXV0aG9yPlRyZWF0bWVudCBvZiBDYW5jZXIvSW52YXNpdmUgRnVuZ2Fs
IEluZmVjdGlvbnMgQ29vcGVyYXRpdmUsIEdyb3VwPC9hdXRob3I+PGF1dGhvcj50aGUgSW50ZXJn
cm91cGUgRnJhbsOnYWlzIGR1LCBNecOpbG9tZTwvYXV0aG9yPjxhdXRob3I+TW9yZWF1LCBQaGls
aXBwZTwvYXV0aG9yPjxhdXRob3I+RXVyb3BlYW4gT3JnYW5pemF0aW9uIGZvciwgUmVzZWFyY2g8
L2F1dGhvcj48YXV0aG9yPlRyZWF0bWVudCBvZiBDYW5jZXIvSW52YXNpdmUgRnVuZ2FsIEluZmVj
dGlvbnMgQ29vcGVyYXRpdmUsIEdyb3VwPC9hdXRob3I+PGF1dGhvcj50aGUgSW50ZXJncm91cGUg
RnJhbsOnYWlzIGR1LCBNecOpbG9tZTwvYXV0aG9yPjxhdXRob3I+SGVyYnJlY2h0LCBSYW91bDwv
YXV0aG9yPjxhdXRob3I+RXVyb3BlYW4gT3JnYW5pemF0aW9uIGZvciwgUmVzZWFyY2g8L2F1dGhv
cj48YXV0aG9yPlRyZWF0bWVudCBvZiBDYW5jZXIvSW52YXNpdmUgRnVuZ2FsIEluZmVjdGlvbnMg
Q29vcGVyYXRpdmUsIEdyb3VwPC9hdXRob3I+PGF1dGhvcj50aGUgSW50ZXJncm91cGUgRnJhbsOn
YWlzIGR1LCBNecOpbG9tZTwvYXV0aG9yPjxhdXRob3I+TWFyaW51cywgQW5uPC9hdXRob3I+PGF1
dGhvcj5FdXJvcGVhbiBPcmdhbml6YXRpb24gZm9yLCBSZXNlYXJjaDwvYXV0aG9yPjxhdXRob3I+
VHJlYXRtZW50IG9mIENhbmNlci9JbnZhc2l2ZSBGdW5nYWwgSW5mZWN0aW9ucyBDb29wZXJhdGl2
ZSwgR3JvdXA8L2F1dGhvcj48YXV0aG9yPnRoZSBJbnRlcmdyb3VwZSBGcmFuw6dhaXMgZHUsIE15
w6lsb21lPC9hdXRob3I+PGF1dGhvcj5DYXNhc3N1cywgUGhpbGlwcGU8L2F1dGhvcj48YXV0aG9y
PkV1cm9wZWFuIE9yZ2FuaXphdGlvbiBmb3IsIFJlc2VhcmNoPC9hdXRob3I+PGF1dGhvcj5UcmVh
dG1lbnQgb2YgQ2FuY2VyL0ludmFzaXZlIEZ1bmdhbCBJbmZlY3Rpb25zIENvb3BlcmF0aXZlLCBH
cm91cDwvYXV0aG9yPjxhdXRob3I+dGhlIEludGVyZ3JvdXBlIEZyYW7Dp2FpcyBkdSwgTXnDqWxv
bWU8L2F1dGhvcj48YXV0aG9yPkRlIFBhdXcsIEJlbjwvYXV0aG9yPjxhdXRob3I+RXVyb3BlYW4g
T3JnYW5pemF0aW9uIGZvciwgUmVzZWFyY2g8L2F1dGhvcj48YXV0aG9yPlRyZWF0bWVudCBvZiBD
YW5jZXIvSW52YXNpdmUgRnVuZ2FsIEluZmVjdGlvbnMgQ29vcGVyYXRpdmUsIEdyb3VwPC9hdXRo
b3I+PGF1dGhvcj50aGUgSW50ZXJncm91cGUgRnJhbsOnYWlzIGR1LCBNecOpbG9tZTwvYXV0aG9y
PjxhdXRob3I+RGVubmluZywgRGF2aWQgVy48L2F1dGhvcj48YXV0aG9yPkV1cm9wZWFuIE9yZ2Fu
aXphdGlvbiBmb3IsIFJlc2VhcmNoPC9hdXRob3I+PGF1dGhvcj5UcmVhdG1lbnQgb2YgQ2FuY2Vy
L0ludmFzaXZlIEZ1bmdhbCBJbmZlY3Rpb25zIENvb3BlcmF0aXZlLCBHcm91cDwvYXV0aG9yPjxh
dXRob3I+dGhlIEludGVyZ3JvdXBlIEZyYW7Dp2FpcyBkdSwgTXnDqWxvbWU8L2F1dGhvcj48L2F1
dGhvcnM+PC9jb250cmlidXRvcnM+PHRpdGxlcz48dGl0bGU+SW52YXNpdmUgQXNwZXJnaWxsb3Np
cyBhcyBhbiBPcHBvcnR1bmlzdGljIEluZmVjdGlvbiBpbiBOb25hbGxvZ3JhZnRlZCBQYXRpZW50
cyB3aXRoIE11bHRpcGxlIE15ZWxvbWE6IEEgRXVyb3BlYW4gT3JnYW5pemF0aW9uIGZvciBSZXNl
YXJjaCBhbmQgVHJlYXRtZW50IG9mIENhbmNlcjwvdGl0bGU+PHNlY29uZGFyeS10aXRsZT5DbGlu
aWNhbCBJbmZlY3Rpb3VzIERpc2Vhc2VzPC9zZWNvbmRhcnktdGl0bGU+PC90aXRsZXM+PHBlcmlv
ZGljYWw+PGZ1bGwtdGl0bGU+Q2xpbmljYWwgSW5mZWN0aW91cyBEaXNlYXNlczwvZnVsbC10aXRs
ZT48L3BlcmlvZGljYWw+PHBhZ2VzPjQxLTQ2PC9wYWdlcz48dm9sdW1lPjMwPC92b2x1bWU+PG51
bWJlcj4xPC9udW1iZXI+PGRhdGVzPjx5ZWFyPjIwMDA8L3llYXI+PC9kYXRlcz48aXNibj4xMDU4
LTQ4Mzg8L2lzYm4+PHVybHM+PHJlbGF0ZWQtdXJscz48dXJsPmh0dHA6Ly9keC5kb2kub3JnLzEw
LjEwODYvMzEzNTkyPC91cmw+PC9yZWxhdGVkLXVybHM+PC91cmxzPjxlbGVjdHJvbmljLXJlc291
cmNlLW51bT4xMC4xMDg2LzMxMzU5MjwvZWxlY3Ryb25pYy1yZXNvdXJjZS1udW0+PC9yZWNvcmQ+
PC9DaXRlPjwvRW5kTm90ZT4A
</w:fldData>
              </w:fldChar>
            </w:r>
            <w:r w:rsidR="00310B91" w:rsidRPr="00551A8E">
              <w:rPr>
                <w:rFonts w:ascii="Times New Roman" w:hAnsi="Times New Roman" w:cs="Times New Roman"/>
                <w:sz w:val="16"/>
                <w:szCs w:val="16"/>
              </w:rPr>
              <w:instrText xml:space="preserve"> ADDIN EN.CITE </w:instrText>
            </w:r>
            <w:r w:rsidR="00310B91" w:rsidRPr="00551A8E">
              <w:rPr>
                <w:rFonts w:ascii="Times New Roman" w:hAnsi="Times New Roman" w:cs="Times New Roman"/>
                <w:sz w:val="16"/>
                <w:szCs w:val="16"/>
              </w:rPr>
              <w:fldChar w:fldCharType="begin">
                <w:fldData xml:space="preserve">PEVuZE5vdGU+PENpdGU+PEF1dGhvcj5Mb3J0aG9sYXJ5PC9BdXRob3I+PFllYXI+MjAwMDwvWWVh
cj48UmVjTnVtPjY0PC9SZWNOdW0+PERpc3BsYXlUZXh0Pig0MCk8L0Rpc3BsYXlUZXh0PjxyZWNv
cmQ+PHJlYy1udW1iZXI+NjQ8L3JlYy1udW1iZXI+PGZvcmVpZ24ta2V5cz48a2V5IGFwcD0iRU4i
IGRiLWlkPSI5c3h2dHNhOWF6cDA1eGV0emQyeHcweDNlcmFhYXo1cDV6enIiIHRpbWVzdGFtcD0i
MTUzNDYwNjU1NiI+NjQ8L2tleT48L2ZvcmVpZ24ta2V5cz48cmVmLXR5cGUgbmFtZT0iSm91cm5h
bCBBcnRpY2xlIj4xNzwvcmVmLXR5cGU+PGNvbnRyaWJ1dG9ycz48YXV0aG9ycz48YXV0aG9yPkxv
cnRob2xhcnksIE9saXZpZXI8L2F1dGhvcj48YXV0aG9yPkV1cm9wZWFuIE9yZ2FuaXphdGlvbiBm
b3IsIFJlc2VhcmNoPC9hdXRob3I+PGF1dGhvcj5UcmVhdG1lbnQgb2YgQ2FuY2VyL0ludmFzaXZl
IEZ1bmdhbCBJbmZlY3Rpb25zIENvb3BlcmF0aXZlLCBHcm91cDwvYXV0aG9yPjxhdXRob3I+dGhl
IEludGVyZ3JvdXBlIEZyYW7Dp2FpcyBkdSwgTXnDqWxvbWU8L2F1dGhvcj48YXV0aG9yPkFzY2lv
Z2x1LCBTaWJlbDwvYXV0aG9yPjxhdXRob3I+RXVyb3BlYW4gT3JnYW5pemF0aW9uIGZvciwgUmVz
ZWFyY2g8L2F1dGhvcj48YXV0aG9yPlRyZWF0bWVudCBvZiBDYW5jZXIvSW52YXNpdmUgRnVuZ2Fs
IEluZmVjdGlvbnMgQ29vcGVyYXRpdmUsIEdyb3VwPC9hdXRob3I+PGF1dGhvcj50aGUgSW50ZXJn
cm91cGUgRnJhbsOnYWlzIGR1LCBNecOpbG9tZTwvYXV0aG9yPjxhdXRob3I+TW9yZWF1LCBQaGls
aXBwZTwvYXV0aG9yPjxhdXRob3I+RXVyb3BlYW4gT3JnYW5pemF0aW9uIGZvciwgUmVzZWFyY2g8
L2F1dGhvcj48YXV0aG9yPlRyZWF0bWVudCBvZiBDYW5jZXIvSW52YXNpdmUgRnVuZ2FsIEluZmVj
dGlvbnMgQ29vcGVyYXRpdmUsIEdyb3VwPC9hdXRob3I+PGF1dGhvcj50aGUgSW50ZXJncm91cGUg
RnJhbsOnYWlzIGR1LCBNecOpbG9tZTwvYXV0aG9yPjxhdXRob3I+SGVyYnJlY2h0LCBSYW91bDwv
YXV0aG9yPjxhdXRob3I+RXVyb3BlYW4gT3JnYW5pemF0aW9uIGZvciwgUmVzZWFyY2g8L2F1dGhv
cj48YXV0aG9yPlRyZWF0bWVudCBvZiBDYW5jZXIvSW52YXNpdmUgRnVuZ2FsIEluZmVjdGlvbnMg
Q29vcGVyYXRpdmUsIEdyb3VwPC9hdXRob3I+PGF1dGhvcj50aGUgSW50ZXJncm91cGUgRnJhbsOn
YWlzIGR1LCBNecOpbG9tZTwvYXV0aG9yPjxhdXRob3I+TWFyaW51cywgQW5uPC9hdXRob3I+PGF1
dGhvcj5FdXJvcGVhbiBPcmdhbml6YXRpb24gZm9yLCBSZXNlYXJjaDwvYXV0aG9yPjxhdXRob3I+
VHJlYXRtZW50IG9mIENhbmNlci9JbnZhc2l2ZSBGdW5nYWwgSW5mZWN0aW9ucyBDb29wZXJhdGl2
ZSwgR3JvdXA8L2F1dGhvcj48YXV0aG9yPnRoZSBJbnRlcmdyb3VwZSBGcmFuw6dhaXMgZHUsIE15
w6lsb21lPC9hdXRob3I+PGF1dGhvcj5DYXNhc3N1cywgUGhpbGlwcGU8L2F1dGhvcj48YXV0aG9y
PkV1cm9wZWFuIE9yZ2FuaXphdGlvbiBmb3IsIFJlc2VhcmNoPC9hdXRob3I+PGF1dGhvcj5UcmVh
dG1lbnQgb2YgQ2FuY2VyL0ludmFzaXZlIEZ1bmdhbCBJbmZlY3Rpb25zIENvb3BlcmF0aXZlLCBH
cm91cDwvYXV0aG9yPjxhdXRob3I+dGhlIEludGVyZ3JvdXBlIEZyYW7Dp2FpcyBkdSwgTXnDqWxv
bWU8L2F1dGhvcj48YXV0aG9yPkRlIFBhdXcsIEJlbjwvYXV0aG9yPjxhdXRob3I+RXVyb3BlYW4g
T3JnYW5pemF0aW9uIGZvciwgUmVzZWFyY2g8L2F1dGhvcj48YXV0aG9yPlRyZWF0bWVudCBvZiBD
YW5jZXIvSW52YXNpdmUgRnVuZ2FsIEluZmVjdGlvbnMgQ29vcGVyYXRpdmUsIEdyb3VwPC9hdXRo
b3I+PGF1dGhvcj50aGUgSW50ZXJncm91cGUgRnJhbsOnYWlzIGR1LCBNecOpbG9tZTwvYXV0aG9y
PjxhdXRob3I+RGVubmluZywgRGF2aWQgVy48L2F1dGhvcj48YXV0aG9yPkV1cm9wZWFuIE9yZ2Fu
aXphdGlvbiBmb3IsIFJlc2VhcmNoPC9hdXRob3I+PGF1dGhvcj5UcmVhdG1lbnQgb2YgQ2FuY2Vy
L0ludmFzaXZlIEZ1bmdhbCBJbmZlY3Rpb25zIENvb3BlcmF0aXZlLCBHcm91cDwvYXV0aG9yPjxh
dXRob3I+dGhlIEludGVyZ3JvdXBlIEZyYW7Dp2FpcyBkdSwgTXnDqWxvbWU8L2F1dGhvcj48L2F1
dGhvcnM+PC9jb250cmlidXRvcnM+PHRpdGxlcz48dGl0bGU+SW52YXNpdmUgQXNwZXJnaWxsb3Np
cyBhcyBhbiBPcHBvcnR1bmlzdGljIEluZmVjdGlvbiBpbiBOb25hbGxvZ3JhZnRlZCBQYXRpZW50
cyB3aXRoIE11bHRpcGxlIE15ZWxvbWE6IEEgRXVyb3BlYW4gT3JnYW5pemF0aW9uIGZvciBSZXNl
YXJjaCBhbmQgVHJlYXRtZW50IG9mIENhbmNlcjwvdGl0bGU+PHNlY29uZGFyeS10aXRsZT5DbGlu
aWNhbCBJbmZlY3Rpb3VzIERpc2Vhc2VzPC9zZWNvbmRhcnktdGl0bGU+PC90aXRsZXM+PHBlcmlv
ZGljYWw+PGZ1bGwtdGl0bGU+Q2xpbmljYWwgSW5mZWN0aW91cyBEaXNlYXNlczwvZnVsbC10aXRs
ZT48L3BlcmlvZGljYWw+PHBhZ2VzPjQxLTQ2PC9wYWdlcz48dm9sdW1lPjMwPC92b2x1bWU+PG51
bWJlcj4xPC9udW1iZXI+PGRhdGVzPjx5ZWFyPjIwMDA8L3llYXI+PC9kYXRlcz48aXNibj4xMDU4
LTQ4Mzg8L2lzYm4+PHVybHM+PHJlbGF0ZWQtdXJscz48dXJsPmh0dHA6Ly9keC5kb2kub3JnLzEw
LjEwODYvMzEzNTkyPC91cmw+PC9yZWxhdGVkLXVybHM+PC91cmxzPjxlbGVjdHJvbmljLXJlc291
cmNlLW51bT4xMC4xMDg2LzMxMzU5MjwvZWxlY3Ryb25pYy1yZXNvdXJjZS1udW0+PC9yZWNvcmQ+
PC9DaXRlPjwvRW5kTm90ZT4A
</w:fldData>
              </w:fldChar>
            </w:r>
            <w:r w:rsidR="00310B91" w:rsidRPr="00551A8E">
              <w:rPr>
                <w:rFonts w:ascii="Times New Roman" w:hAnsi="Times New Roman" w:cs="Times New Roman"/>
                <w:sz w:val="16"/>
                <w:szCs w:val="16"/>
              </w:rPr>
              <w:instrText xml:space="preserve"> ADDIN EN.CITE.DATA </w:instrText>
            </w:r>
            <w:r w:rsidR="00310B91" w:rsidRPr="00551A8E">
              <w:rPr>
                <w:rFonts w:ascii="Times New Roman" w:hAnsi="Times New Roman" w:cs="Times New Roman"/>
                <w:sz w:val="16"/>
                <w:szCs w:val="16"/>
              </w:rPr>
            </w:r>
            <w:r w:rsidR="00310B91" w:rsidRPr="00551A8E">
              <w:rPr>
                <w:rFonts w:ascii="Times New Roman" w:hAnsi="Times New Roman" w:cs="Times New Roman"/>
                <w:sz w:val="16"/>
                <w:szCs w:val="16"/>
              </w:rPr>
              <w:fldChar w:fldCharType="end"/>
            </w:r>
            <w:r w:rsidRPr="00551A8E">
              <w:rPr>
                <w:rFonts w:ascii="Times New Roman" w:hAnsi="Times New Roman" w:cs="Times New Roman"/>
                <w:sz w:val="16"/>
                <w:szCs w:val="16"/>
              </w:rPr>
            </w:r>
            <w:r w:rsidRPr="00551A8E">
              <w:rPr>
                <w:rFonts w:ascii="Times New Roman" w:hAnsi="Times New Roman" w:cs="Times New Roman"/>
                <w:sz w:val="16"/>
                <w:szCs w:val="16"/>
              </w:rPr>
              <w:fldChar w:fldCharType="separate"/>
            </w:r>
            <w:r w:rsidR="00310B91" w:rsidRPr="00551A8E">
              <w:rPr>
                <w:rFonts w:ascii="Times New Roman" w:hAnsi="Times New Roman" w:cs="Times New Roman"/>
                <w:noProof/>
                <w:sz w:val="16"/>
                <w:szCs w:val="16"/>
              </w:rPr>
              <w:t>(40)</w:t>
            </w:r>
            <w:r w:rsidRPr="00551A8E">
              <w:rPr>
                <w:rFonts w:ascii="Times New Roman" w:hAnsi="Times New Roman" w:cs="Times New Roman"/>
                <w:sz w:val="16"/>
                <w:szCs w:val="16"/>
              </w:rPr>
              <w:fldChar w:fldCharType="end"/>
            </w:r>
          </w:p>
        </w:tc>
      </w:tr>
    </w:tbl>
    <w:p w14:paraId="33713AB6" w14:textId="77777777" w:rsidR="005F50F1" w:rsidRPr="00551A8E" w:rsidRDefault="005F50F1">
      <w:pPr>
        <w:rPr>
          <w:rFonts w:ascii="Times New Roman" w:hAnsi="Times New Roman" w:cs="Times New Roman"/>
        </w:rPr>
      </w:pPr>
    </w:p>
    <w:p w14:paraId="44065E36" w14:textId="05B7B77A" w:rsidR="00883217" w:rsidRPr="00551A8E" w:rsidRDefault="00883217" w:rsidP="00883217">
      <w:pPr>
        <w:spacing w:before="120" w:line="480" w:lineRule="auto"/>
        <w:jc w:val="both"/>
        <w:rPr>
          <w:rFonts w:ascii="Times New Roman" w:hAnsi="Times New Roman" w:cs="Times New Roman"/>
        </w:rPr>
      </w:pPr>
      <w:r w:rsidRPr="00551A8E">
        <w:rPr>
          <w:rFonts w:ascii="Times New Roman" w:hAnsi="Times New Roman" w:cs="Times New Roman"/>
        </w:rPr>
        <w:t>Some other drugs are reported by the literature to be beneficial for MM patients or models (listed in</w:t>
      </w:r>
      <w:r w:rsidR="00551A8E" w:rsidRPr="00551A8E">
        <w:rPr>
          <w:rFonts w:ascii="Times New Roman" w:hAnsi="Times New Roman" w:cs="Times New Roman"/>
        </w:rPr>
        <w:t xml:space="preserve"> </w:t>
      </w:r>
      <w:r w:rsidR="00551A8E" w:rsidRPr="00551A8E">
        <w:rPr>
          <w:rFonts w:ascii="Times New Roman" w:hAnsi="Times New Roman" w:cs="Times New Roman"/>
          <w:b/>
          <w:bCs/>
        </w:rPr>
        <w:t>Supplementary</w:t>
      </w:r>
      <w:r w:rsidRPr="00551A8E">
        <w:rPr>
          <w:rFonts w:ascii="Times New Roman" w:hAnsi="Times New Roman" w:cs="Times New Roman"/>
        </w:rPr>
        <w:t xml:space="preserve"> </w:t>
      </w:r>
      <w:r w:rsidRPr="00551A8E">
        <w:rPr>
          <w:rFonts w:ascii="Times New Roman" w:hAnsi="Times New Roman" w:cs="Times New Roman"/>
          <w:b/>
        </w:rPr>
        <w:t xml:space="preserve">Table </w:t>
      </w:r>
      <w:r w:rsidR="00551A8E" w:rsidRPr="00551A8E">
        <w:rPr>
          <w:rFonts w:ascii="Times New Roman" w:hAnsi="Times New Roman" w:cs="Times New Roman"/>
          <w:b/>
        </w:rPr>
        <w:t>3</w:t>
      </w:r>
      <w:r w:rsidRPr="00551A8E">
        <w:rPr>
          <w:rFonts w:ascii="Times New Roman" w:hAnsi="Times New Roman" w:cs="Times New Roman"/>
        </w:rPr>
        <w:t>). Chronic lymphocytic leukemia (CLL) cells tend to develop certain mitochondrial abnormalities, which are related with reduced apoptosis and impaired sensitivity to fludarabine, a first line medication for CLL. Carew JS et al. reported CLL and MM cells are highly sensitive to Brefeldin A, a transport inhibitor for endoplasmic reticulum (ER) to Golgi protein currently being used as an antitumor medication in a prodrug form. It is noteworthy that Brefeldin A can effectively induce Golgi collapse and apoptosis in fludarabine-refractory CLL cells and eventually lead to cell death. So Brefeldin A might be used to treat drug resistant CLL and MM</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&lt;EndNote&gt;&lt;Cite&gt;&lt;Author&gt;Carew&lt;/Author&gt;&lt;Year&gt;2006&lt;/Year&gt;&lt;RecNum&gt;39&lt;/RecNum&gt;&lt;DisplayText&gt;[22]&lt;/DisplayText&gt;&lt;record&gt;&lt;rec-number&gt;39&lt;/rec-number&gt;&lt;foreign-keys&gt;&lt;key app="EN" db-id="9sxvtsa9azp05xetzd2xw0x3eraaaz5p5zzr" timestamp="1534601230"&gt;39&lt;/key&gt;&lt;/foreign-keys&gt;&lt;ref-type name="Journal Article"&gt;17&lt;/ref-type&gt;&lt;contributors&gt;&lt;authors&gt;&lt;author&gt;Carew, Jennifer S.&lt;/author&gt;&lt;author&gt;Nawrocki, Steffan T.&lt;/author&gt;&lt;author&gt;Krupnik, Yelena V.&lt;/author&gt;&lt;author&gt;Dunner, Kenneth&lt;/author&gt;&lt;author&gt;McConkey, David J.&lt;/author&gt;&lt;author&gt;Keating, Michael J.&lt;/author&gt;&lt;author&gt;Huang, Peng&lt;/author&gt;&lt;/authors&gt;&lt;/contributors&gt;&lt;titles&gt;&lt;title&gt;Targeting endoplasmic reticulum protein transport: a novel strategy to kill malignant B cells and overcome fludarabine resistance in CLL&lt;/title&gt;&lt;secondary-title&gt;Blood&lt;/secondary-title&gt;&lt;/titles&gt;&lt;periodical&gt;&lt;full-title&gt;Blood&lt;/full-title&gt;&lt;/periodical&gt;&lt;pages&gt;222-231&lt;/pages&gt;&lt;volume&gt;107&lt;/volume&gt;&lt;number&gt;1&lt;/number&gt;&lt;dates&gt;&lt;year&gt;2006&lt;/year&gt;&lt;pub-dates&gt;&lt;date&gt;05/11/received&amp;#xD;08/21/accepted&lt;/date&gt;&lt;/pub-dates&gt;&lt;/dates&gt;&lt;publisher&gt;© 2006 by The American Society of Hematology&lt;/publisher&gt;&lt;isbn&gt;0006-4971&amp;#xD;1528-0020&lt;/isbn&gt;&lt;accession-num&gt;PMC1895341&lt;/accession-num&gt;&lt;urls&gt;&lt;related-urls&gt;&lt;url&gt;http://www.ncbi.nlm.nih.gov/pmc/articles/PMC1895341/&lt;/url&gt;&lt;/related-urls&gt;&lt;/urls&gt;&lt;electronic-resource-num&gt;10.1182/blood-2005-05-1923&lt;/electronic-resource-num&gt;&lt;remote-database-name&gt;PMC&lt;/remote-database-name&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[22]</w:t>
      </w:r>
      <w:r w:rsidRPr="00551A8E">
        <w:rPr>
          <w:rFonts w:ascii="Times New Roman" w:hAnsi="Times New Roman" w:cs="Times New Roman"/>
        </w:rPr>
        <w:fldChar w:fldCharType="end"/>
      </w:r>
      <w:r w:rsidRPr="00551A8E">
        <w:rPr>
          <w:rFonts w:ascii="Times New Roman" w:hAnsi="Times New Roman" w:cs="Times New Roman"/>
        </w:rPr>
        <w:t xml:space="preserve">.  Bafilomycin A is a specific inhibitor of vacuolar </w:t>
      </w:r>
      <w:r w:rsidRPr="00551A8E">
        <w:rPr>
          <w:rFonts w:ascii="Times New Roman" w:hAnsi="Times New Roman" w:cs="Times New Roman"/>
        </w:rPr>
        <w:lastRenderedPageBreak/>
        <w:t>type H</w:t>
      </w:r>
      <w:r w:rsidRPr="00551A8E">
        <w:rPr>
          <w:rFonts w:ascii="Times New Roman" w:hAnsi="Times New Roman" w:cs="Times New Roman"/>
          <w:vertAlign w:val="superscript"/>
        </w:rPr>
        <w:t>+</w:t>
      </w:r>
      <w:r w:rsidRPr="00551A8E">
        <w:rPr>
          <w:rFonts w:ascii="Times New Roman" w:hAnsi="Times New Roman" w:cs="Times New Roman"/>
        </w:rPr>
        <w:t xml:space="preserve">-ATPase that interferes in the fusion of autophagosomes with lysosomes, and inhibits the late stage of autophagy. Bafilomycin A was shown to induce apoptosis and inhibit cell growth and proliferation by blocking </w:t>
      </w:r>
      <w:proofErr w:type="spellStart"/>
      <w:r w:rsidRPr="00551A8E">
        <w:rPr>
          <w:rFonts w:ascii="Times New Roman" w:hAnsi="Times New Roman" w:cs="Times New Roman"/>
        </w:rPr>
        <w:t>macroautophagy</w:t>
      </w:r>
      <w:proofErr w:type="spellEnd"/>
      <w:r w:rsidRPr="00551A8E">
        <w:rPr>
          <w:rFonts w:ascii="Times New Roman" w:hAnsi="Times New Roman" w:cs="Times New Roman"/>
        </w:rPr>
        <w:t xml:space="preserve"> and MAPK signaling in colorectal cancer</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&lt;EndNote&gt;&lt;Cite&gt;&lt;Author&gt;Wu&lt;/Author&gt;&lt;Year&gt;2009&lt;/Year&gt;&lt;RecNum&gt;40&lt;/RecNum&gt;&lt;DisplayText&gt;[23]&lt;/DisplayText&gt;&lt;record&gt;&lt;rec-number&gt;40&lt;/rec-number&gt;&lt;foreign-keys&gt;&lt;key app="EN" db-id="9sxvtsa9azp05xetzd2xw0x3eraaaz5p5zzr" timestamp="1534601230"&gt;40&lt;/key&gt;&lt;/foreign-keys&gt;&lt;ref-type name="Journal Article"&gt;17&lt;/ref-type&gt;&lt;contributors&gt;&lt;authors&gt;&lt;author&gt;Wu, Ya Chun&lt;/author&gt;&lt;author&gt;Wu, William Ka Kei&lt;/author&gt;&lt;author&gt;Li, Youming&lt;/author&gt;&lt;author&gt;Yu, Le&lt;/author&gt;&lt;author&gt;Li, Zhi Jie&lt;/author&gt;&lt;author&gt;Wong, Clover Ching Man&lt;/author&gt;&lt;author&gt;Li, Hai Tao&lt;/author&gt;&lt;author&gt;Sung, Joseph Jao Yiu&lt;/author&gt;&lt;author&gt;Cho, Chi Hin&lt;/author&gt;&lt;/authors&gt;&lt;/contributors&gt;&lt;titles&gt;&lt;title&gt;Inhibition of macroautophagy by bafilomycin A1 lowers proliferation and induces apoptosis in colon cancer cells&lt;/title&gt;&lt;secondary-title&gt;Biochemical and Biophysical Research Communications&lt;/secondary-title&gt;&lt;/titles&gt;&lt;periodical&gt;&lt;full-title&gt;Biochemical and Biophysical Research Communications&lt;/full-title&gt;&lt;/periodical&gt;&lt;pages&gt;451-456&lt;/pages&gt;&lt;volume&gt;382&lt;/volume&gt;&lt;number&gt;2&lt;/number&gt;&lt;keywords&gt;&lt;keyword&gt;Bafilomycin A1&lt;/keyword&gt;&lt;keyword&gt;Macroautophagy&lt;/keyword&gt;&lt;keyword&gt;Proliferation&lt;/keyword&gt;&lt;keyword&gt;Colon cancer&lt;/keyword&gt;&lt;/keywords&gt;&lt;dates&gt;&lt;year&gt;2009&lt;/year&gt;&lt;pub-dates&gt;&lt;date&gt;5/1/&lt;/date&gt;&lt;/pub-dates&gt;&lt;/dates&gt;&lt;isbn&gt;0006-291X&lt;/isbn&gt;&lt;urls&gt;&lt;related-urls&gt;&lt;url&gt;http://www.sciencedirect.com/science/article/pii/S0006291X09005166&lt;/url&gt;&lt;/related-urls&gt;&lt;/urls&gt;&lt;electronic-resource-num&gt;https://doi.org/10.1016/j.bbrc.2009.03.051&lt;/electronic-resource-num&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[23]</w:t>
      </w:r>
      <w:r w:rsidRPr="00551A8E">
        <w:rPr>
          <w:rFonts w:ascii="Times New Roman" w:hAnsi="Times New Roman" w:cs="Times New Roman"/>
        </w:rPr>
        <w:fldChar w:fldCharType="end"/>
      </w:r>
      <w:r w:rsidRPr="00551A8E">
        <w:rPr>
          <w:rFonts w:ascii="Times New Roman" w:hAnsi="Times New Roman" w:cs="Times New Roman"/>
        </w:rPr>
        <w:t>, ovarian cancer</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&lt;EndNote&gt;&lt;Cite&gt;&lt;Author&gt;Lu&lt;/Author&gt;&lt;Year&gt;2015&lt;/Year&gt;&lt;RecNum&gt;41&lt;/RecNum&gt;&lt;DisplayText&gt;[24]&lt;/DisplayText&gt;&lt;record&gt;&lt;rec-number&gt;41&lt;/rec-number&gt;&lt;foreign-keys&gt;&lt;key app="EN" db-id="9sxvtsa9azp05xetzd2xw0x3eraaaz5p5zzr" timestamp="1534601230"&gt;41&lt;/key&gt;&lt;/foreign-keys&gt;&lt;ref-type name="Journal Article"&gt;17&lt;/ref-type&gt;&lt;contributors&gt;&lt;authors&gt;&lt;author&gt;Lu, Xiaodong&lt;/author&gt;&lt;author&gt;Chen, Lufang&lt;/author&gt;&lt;author&gt;Chen, Yuanyuan&lt;/author&gt;&lt;author&gt;Shao, Qixiang&lt;/author&gt;&lt;author&gt;Qin, Wenxin&lt;/author&gt;&lt;/authors&gt;&lt;/contributors&gt;&lt;titles&gt;&lt;title&gt;Bafilomycin A1 inhibits the growth and metastatic potential of the BEL-7402 liver cancer and HO-8910 ovarian cancer cell lines and induces alterations in their microRNA expression&lt;/title&gt;&lt;secondary-title&gt;Experimental and Therapeutic Medicine&lt;/secondary-title&gt;&lt;/titles&gt;&lt;periodical&gt;&lt;full-title&gt;Experimental and Therapeutic Medicine&lt;/full-title&gt;&lt;/periodical&gt;&lt;pages&gt;1829-1834&lt;/pages&gt;&lt;volume&gt;10&lt;/volume&gt;&lt;number&gt;5&lt;/number&gt;&lt;dates&gt;&lt;year&gt;2015&lt;/year&gt;&lt;pub-dates&gt;&lt;date&gt;09/22&amp;#xD;10/09/received&amp;#xD;09/01/accepted&lt;/date&gt;&lt;/pub-dates&gt;&lt;/dates&gt;&lt;publisher&gt;D.A. Spandidos&lt;/publisher&gt;&lt;isbn&gt;1792-0981&amp;#xD;1792-1015&lt;/isbn&gt;&lt;accession-num&gt;PMC4665926&lt;/accession-num&gt;&lt;urls&gt;&lt;related-urls&gt;&lt;url&gt;http://www.ncbi.nlm.nih.gov/pmc/articles/PMC4665926/&lt;/url&gt;&lt;/related-urls&gt;&lt;/urls&gt;&lt;electronic-resource-num&gt;10.3892/etm.2015.2758&lt;/electronic-resource-num&gt;&lt;remote-database-name&gt;PMC&lt;/remote-database-name&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[24]</w:t>
      </w:r>
      <w:r w:rsidRPr="00551A8E">
        <w:rPr>
          <w:rFonts w:ascii="Times New Roman" w:hAnsi="Times New Roman" w:cs="Times New Roman"/>
        </w:rPr>
        <w:fldChar w:fldCharType="end"/>
      </w:r>
      <w:r w:rsidRPr="00551A8E">
        <w:rPr>
          <w:rFonts w:ascii="Times New Roman" w:hAnsi="Times New Roman" w:cs="Times New Roman"/>
        </w:rPr>
        <w:t>, liver cancer, pancreatic cancer</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&lt;EndNote&gt;&lt;Cite&gt;&lt;Author&gt;Ohta&lt;/Author&gt;&lt;Year&gt;1998&lt;/Year&gt;&lt;RecNum&gt;42&lt;/RecNum&gt;&lt;DisplayText&gt;[25]&lt;/DisplayText&gt;&lt;record&gt;&lt;rec-number&gt;42&lt;/rec-number&gt;&lt;foreign-keys&gt;&lt;key app="EN" db-id="9sxvtsa9azp05xetzd2xw0x3eraaaz5p5zzr" timestamp="1534601230"&gt;42&lt;/key&gt;&lt;/foreign-keys&gt;&lt;ref-type name="Journal Article"&gt;17&lt;/ref-type&gt;&lt;contributors&gt;&lt;authors&gt;&lt;author&gt;Ohta, Tetsuo&lt;/author&gt;&lt;author&gt;Arakawa, Hajime&lt;/author&gt;&lt;author&gt;Futagami, Fumio&lt;/author&gt;&lt;author&gt;Fushida, Sachio&lt;/author&gt;&lt;author&gt;Kitagawa, Hirohisa&lt;/author&gt;&lt;author&gt;Kayahara, Masato&lt;/author&gt;&lt;author&gt;Nagakawa, Takukazu&lt;/author&gt;&lt;author&gt;Miwa, Koichi&lt;/author&gt;&lt;author&gt;Kurashima, Kazuyoshi&lt;/author&gt;&lt;author&gt;Numata, Masayuki&lt;/author&gt;&lt;/authors&gt;&lt;/contributors&gt;&lt;titles&gt;&lt;title&gt;Bafilomycin A1 induces apoptosis in the human pancreatic cancer cell line Capan‐1&lt;/title&gt;&lt;secondary-title&gt;The Journal of pathology&lt;/secondary-title&gt;&lt;/titles&gt;&lt;periodical&gt;&lt;full-title&gt;The Journal of pathology&lt;/full-title&gt;&lt;/periodical&gt;&lt;pages&gt;324-330&lt;/pages&gt;&lt;volume&gt;185&lt;/volume&gt;&lt;number&gt;3&lt;/number&gt;&lt;dates&gt;&lt;year&gt;1998&lt;/year&gt;&lt;/dates&gt;&lt;isbn&gt;1096-9896&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[25]</w:t>
      </w:r>
      <w:r w:rsidRPr="00551A8E">
        <w:rPr>
          <w:rFonts w:ascii="Times New Roman" w:hAnsi="Times New Roman" w:cs="Times New Roman"/>
        </w:rPr>
        <w:fldChar w:fldCharType="end"/>
      </w:r>
      <w:r w:rsidRPr="00551A8E">
        <w:rPr>
          <w:rFonts w:ascii="Times New Roman" w:hAnsi="Times New Roman" w:cs="Times New Roman"/>
        </w:rPr>
        <w:t>, gastric cancer</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&lt;EndNote&gt;&lt;Cite&gt;&lt;Author&gt;Li&lt;/Author&gt;&lt;Year&gt;2016&lt;/Year&gt;&lt;RecNum&gt;43&lt;/RecNum&gt;&lt;DisplayText&gt;[26]&lt;/DisplayText&gt;&lt;record&gt;&lt;rec-number&gt;43&lt;/rec-number&gt;&lt;foreign-keys&gt;&lt;key app="EN" db-id="9sxvtsa9azp05xetzd2xw0x3eraaaz5p5zzr" timestamp="1534601230"&gt;43&lt;/key&gt;&lt;/foreign-keys&gt;&lt;ref-type name="Journal Article"&gt;17&lt;/ref-type&gt;&lt;contributors&gt;&lt;authors&gt;&lt;author&gt;Li, Liang-qing&lt;/author&gt;&lt;author&gt;Xie, Wen-jun&lt;/author&gt;&lt;author&gt;Pan, Dun&lt;/author&gt;&lt;author&gt;Chen, Hui&lt;/author&gt;&lt;author&gt;Zhang, Lin&lt;/author&gt;&lt;/authors&gt;&lt;/contributors&gt;&lt;titles&gt;&lt;title&gt;Inhibition of autophagy by bafilomycin A1 promotes chemosensitivity of gastric cancer cells&lt;/title&gt;&lt;secondary-title&gt;Tumor Biology&lt;/secondary-title&gt;&lt;/titles&gt;&lt;periodical&gt;&lt;full-title&gt;Tumor Biology&lt;/full-title&gt;&lt;/periodical&gt;&lt;pages&gt;653-659&lt;/pages&gt;&lt;volume&gt;37&lt;/volume&gt;&lt;number&gt;1&lt;/number&gt;&lt;dates&gt;&lt;year&gt;2016&lt;/year&gt;&lt;pub-dates&gt;&lt;date&gt;2016/01/01&lt;/date&gt;&lt;/pub-dates&gt;&lt;/dates&gt;&lt;isbn&gt;1423-0380&lt;/isbn&gt;&lt;urls&gt;&lt;related-urls&gt;&lt;url&gt;https://doi.org/10.1007/s13277-015-3842-z&lt;/url&gt;&lt;/related-urls&gt;&lt;/urls&gt;&lt;electronic-resource-num&gt;10.1007/s13277-015-3842-z&lt;/electronic-resource-num&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[26]</w:t>
      </w:r>
      <w:r w:rsidRPr="00551A8E">
        <w:rPr>
          <w:rFonts w:ascii="Times New Roman" w:hAnsi="Times New Roman" w:cs="Times New Roman"/>
        </w:rPr>
        <w:fldChar w:fldCharType="end"/>
      </w:r>
      <w:r w:rsidRPr="00551A8E">
        <w:rPr>
          <w:rFonts w:ascii="Times New Roman" w:hAnsi="Times New Roman" w:cs="Times New Roman"/>
        </w:rPr>
        <w:t>, and prostatic cancer</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&lt;EndNote&gt;&lt;Cite&gt;&lt;Author&gt;Wallen&lt;/Author&gt;&lt;Year&gt;2000&lt;/Year&gt;&lt;RecNum&gt;44&lt;/RecNum&gt;&lt;DisplayText&gt;[27]&lt;/DisplayText&gt;&lt;record&gt;&lt;rec-number&gt;44&lt;/rec-number&gt;&lt;foreign-keys&gt;&lt;key app="EN" db-id="9sxvtsa9azp05xetzd2xw0x3eraaaz5p5zzr" timestamp="1534601230"&gt;44&lt;/key&gt;&lt;/foreign-keys&gt;&lt;ref-type name="Journal Article"&gt;17&lt;/ref-type&gt;&lt;contributors&gt;&lt;authors&gt;&lt;author&gt;Wallen, Eric&lt;/author&gt;&lt;author&gt;Sellers, Robert G.&lt;/author&gt;&lt;author&gt;Peehl, Donna M.&lt;/author&gt;&lt;/authors&gt;&lt;/contributors&gt;&lt;titles&gt;&lt;title&gt;Brefeldin A induces p53-independent apoptosis in primary cultures of human prostatic cancer cells&lt;/title&gt;&lt;secondary-title&gt;The Journal of urology&lt;/secondary-title&gt;&lt;/titles&gt;&lt;periodical&gt;&lt;full-title&gt;The Journal of urology&lt;/full-title&gt;&lt;/periodical&gt;&lt;pages&gt;836-841&lt;/pages&gt;&lt;volume&gt;164&lt;/volume&gt;&lt;number&gt;3&lt;/number&gt;&lt;dates&gt;&lt;year&gt;2000&lt;/year&gt;&lt;/dates&gt;&lt;isbn&gt;0022-5347&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[27]</w:t>
      </w:r>
      <w:r w:rsidRPr="00551A8E">
        <w:rPr>
          <w:rFonts w:ascii="Times New Roman" w:hAnsi="Times New Roman" w:cs="Times New Roman"/>
        </w:rPr>
        <w:fldChar w:fldCharType="end"/>
      </w:r>
      <w:r w:rsidRPr="00551A8E">
        <w:rPr>
          <w:rFonts w:ascii="Times New Roman" w:hAnsi="Times New Roman" w:cs="Times New Roman"/>
        </w:rPr>
        <w:t>. It is also reported that the combined medication  Bortezomib and Bafilomycin A, will have a synergistic cytocidal effect and enhanced ER stress in U266 multiple myeloma cells</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&lt;EndNote&gt;&lt;Cite&gt;&lt;Author&gt;Kawaguchi&lt;/Author&gt;&lt;Year&gt;2011&lt;/Year&gt;&lt;RecNum&gt;45&lt;/RecNum&gt;&lt;DisplayText&gt;[28]&lt;/DisplayText&gt;&lt;record&gt;&lt;rec-number&gt;45&lt;/rec-number&gt;&lt;foreign-keys&gt;&lt;key app="EN" db-id="9sxvtsa9azp05xetzd2xw0x3eraaaz5p5zzr" timestamp="1534601230"&gt;45&lt;/key&gt;&lt;/foreign-keys&gt;&lt;ref-type name="Journal Article"&gt;17&lt;/ref-type&gt;&lt;contributors&gt;&lt;authors&gt;&lt;author&gt;Kawaguchi, Tomohiro&lt;/author&gt;&lt;author&gt;Miyazawa, Keisuke&lt;/author&gt;&lt;author&gt;Moriya, Shota&lt;/author&gt;&lt;author&gt;Ohtomo, Tadashi&lt;/author&gt;&lt;author&gt;Che, Xiao-Fang&lt;/author&gt;&lt;author&gt;Naito, Munekazu&lt;/author&gt;&lt;author&gt;Itoh, Masahiro&lt;/author&gt;&lt;author&gt;Tomoda, Akio&lt;/author&gt;&lt;/authors&gt;&lt;/contributors&gt;&lt;titles&gt;&lt;title&gt;Combined treatment with bortezomib plus bafilomycin A1 enhances the cytocidal effect and induces endoplasmic reticulum stress in U266 myeloma cells: crosstalk among proteasome, autophagy-lysosome and ER stress&lt;/title&gt;&lt;secondary-title&gt;International journal of oncology&lt;/secondary-title&gt;&lt;/titles&gt;&lt;periodical&gt;&lt;full-title&gt;International journal of oncology&lt;/full-title&gt;&lt;/periodical&gt;&lt;pages&gt;643-654&lt;/pages&gt;&lt;volume&gt;38&lt;/volume&gt;&lt;number&gt;3&lt;/number&gt;&lt;dates&gt;&lt;year&gt;2011&lt;/year&gt;&lt;/dates&gt;&lt;isbn&gt;1019-6439&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[28]</w:t>
      </w:r>
      <w:r w:rsidRPr="00551A8E">
        <w:rPr>
          <w:rFonts w:ascii="Times New Roman" w:hAnsi="Times New Roman" w:cs="Times New Roman"/>
        </w:rPr>
        <w:fldChar w:fldCharType="end"/>
      </w:r>
      <w:r w:rsidRPr="00551A8E">
        <w:rPr>
          <w:rFonts w:ascii="Times New Roman" w:hAnsi="Times New Roman" w:cs="Times New Roman"/>
        </w:rPr>
        <w:t>. Bortezomib, a 26S proteasome inhibitor, will induce apoptosis, NF-</w:t>
      </w:r>
      <w:proofErr w:type="spellStart"/>
      <w:r w:rsidRPr="00551A8E">
        <w:rPr>
          <w:rFonts w:ascii="Times New Roman" w:hAnsi="Times New Roman" w:cs="Times New Roman"/>
        </w:rPr>
        <w:t>κB</w:t>
      </w:r>
      <w:proofErr w:type="spellEnd"/>
      <w:r w:rsidRPr="00551A8E">
        <w:rPr>
          <w:rFonts w:ascii="Times New Roman" w:hAnsi="Times New Roman" w:cs="Times New Roman"/>
        </w:rPr>
        <w:t xml:space="preserve"> signaling, autophagy and ER stress, and eventually cell death when used alone. Combination use with Bafilomycin A will enhance its effects on cell death via autophagy-lysosome, proteasome, and ER stress</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&lt;EndNote&gt;&lt;Cite&gt;&lt;Author&gt;Kawaguchi&lt;/Author&gt;&lt;Year&gt;2011&lt;/Year&gt;&lt;RecNum&gt;45&lt;/RecNum&gt;&lt;DisplayText&gt;[28]&lt;/DisplayText&gt;&lt;record&gt;&lt;rec-number&gt;45&lt;/rec-number&gt;&lt;foreign-keys&gt;&lt;key app="EN" db-id="9sxvtsa9azp05xetzd2xw0x3eraaaz5p5zzr" timestamp="1534601230"&gt;45&lt;/key&gt;&lt;/foreign-keys&gt;&lt;ref-type name="Journal Article"&gt;17&lt;/ref-type&gt;&lt;contributors&gt;&lt;authors&gt;&lt;author&gt;Kawaguchi, Tomohiro&lt;/author&gt;&lt;author&gt;Miyazawa, Keisuke&lt;/author&gt;&lt;author&gt;Moriya, Shota&lt;/author&gt;&lt;author&gt;Ohtomo, Tadashi&lt;/author&gt;&lt;author&gt;Che, Xiao-Fang&lt;/author&gt;&lt;author&gt;Naito, Munekazu&lt;/author&gt;&lt;author&gt;Itoh, Masahiro&lt;/author&gt;&lt;author&gt;Tomoda, Akio&lt;/author&gt;&lt;/authors&gt;&lt;/contributors&gt;&lt;titles&gt;&lt;title&gt;Combined treatment with bortezomib plus bafilomycin A1 enhances the cytocidal effect and induces endoplasmic reticulum stress in U266 myeloma cells: crosstalk among proteasome, autophagy-lysosome and ER stress&lt;/title&gt;&lt;secondary-title&gt;International journal of oncology&lt;/secondary-title&gt;&lt;/titles&gt;&lt;periodical&gt;&lt;full-title&gt;International journal of oncology&lt;/full-title&gt;&lt;/periodical&gt;&lt;pages&gt;643-654&lt;/pages&gt;&lt;volume&gt;38&lt;/volume&gt;&lt;number&gt;3&lt;/number&gt;&lt;dates&gt;&lt;year&gt;2011&lt;/year&gt;&lt;/dates&gt;&lt;isbn&gt;1019-6439&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[28]</w:t>
      </w:r>
      <w:r w:rsidRPr="00551A8E">
        <w:rPr>
          <w:rFonts w:ascii="Times New Roman" w:hAnsi="Times New Roman" w:cs="Times New Roman"/>
        </w:rPr>
        <w:fldChar w:fldCharType="end"/>
      </w:r>
      <w:r w:rsidRPr="00551A8E">
        <w:rPr>
          <w:rFonts w:ascii="Times New Roman" w:hAnsi="Times New Roman" w:cs="Times New Roman"/>
        </w:rPr>
        <w:t>. Additionally, Bafilomycin A was reported to inhibit osteoclastic bone reabsorption, and is currently being developed as an anti-osteoporotic agent for patients with osteoporosis</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&lt;EndNote&gt;&lt;Cite&gt;&lt;Author&gt;Niwa&lt;/Author&gt;&lt;Year&gt;2001&lt;/Year&gt;&lt;RecNum&gt;46&lt;/RecNum&gt;&lt;DisplayText&gt;[29]&lt;/DisplayText&gt;&lt;record&gt;&lt;rec-number&gt;46&lt;/rec-number&gt;&lt;foreign-keys&gt;&lt;key app="EN" db-id="9sxvtsa9azp05xetzd2xw0x3eraaaz5p5zzr" timestamp="1534601230"&gt;46&lt;/key&gt;&lt;/foreign-keys&gt;&lt;ref-type name="Journal Article"&gt;17&lt;/ref-type&gt;&lt;contributors&gt;&lt;authors&gt;&lt;author&gt;Niwa, Satoru&lt;/author&gt;&lt;author&gt;Ishibashi, Osamu&lt;/author&gt;&lt;author&gt;Inui, Takashi&lt;/author&gt;&lt;/authors&gt;&lt;/contributors&gt;&lt;titles&gt;&lt;title&gt;Brefeldin A inhibits osteoclastic bone resorption through induction of apoptosis&lt;/title&gt;&lt;secondary-title&gt;Life sciences&lt;/secondary-title&gt;&lt;/titles&gt;&lt;periodical&gt;&lt;full-title&gt;Life sciences&lt;/full-title&gt;&lt;/periodical&gt;&lt;pages&gt;315-324&lt;/pages&gt;&lt;volume&gt;70&lt;/volume&gt;&lt;number&gt;3&lt;/number&gt;&lt;dates&gt;&lt;year&gt;2001&lt;/year&gt;&lt;/dates&gt;&lt;isbn&gt;0024-3205&lt;/isbn&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[29]</w:t>
      </w:r>
      <w:r w:rsidRPr="00551A8E">
        <w:rPr>
          <w:rFonts w:ascii="Times New Roman" w:hAnsi="Times New Roman" w:cs="Times New Roman"/>
        </w:rPr>
        <w:fldChar w:fldCharType="end"/>
      </w:r>
      <w:r w:rsidRPr="00551A8E">
        <w:rPr>
          <w:rFonts w:ascii="Times New Roman" w:hAnsi="Times New Roman" w:cs="Times New Roman"/>
        </w:rPr>
        <w:t xml:space="preserve">. </w:t>
      </w:r>
      <w:proofErr w:type="spellStart"/>
      <w:r w:rsidRPr="00551A8E">
        <w:rPr>
          <w:rFonts w:ascii="Times New Roman" w:eastAsia="Times New Roman" w:hAnsi="Times New Roman" w:cs="Times New Roman"/>
        </w:rPr>
        <w:t>Ambroxol</w:t>
      </w:r>
      <w:proofErr w:type="spellEnd"/>
      <w:r w:rsidRPr="00551A8E">
        <w:rPr>
          <w:rFonts w:ascii="Times New Roman" w:eastAsia="Times New Roman" w:hAnsi="Times New Roman" w:cs="Times New Roman"/>
        </w:rPr>
        <w:t xml:space="preserve"> was reported to have a potential to treat Parkinson’s disease, Paget's disease of the bone and other autophagy-related aging diseases</w:t>
      </w:r>
      <w:r w:rsidRPr="00551A8E">
        <w:rPr>
          <w:rFonts w:ascii="Times New Roman" w:hAnsi="Times New Roman" w:cs="Times New Roman"/>
        </w:rPr>
        <w:fldChar w:fldCharType="begin"/>
      </w:r>
      <w:r w:rsidRPr="00551A8E">
        <w:rPr>
          <w:rFonts w:ascii="Times New Roman" w:hAnsi="Times New Roman" w:cs="Times New Roman"/>
        </w:rPr>
        <w:instrText xml:space="preserve"> ADDIN EN.CITE &lt;EndNote&gt;&lt;Cite ExcludeYear="1"&gt;&lt;Author&gt;Numan&lt;/Author&gt;&lt;RecNum&gt;47&lt;/RecNum&gt;&lt;DisplayText&gt;[30]&lt;/DisplayText&gt;&lt;record&gt;&lt;rec-number&gt;47&lt;/rec-number&gt;&lt;foreign-keys&gt;&lt;key app="EN" db-id="9sxvtsa9azp05xetzd2xw0x3eraaaz5p5zzr" timestamp="1534601230"&gt;47&lt;/key&gt;&lt;/foreign-keys&gt;&lt;ref-type name="Journal Article"&gt;17&lt;/ref-type&gt;&lt;contributors&gt;&lt;authors&gt;&lt;author&gt;Numan, Mohamed&lt;/author&gt;&lt;/authors&gt;&lt;/contributors&gt;&lt;titles&gt;&lt;title&gt;Ambroxol hydrochloride, a chaperone therapy for Paget’s disease of bone and other common autophagy-mediated aging diseases?&lt;/title&gt;&lt;/titles&gt;&lt;dates&gt;&lt;/dates&gt;&lt;urls&gt;&lt;/urls&gt;&lt;/record&gt;&lt;/Cite&gt;&lt;/EndNote&gt;</w:instrText>
      </w:r>
      <w:r w:rsidRPr="00551A8E">
        <w:rPr>
          <w:rFonts w:ascii="Times New Roman" w:hAnsi="Times New Roman" w:cs="Times New Roman"/>
        </w:rPr>
        <w:fldChar w:fldCharType="separate"/>
      </w:r>
      <w:r w:rsidRPr="00551A8E">
        <w:rPr>
          <w:rFonts w:ascii="Times New Roman" w:hAnsi="Times New Roman" w:cs="Times New Roman"/>
          <w:noProof/>
        </w:rPr>
        <w:t>[30]</w:t>
      </w:r>
      <w:r w:rsidRPr="00551A8E">
        <w:rPr>
          <w:rFonts w:ascii="Times New Roman" w:hAnsi="Times New Roman" w:cs="Times New Roman"/>
        </w:rPr>
        <w:fldChar w:fldCharType="end"/>
      </w:r>
      <w:r w:rsidRPr="00551A8E">
        <w:rPr>
          <w:rFonts w:ascii="Times New Roman" w:eastAsia="Times New Roman" w:hAnsi="Times New Roman" w:cs="Times New Roman"/>
        </w:rPr>
        <w:t xml:space="preserve">. Several other antitumor agents that have a potential to be repurposed to treat MM, are also identified with negative correlations with MM gene signature, such as </w:t>
      </w:r>
      <w:r w:rsidRPr="00551A8E">
        <w:rPr>
          <w:rFonts w:ascii="Times New Roman" w:hAnsi="Times New Roman" w:cs="Times New Roman"/>
        </w:rPr>
        <w:t xml:space="preserve">GDC-0941, Geldanamycin, </w:t>
      </w:r>
      <w:r w:rsidRPr="00551A8E">
        <w:rPr>
          <w:rFonts w:ascii="Times New Roman" w:eastAsia="Times New Roman" w:hAnsi="Times New Roman" w:cs="Times New Roman"/>
        </w:rPr>
        <w:t xml:space="preserve">Letrozole, and 2-(4-morpholinoanilino)-6-cyclohexylaminopurine. </w:t>
      </w:r>
    </w:p>
    <w:p w14:paraId="19E62598" w14:textId="77777777" w:rsidR="005F50F1" w:rsidRPr="00551A8E" w:rsidRDefault="005F50F1">
      <w:pPr>
        <w:rPr>
          <w:rFonts w:ascii="Times New Roman" w:hAnsi="Times New Roman" w:cs="Times New Roman"/>
        </w:rPr>
      </w:pPr>
      <w:r w:rsidRPr="00551A8E">
        <w:rPr>
          <w:rFonts w:ascii="Times New Roman" w:hAnsi="Times New Roman" w:cs="Times New Roman"/>
        </w:rPr>
        <w:br w:type="page"/>
      </w:r>
    </w:p>
    <w:p w14:paraId="2D3D0B04" w14:textId="77777777" w:rsidR="005F50F1" w:rsidRPr="00551A8E" w:rsidRDefault="00BA6078" w:rsidP="005F50F1">
      <w:pPr>
        <w:pStyle w:val="Caption"/>
        <w:keepNext/>
        <w:jc w:val="both"/>
        <w:rPr>
          <w:rFonts w:ascii="Times New Roman" w:hAnsi="Times New Roman" w:cs="Times New Roman"/>
          <w:b w:val="0"/>
          <w:color w:val="auto"/>
          <w:sz w:val="24"/>
        </w:rPr>
      </w:pPr>
      <w:r w:rsidRPr="00551A8E">
        <w:rPr>
          <w:rFonts w:ascii="Times New Roman" w:hAnsi="Times New Roman" w:cs="Times New Roman"/>
          <w:color w:val="auto"/>
          <w:sz w:val="24"/>
        </w:rPr>
        <w:lastRenderedPageBreak/>
        <w:t>Supplement Table 2.</w:t>
      </w:r>
      <w:r w:rsidR="005F50F1" w:rsidRPr="00551A8E">
        <w:rPr>
          <w:rFonts w:ascii="Times New Roman" w:hAnsi="Times New Roman" w:cs="Times New Roman"/>
          <w:b w:val="0"/>
          <w:color w:val="auto"/>
          <w:sz w:val="24"/>
        </w:rPr>
        <w:t xml:space="preserve"> Indication classification of top 50 negative correlated drugs </w:t>
      </w:r>
    </w:p>
    <w:p w14:paraId="19DC6748" w14:textId="77777777" w:rsidR="005F50F1" w:rsidRPr="00551A8E" w:rsidRDefault="005F50F1" w:rsidP="005F50F1">
      <w:pPr>
        <w:spacing w:before="120"/>
        <w:jc w:val="both"/>
        <w:rPr>
          <w:rFonts w:ascii="Times New Roman" w:eastAsia="Times New Roman" w:hAnsi="Times New Roman" w:cs="Times New Roman"/>
        </w:rPr>
      </w:pPr>
      <w:r w:rsidRPr="00551A8E">
        <w:rPr>
          <w:rFonts w:ascii="Times New Roman" w:hAnsi="Times New Roman" w:cs="Times New Roman"/>
          <w:noProof/>
        </w:rPr>
        <w:drawing>
          <wp:inline distT="0" distB="0" distL="0" distR="0" wp14:anchorId="2AA8C412" wp14:editId="27769EBD">
            <wp:extent cx="5486400" cy="3756025"/>
            <wp:effectExtent l="0" t="0" r="25400" b="2857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856F1FD" w14:textId="77777777" w:rsidR="00964DD9" w:rsidRPr="00551A8E" w:rsidRDefault="00964DD9" w:rsidP="00964DD9">
      <w:pPr>
        <w:spacing w:before="120" w:line="480" w:lineRule="auto"/>
        <w:outlineLvl w:val="0"/>
        <w:rPr>
          <w:rFonts w:ascii="Times New Roman" w:eastAsia="Times New Roman" w:hAnsi="Times New Roman" w:cs="Times New Roman"/>
          <w:b/>
        </w:rPr>
      </w:pPr>
      <w:r w:rsidRPr="00551A8E">
        <w:rPr>
          <w:rFonts w:ascii="Times New Roman" w:eastAsia="Times New Roman" w:hAnsi="Times New Roman" w:cs="Times New Roman"/>
          <w:b/>
        </w:rPr>
        <w:t>Conclusion</w:t>
      </w:r>
    </w:p>
    <w:p w14:paraId="4A8E643B" w14:textId="46FE3807" w:rsidR="00964DD9" w:rsidRPr="00551A8E" w:rsidRDefault="00551A8E" w:rsidP="00964DD9">
      <w:pPr>
        <w:spacing w:before="120" w:line="480" w:lineRule="auto"/>
        <w:jc w:val="both"/>
        <w:rPr>
          <w:rFonts w:ascii="Times New Roman" w:eastAsia="Times New Roman" w:hAnsi="Times New Roman" w:cs="Times New Roman"/>
        </w:rPr>
      </w:pPr>
      <w:r w:rsidRPr="00551A8E">
        <w:rPr>
          <w:rFonts w:ascii="Times New Roman" w:eastAsia="Times New Roman" w:hAnsi="Times New Roman" w:cs="Times New Roman"/>
        </w:rPr>
        <w:t xml:space="preserve">As shown in </w:t>
      </w:r>
      <w:r w:rsidRPr="00551A8E">
        <w:rPr>
          <w:rFonts w:ascii="Times New Roman" w:eastAsia="Times New Roman" w:hAnsi="Times New Roman" w:cs="Times New Roman"/>
          <w:b/>
          <w:bCs/>
        </w:rPr>
        <w:t>Supplementary Table 2</w:t>
      </w:r>
      <w:r w:rsidRPr="00551A8E">
        <w:rPr>
          <w:rFonts w:ascii="Times New Roman" w:eastAsia="Times New Roman" w:hAnsi="Times New Roman" w:cs="Times New Roman"/>
        </w:rPr>
        <w:t xml:space="preserve">, </w:t>
      </w:r>
      <w:r w:rsidR="00964DD9" w:rsidRPr="00551A8E">
        <w:rPr>
          <w:rFonts w:ascii="Times New Roman" w:eastAsia="Times New Roman" w:hAnsi="Times New Roman" w:cs="Times New Roman"/>
        </w:rPr>
        <w:t xml:space="preserve">This study implemented an algorithm in </w:t>
      </w:r>
      <w:proofErr w:type="spellStart"/>
      <w:r w:rsidR="00964DD9" w:rsidRPr="00551A8E">
        <w:rPr>
          <w:rFonts w:ascii="Times New Roman" w:eastAsia="Times New Roman" w:hAnsi="Times New Roman" w:cs="Times New Roman"/>
        </w:rPr>
        <w:t>BaseSpace</w:t>
      </w:r>
      <w:proofErr w:type="spellEnd"/>
      <w:r w:rsidR="00964DD9" w:rsidRPr="00551A8E">
        <w:rPr>
          <w:rFonts w:ascii="Times New Roman" w:eastAsia="Times New Roman" w:hAnsi="Times New Roman" w:cs="Times New Roman"/>
        </w:rPr>
        <w:t xml:space="preserve"> to analyze the publicly accessible MM transcriptional data. The DEGs comparing disease and control for each dataset were identified and then combined together for 30 datasets to find the common DEGs. The common DEGs were then used to do a pathway enrichment study through </w:t>
      </w:r>
      <w:proofErr w:type="spellStart"/>
      <w:r w:rsidR="00964DD9" w:rsidRPr="00551A8E">
        <w:rPr>
          <w:rFonts w:ascii="Times New Roman" w:eastAsia="Times New Roman" w:hAnsi="Times New Roman" w:cs="Times New Roman"/>
        </w:rPr>
        <w:t>Metacore</w:t>
      </w:r>
      <w:proofErr w:type="spellEnd"/>
      <w:r w:rsidR="00964DD9" w:rsidRPr="00551A8E">
        <w:rPr>
          <w:rFonts w:ascii="Times New Roman" w:eastAsia="Times New Roman" w:hAnsi="Times New Roman" w:cs="Times New Roman"/>
        </w:rPr>
        <w:t xml:space="preserve"> to reach MM related pathways, signaling, biological processes, and diseases. We found that the common DEGs and their involved pathways are related to cell cycle, growth, proliferation, immune, infection, and inflammation, which is in accordance with the pathological mechanism of MM. Then, we used the DEGs as input to compare with the drug and gene regulation induced transcription profiles, seeking for the positively and negatively correlated gene perturbations and drug treatment. This gave us a hint to find a target for potential diagnostic and therapeutic interventions. We also made predictions about drug reposition for MM treatment based on the negatively correlated drug intervention with MM. This prediction was then validated by data mining through public </w:t>
      </w:r>
      <w:r w:rsidR="00964DD9" w:rsidRPr="00551A8E">
        <w:rPr>
          <w:rFonts w:ascii="Times New Roman" w:eastAsia="Times New Roman" w:hAnsi="Times New Roman" w:cs="Times New Roman"/>
        </w:rPr>
        <w:lastRenderedPageBreak/>
        <w:t xml:space="preserve">databases (clinical trial and </w:t>
      </w:r>
      <w:proofErr w:type="spellStart"/>
      <w:r w:rsidR="00964DD9" w:rsidRPr="00551A8E">
        <w:rPr>
          <w:rFonts w:ascii="Times New Roman" w:eastAsia="Times New Roman" w:hAnsi="Times New Roman" w:cs="Times New Roman"/>
        </w:rPr>
        <w:t>DrugBank</w:t>
      </w:r>
      <w:proofErr w:type="spellEnd"/>
      <w:r w:rsidR="00964DD9" w:rsidRPr="00551A8E">
        <w:rPr>
          <w:rFonts w:ascii="Times New Roman" w:eastAsia="Times New Roman" w:hAnsi="Times New Roman" w:cs="Times New Roman"/>
        </w:rPr>
        <w:t xml:space="preserve">), literature search, and bioassay confirmation. This study provided some novel genes among the common DEGs that might be involved in the disease process of MM. In addition, it identified several genes encoding proteins that have a potential as biomarkers, indication predictors, and therapeutic targets for MM. Moreover, this study predicted several drugs that are possible to be repurposed to treat patients with MM, and that might be useful to the subgroups of MM patients who do not have a response to currently available anti-MM agents. Furthermore, this study indicated that this meta-analysis method using </w:t>
      </w:r>
      <w:proofErr w:type="spellStart"/>
      <w:r w:rsidR="00964DD9" w:rsidRPr="00551A8E">
        <w:rPr>
          <w:rFonts w:ascii="Times New Roman" w:eastAsia="Times New Roman" w:hAnsi="Times New Roman" w:cs="Times New Roman"/>
        </w:rPr>
        <w:t>BaseSpace</w:t>
      </w:r>
      <w:proofErr w:type="spellEnd"/>
      <w:r w:rsidR="00964DD9" w:rsidRPr="00551A8E">
        <w:rPr>
          <w:rFonts w:ascii="Times New Roman" w:eastAsia="Times New Roman" w:hAnsi="Times New Roman" w:cs="Times New Roman"/>
        </w:rPr>
        <w:t xml:space="preserve"> could be effectively applied to MM, and most likely to other diseases.  </w:t>
      </w:r>
    </w:p>
    <w:p w14:paraId="3772EBEE" w14:textId="77777777" w:rsidR="00416C1B" w:rsidRPr="00551A8E" w:rsidRDefault="00416C1B">
      <w:pPr>
        <w:rPr>
          <w:rFonts w:ascii="Times New Roman" w:eastAsia="Times New Roman" w:hAnsi="Times New Roman" w:cs="Times New Roman"/>
        </w:rPr>
      </w:pPr>
    </w:p>
    <w:p w14:paraId="4ED1DAD5" w14:textId="77777777" w:rsidR="00416C1B" w:rsidRPr="00551A8E" w:rsidRDefault="00416C1B">
      <w:pPr>
        <w:rPr>
          <w:rFonts w:ascii="Times New Roman" w:eastAsia="Times New Roman" w:hAnsi="Times New Roman" w:cs="Times New Roman"/>
        </w:rPr>
      </w:pPr>
    </w:p>
    <w:p w14:paraId="53207341" w14:textId="77777777" w:rsidR="00B72B79" w:rsidRPr="00551A8E" w:rsidRDefault="00416C1B" w:rsidP="00B72B79">
      <w:pPr>
        <w:pStyle w:val="EndNoteBibliography"/>
        <w:spacing w:after="0"/>
        <w:rPr>
          <w:rFonts w:ascii="Times New Roman" w:hAnsi="Times New Roman" w:cs="Times New Roman"/>
        </w:rPr>
      </w:pPr>
      <w:r w:rsidRPr="00551A8E">
        <w:rPr>
          <w:rFonts w:ascii="Times New Roman" w:eastAsia="Times New Roman" w:hAnsi="Times New Roman" w:cs="Times New Roman"/>
        </w:rPr>
        <w:fldChar w:fldCharType="begin"/>
      </w:r>
      <w:r w:rsidRPr="00551A8E">
        <w:rPr>
          <w:rFonts w:ascii="Times New Roman" w:eastAsia="Times New Roman" w:hAnsi="Times New Roman" w:cs="Times New Roman"/>
        </w:rPr>
        <w:instrText xml:space="preserve"> ADDIN EN.REFLIST </w:instrText>
      </w:r>
      <w:r w:rsidRPr="00551A8E">
        <w:rPr>
          <w:rFonts w:ascii="Times New Roman" w:eastAsia="Times New Roman" w:hAnsi="Times New Roman" w:cs="Times New Roman"/>
        </w:rPr>
        <w:fldChar w:fldCharType="separate"/>
      </w:r>
      <w:r w:rsidR="00B72B79" w:rsidRPr="00551A8E">
        <w:rPr>
          <w:rFonts w:ascii="Times New Roman" w:hAnsi="Times New Roman" w:cs="Times New Roman"/>
        </w:rPr>
        <w:t>1.</w:t>
      </w:r>
      <w:r w:rsidR="00B72B79" w:rsidRPr="00551A8E">
        <w:rPr>
          <w:rFonts w:ascii="Times New Roman" w:hAnsi="Times New Roman" w:cs="Times New Roman"/>
        </w:rPr>
        <w:tab/>
        <w:t>Liberzon A, Subramanian A, Pinchback R, Thorvaldsdóttir H, Tamayo P, Mesirov JP. Molecular signatures database (MSigDB) 3.0. Bioinformatics. 2011;27(12):1739-40.</w:t>
      </w:r>
    </w:p>
    <w:p w14:paraId="4469713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w:t>
      </w:r>
      <w:r w:rsidRPr="00551A8E">
        <w:rPr>
          <w:rFonts w:ascii="Times New Roman" w:hAnsi="Times New Roman" w:cs="Times New Roman"/>
        </w:rPr>
        <w:tab/>
        <w:t>Consortium GO. The Gene Ontology (GO) database and informatics resource. Nucleic acids research. 2004;32(suppl 1):D258-D61.</w:t>
      </w:r>
    </w:p>
    <w:p w14:paraId="47E77EE9"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w:t>
      </w:r>
      <w:r w:rsidRPr="00551A8E">
        <w:rPr>
          <w:rFonts w:ascii="Times New Roman" w:hAnsi="Times New Roman" w:cs="Times New Roman"/>
        </w:rPr>
        <w:tab/>
        <w:t>Kupershmidt I, Su QJ, Grewal A, Sundaresh S, Halperin I, Flynn J, Shekar M, Wang H, Park J, Cui W, Wall GD, Wisotzkey R, Alag S, Akhtari S, Ronaghi M. Ontology-Based Meta-Analysis of Global Collections of High-Throughput Public Data. PLOS ONE. 2010;5(9):e13066. doi: 10.1371/journal.pone.0013066.</w:t>
      </w:r>
    </w:p>
    <w:p w14:paraId="6385DB3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4.</w:t>
      </w:r>
      <w:r w:rsidRPr="00551A8E">
        <w:rPr>
          <w:rFonts w:ascii="Times New Roman" w:hAnsi="Times New Roman" w:cs="Times New Roman"/>
        </w:rPr>
        <w:tab/>
        <w:t>Lamb J, Crawford ED, Peck D, Modell JW, Blat IC, Wrobel MJ, Lerner J, Brunet JP, Subramanian A, Ross KN, Reich M, Hieronymus H, Wei G, Armstrong SA, Haggarty SJ, Clemons PA, Wei R, Carr SA, Lander ES, Golub TR. The Connectivity Map: using gene-expression signatures to connect small molecules, genes, and disease. Science. 2006;313(5795):1929-35. doi: 10.1126/science.1132939. PubMed PMID: 17008526.</w:t>
      </w:r>
    </w:p>
    <w:p w14:paraId="27C9A96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5.</w:t>
      </w:r>
      <w:r w:rsidRPr="00551A8E">
        <w:rPr>
          <w:rFonts w:ascii="Times New Roman" w:hAnsi="Times New Roman" w:cs="Times New Roman"/>
        </w:rPr>
        <w:tab/>
        <w:t>Lamb J. The Connectivity Map: a new tool for biomedical research. Nature reviews Cancer. 2007;7(1):54-60. doi: 10.1038/nrc2044. PubMed PMID: 17186018.</w:t>
      </w:r>
    </w:p>
    <w:p w14:paraId="49EA0A17"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6.</w:t>
      </w:r>
      <w:r w:rsidRPr="00551A8E">
        <w:rPr>
          <w:rFonts w:ascii="Times New Roman" w:hAnsi="Times New Roman" w:cs="Times New Roman"/>
        </w:rPr>
        <w:tab/>
        <w:t>Ong HT, Timm MM, Greipp PR, Witzig TE, Dispenzieri A, Russell SJ, Peng K-W. Oncolytic measles virus targets high CD46 expression on multiple myeloma cells. Experimental hematology. 2006;34(6):713-20.</w:t>
      </w:r>
    </w:p>
    <w:p w14:paraId="454B9DDE"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7.</w:t>
      </w:r>
      <w:r w:rsidRPr="00551A8E">
        <w:rPr>
          <w:rFonts w:ascii="Times New Roman" w:hAnsi="Times New Roman" w:cs="Times New Roman"/>
        </w:rPr>
        <w:tab/>
        <w:t>Sherbenou DW, Aftab BT, Su Y, Behrens CR, Wiita A, Logan AC, Acosta-Alvear D, Hann BC, Walter P, Shuman MA, Wu X, Atkinson JP, Wolf JL, Martin TG, Liu B. Antibody-drug conjugate targeting CD46 eliminates multiple myeloma cells. The Journal of Clinical Investigation. 2016;126(12):4640-53. doi: 10.1172/JCI85856. PubMed PMID: PMC5127683.</w:t>
      </w:r>
    </w:p>
    <w:p w14:paraId="78F262A5"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8.</w:t>
      </w:r>
      <w:r w:rsidRPr="00551A8E">
        <w:rPr>
          <w:rFonts w:ascii="Times New Roman" w:hAnsi="Times New Roman" w:cs="Times New Roman"/>
        </w:rPr>
        <w:tab/>
        <w:t>Piazza R, Valletta S, Winkelmann N, Redaelli S, Spinelli R, Pirola A, Antolini L, Mologni L, Donadoni C, Papaemmanuil E. Recurrent SETBP1 mutations in atypical chronic myeloid leukemia. Nature genetics. 2013;45(1):18-24.</w:t>
      </w:r>
    </w:p>
    <w:p w14:paraId="0F8EB22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9.</w:t>
      </w:r>
      <w:r w:rsidRPr="00551A8E">
        <w:rPr>
          <w:rFonts w:ascii="Times New Roman" w:hAnsi="Times New Roman" w:cs="Times New Roman"/>
        </w:rPr>
        <w:tab/>
        <w:t>Sakaguchi H, Okuno Y, Muramatsu H, Yoshida K, Shiraishi Y, Takahashi M, Kon A, Sanada M, Chiba K, Tanaka H. Exome sequencing identifies secondary mutations of SETBP1 and JAK3 in juvenile myelomonocytic leukemia. Nature genetics. 2013;45(8):937-41.</w:t>
      </w:r>
    </w:p>
    <w:p w14:paraId="218383C7"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lastRenderedPageBreak/>
        <w:t>10.</w:t>
      </w:r>
      <w:r w:rsidRPr="00551A8E">
        <w:rPr>
          <w:rFonts w:ascii="Times New Roman" w:hAnsi="Times New Roman" w:cs="Times New Roman"/>
        </w:rPr>
        <w:tab/>
        <w:t>Damm F, Itzykson R, Kosmider O, Droin N, Renneville A, Chesnais V, Gelsi-Boyer V, De Botton S, Vey N, Preudhomme C. SETBP1 mutations in 658 patients with myelodysplastic syndromes, chronic myelomonocytic leukemia and secondary acute myeloid leukemias. Leukemia. 2013;27(6):1401.</w:t>
      </w:r>
    </w:p>
    <w:p w14:paraId="3445BE6E"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11.</w:t>
      </w:r>
      <w:r w:rsidRPr="00551A8E">
        <w:rPr>
          <w:rFonts w:ascii="Times New Roman" w:hAnsi="Times New Roman" w:cs="Times New Roman"/>
        </w:rPr>
        <w:tab/>
        <w:t>Laborde RR, Patnaik MM, Lasho TL, Finke CM, Hanson CA, Knudson RA, Ketterling RP, Pardanani A, Tefferi A. SETBP1 mutations in 415 patients with primary myelofibrosis or chronic myelomonocytic leukemia: independent prognostic impact in CMML. Leukemia. 2013;27(10):2100.</w:t>
      </w:r>
    </w:p>
    <w:p w14:paraId="22C95009"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12.</w:t>
      </w:r>
      <w:r w:rsidRPr="00551A8E">
        <w:rPr>
          <w:rFonts w:ascii="Times New Roman" w:hAnsi="Times New Roman" w:cs="Times New Roman"/>
        </w:rPr>
        <w:tab/>
        <w:t>Makishima H, Yoshida K, Nguyen N, Przychodzen B, Sanada M, Okuno Y, Ng KP, Gudmundsson KO, Vishwakarma BA, Jerez A. Somatic SETBP1 mutations in myeloid malignancies. Nature genetics. 2013;45(8):942-6.</w:t>
      </w:r>
    </w:p>
    <w:p w14:paraId="31DB9BE8" w14:textId="555942B1"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13.</w:t>
      </w:r>
      <w:r w:rsidRPr="00551A8E">
        <w:rPr>
          <w:rFonts w:ascii="Times New Roman" w:hAnsi="Times New Roman" w:cs="Times New Roman"/>
        </w:rPr>
        <w:tab/>
        <w:t xml:space="preserve">Furukawa M, He YJ, Borchers C, Xiong Y. Targeting of protein ubiquitination by BTB-Cullin 3-Roc1 ubiquitin ligases. Nat Cell Biol. 2003;5(11):1001-7. doi: </w:t>
      </w:r>
      <w:hyperlink r:id="rId18" w:history="1">
        <w:r w:rsidRPr="00551A8E">
          <w:rPr>
            <w:rStyle w:val="Hyperlink"/>
            <w:rFonts w:ascii="Times New Roman" w:hAnsi="Times New Roman"/>
          </w:rPr>
          <w:t>http://www.nature.com/ncb/journal/v5/n11/suppinfo/ncb1056_S1.html</w:t>
        </w:r>
      </w:hyperlink>
      <w:r w:rsidRPr="00551A8E">
        <w:rPr>
          <w:rFonts w:ascii="Times New Roman" w:hAnsi="Times New Roman" w:cs="Times New Roman"/>
        </w:rPr>
        <w:t>.</w:t>
      </w:r>
    </w:p>
    <w:p w14:paraId="3FF2FA63"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14.</w:t>
      </w:r>
      <w:r w:rsidRPr="00551A8E">
        <w:rPr>
          <w:rFonts w:ascii="Times New Roman" w:hAnsi="Times New Roman" w:cs="Times New Roman"/>
        </w:rPr>
        <w:tab/>
        <w:t>Nasr R, Guillemin M-C, Ferhi O, Soilihi H, Peres L, Berthier C, Rousselot P, Robledo-Sarmiento M, Lallemand-Breitenbach V, Gourmel B. Eradication of acute promyelocytic leukemia-initiating cells through PML-RARA degradation. Nature medicine. 2008;14(12):1333-42.</w:t>
      </w:r>
    </w:p>
    <w:p w14:paraId="7279CC67"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15.</w:t>
      </w:r>
      <w:r w:rsidRPr="00551A8E">
        <w:rPr>
          <w:rFonts w:ascii="Times New Roman" w:hAnsi="Times New Roman" w:cs="Times New Roman"/>
        </w:rPr>
        <w:tab/>
        <w:t>Turner N, Pearson A, Sharpe R, Lambros M, Geyer F, Lopez-Garcia MA, Natrajan R, Marchio C, Iorns E, Mackay A. FGFR1 amplification drives endocrine therapy resistance and is a therapeutic target in breast cancer. Cancer research. 2010;70(5):2085-94.</w:t>
      </w:r>
    </w:p>
    <w:p w14:paraId="007BDC50"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16.</w:t>
      </w:r>
      <w:r w:rsidRPr="00551A8E">
        <w:rPr>
          <w:rFonts w:ascii="Times New Roman" w:hAnsi="Times New Roman" w:cs="Times New Roman"/>
        </w:rPr>
        <w:tab/>
        <w:t>Dutt A, Ramos AH, Hammerman PS, Mermel C, Cho J, Sharifnia T, Chande A, Tanaka KE, Stransky N, Greulich H. Inhibitor-sensitive FGFR1 amplification in human non-small cell lung cancer. PloS one. 2011;6(6):e20351.</w:t>
      </w:r>
    </w:p>
    <w:p w14:paraId="27241600"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17.</w:t>
      </w:r>
      <w:r w:rsidRPr="00551A8E">
        <w:rPr>
          <w:rFonts w:ascii="Times New Roman" w:hAnsi="Times New Roman" w:cs="Times New Roman"/>
        </w:rPr>
        <w:tab/>
        <w:t>Weiss J, Sos ML, Seidel D, Peifer M, Zander T, Heuckmann JM, Ullrich RT, Menon R, Maier S, Soltermann A. Frequent and focal FGFR1 amplification associates with therapeutically tractable FGFR1 dependency in squamous cell lung cancer. Science translational medicine. 2010;2(62):62ra93-62ra93.</w:t>
      </w:r>
    </w:p>
    <w:p w14:paraId="6F8490A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18.</w:t>
      </w:r>
      <w:r w:rsidRPr="00551A8E">
        <w:rPr>
          <w:rFonts w:ascii="Times New Roman" w:hAnsi="Times New Roman" w:cs="Times New Roman"/>
        </w:rPr>
        <w:tab/>
        <w:t>Simon R, Richter J, Wagner U, Fijan A, Bruderer J, Schmid U, Ackermann D, Maurer R, Alund G, Knönagel H. High-throughput tissue microarray analysis of 3p25 (RAF1) and 8p12 (FGFR1) copy number alterations in urinary bladder cancer. Cancer research. 2001;61(11):4514-9.</w:t>
      </w:r>
    </w:p>
    <w:p w14:paraId="33C7748D"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19.</w:t>
      </w:r>
      <w:r w:rsidRPr="00551A8E">
        <w:rPr>
          <w:rFonts w:ascii="Times New Roman" w:hAnsi="Times New Roman" w:cs="Times New Roman"/>
        </w:rPr>
        <w:tab/>
        <w:t>Yang F, Zhang Y, Ressler SJ, Ittmann MM, Ayala GE, Dang TD, Wang F, Rowley DR. FGFR1 is essential for prostate cancer progression and metastasis. Cancer research. 2013;73(12):3716-24.</w:t>
      </w:r>
    </w:p>
    <w:p w14:paraId="4AAA1696"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20.</w:t>
      </w:r>
      <w:r w:rsidRPr="00551A8E">
        <w:rPr>
          <w:rFonts w:ascii="Times New Roman" w:hAnsi="Times New Roman" w:cs="Times New Roman"/>
        </w:rPr>
        <w:tab/>
        <w:t>Grillo F, Florio T, Ferraù F, Kara E, Fanciulli G, Faggiano A, Colao A, Group N. Emerging multitarget tyrosine kinase inhibitors in the treatment of neuroendocrine neoplasms. Endocrine-Related Cancer. 2018;25(9):R453-R66. doi: 10.1530/erc-17-0531.</w:t>
      </w:r>
    </w:p>
    <w:p w14:paraId="51A35361"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21.</w:t>
      </w:r>
      <w:r w:rsidRPr="00551A8E">
        <w:rPr>
          <w:rFonts w:ascii="Times New Roman" w:hAnsi="Times New Roman" w:cs="Times New Roman"/>
        </w:rPr>
        <w:tab/>
        <w:t>Wang K, Diskin SJ, Zhang H, Attiyeh EF, Winter C, Hou C, Schnepp RW, Diamond M, Bosse K, Mayes PA. Integrative genomics identifies LMO1 as a neuroblastoma oncogene. Nature. 2011;469(7329):216.</w:t>
      </w:r>
    </w:p>
    <w:p w14:paraId="0D8733A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22.</w:t>
      </w:r>
      <w:r w:rsidRPr="00551A8E">
        <w:rPr>
          <w:rFonts w:ascii="Times New Roman" w:hAnsi="Times New Roman" w:cs="Times New Roman"/>
        </w:rPr>
        <w:tab/>
        <w:t>Tremblay M, Tremblay CS, Herblot S, Aplan PD, Hébert J, Perreault C, Hoang T. Modeling T-cell acute lymphoblastic leukemia induced by the SCL and LMO1 oncogenes. Genes &amp; Development. 2010;24(11):1093-105.</w:t>
      </w:r>
    </w:p>
    <w:p w14:paraId="6994B08C"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23.</w:t>
      </w:r>
      <w:r w:rsidRPr="00551A8E">
        <w:rPr>
          <w:rFonts w:ascii="Times New Roman" w:hAnsi="Times New Roman" w:cs="Times New Roman"/>
        </w:rPr>
        <w:tab/>
        <w:t>Liu J, Yan P, Jing N, Yang J. LMO1 is a novel oncogene in colorectal cancer and its overexpression is a new predictive marker for anti-EGFR therapy. Tumor Biology. 2014;35(8):8161-7.</w:t>
      </w:r>
    </w:p>
    <w:p w14:paraId="032518B7"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24.</w:t>
      </w:r>
      <w:r w:rsidRPr="00551A8E">
        <w:rPr>
          <w:rFonts w:ascii="Times New Roman" w:hAnsi="Times New Roman" w:cs="Times New Roman"/>
        </w:rPr>
        <w:tab/>
        <w:t>Liu PP, Wijmenga C, Hajra A, Blake TB, Kelley CA, Adelstein RS, Bagg A, Rector J, Cotelingam J, Willman CL. Identification of the chimeric protein product of the CBFB‐MYH11 fusion gene in inv (16) leukemia cells. Genes, Chromosomes and Cancer. 1996;16(2):77-87.</w:t>
      </w:r>
    </w:p>
    <w:p w14:paraId="592ECE7B"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25.</w:t>
      </w:r>
      <w:r w:rsidRPr="00551A8E">
        <w:rPr>
          <w:rFonts w:ascii="Times New Roman" w:hAnsi="Times New Roman" w:cs="Times New Roman"/>
        </w:rPr>
        <w:tab/>
        <w:t>van der Reijden BA, Lombardo M, Dauwerse HG, Giles RH, Muhlematter D, Bellomo MJ, Wessels HW, Beverstock GC, Van Ommen GJ, Hagemeijer A. RT-PCR diagnosis of patients with acute nonlymphocytic leukemia and inv (16)(p13q22) and identification of new alternative splicing in CBFB-MYH11 transcripts. Blood. 1995;86(1):277-82.</w:t>
      </w:r>
    </w:p>
    <w:p w14:paraId="654443AC"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26.</w:t>
      </w:r>
      <w:r w:rsidRPr="00551A8E">
        <w:rPr>
          <w:rFonts w:ascii="Times New Roman" w:hAnsi="Times New Roman" w:cs="Times New Roman"/>
        </w:rPr>
        <w:tab/>
        <w:t>Liu P, Tarle SA, Hajra A, Claxton DF, Marlton P, Freedman M, Siciliano MJ, Collins F. Fusion between transcription factor CBFbeta/PEBP2beta and a myosin heavy chain in acute myeloid leukemia. Science. 1993;261(5124):1041-5.</w:t>
      </w:r>
    </w:p>
    <w:p w14:paraId="052AEDDB"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lastRenderedPageBreak/>
        <w:t>27.</w:t>
      </w:r>
      <w:r w:rsidRPr="00551A8E">
        <w:rPr>
          <w:rFonts w:ascii="Times New Roman" w:hAnsi="Times New Roman" w:cs="Times New Roman"/>
        </w:rPr>
        <w:tab/>
        <w:t>Castilla LH, Perrat P, Martinez NJ, Landrette SF, Keys R, Oikemus S, Flanegan J, Heilman S, Garrett L, Dutra A. Identification of genes that synergize with Cbfb-MYH11 in the pathogenesis of acute myeloid leukemia. Proceedings of the National Academy of Sciences of the United States of America. 2004;101(14):4924-9.</w:t>
      </w:r>
    </w:p>
    <w:p w14:paraId="4E9B1599" w14:textId="77777777" w:rsidR="00B72B79" w:rsidRPr="00551A8E" w:rsidRDefault="00B72B79" w:rsidP="00B72B79">
      <w:pPr>
        <w:pStyle w:val="EndNoteBibliography"/>
        <w:rPr>
          <w:rFonts w:ascii="Times New Roman" w:hAnsi="Times New Roman" w:cs="Times New Roman"/>
        </w:rPr>
      </w:pPr>
      <w:r w:rsidRPr="00551A8E">
        <w:rPr>
          <w:rFonts w:ascii="Times New Roman" w:hAnsi="Times New Roman" w:cs="Times New Roman"/>
        </w:rPr>
        <w:t>28.</w:t>
      </w:r>
      <w:r w:rsidRPr="00551A8E">
        <w:rPr>
          <w:rFonts w:ascii="Times New Roman" w:hAnsi="Times New Roman" w:cs="Times New Roman"/>
        </w:rPr>
        <w:tab/>
        <w:t>Maeng Y-S, Lee R, Lee B, Choi S-i, Kim EK. Lithium inhibits tumor lymphangiogenesis and metastasis through the inhibition of TGFBIp expression in cancer cells2016;6:20739. doi: 10.1038/srep20739</w:t>
      </w:r>
    </w:p>
    <w:p w14:paraId="14CFA9C4" w14:textId="120D5DE4" w:rsidR="00B72B79" w:rsidRPr="00551A8E" w:rsidRDefault="008E3F2E" w:rsidP="00B72B79">
      <w:pPr>
        <w:pStyle w:val="EndNoteBibliography"/>
        <w:spacing w:after="0"/>
        <w:rPr>
          <w:rFonts w:ascii="Times New Roman" w:hAnsi="Times New Roman" w:cs="Times New Roman"/>
        </w:rPr>
      </w:pPr>
      <w:hyperlink r:id="rId19" w:anchor="supplementary-information" w:history="1">
        <w:r w:rsidR="00B72B79" w:rsidRPr="00551A8E">
          <w:rPr>
            <w:rStyle w:val="Hyperlink"/>
            <w:rFonts w:ascii="Times New Roman" w:hAnsi="Times New Roman"/>
          </w:rPr>
          <w:t>https://www.nature.com/articles/srep20739#supplementary-information</w:t>
        </w:r>
      </w:hyperlink>
      <w:r w:rsidR="00B72B79" w:rsidRPr="00551A8E">
        <w:rPr>
          <w:rFonts w:ascii="Times New Roman" w:hAnsi="Times New Roman" w:cs="Times New Roman"/>
        </w:rPr>
        <w:t>.</w:t>
      </w:r>
    </w:p>
    <w:p w14:paraId="75C6C190"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29.</w:t>
      </w:r>
      <w:r w:rsidRPr="00551A8E">
        <w:rPr>
          <w:rFonts w:ascii="Times New Roman" w:hAnsi="Times New Roman" w:cs="Times New Roman"/>
        </w:rPr>
        <w:tab/>
        <w:t>Kaapu KJ, Ahti J, Tammela TLJ, Auvinen A, Murtola TJ. Sotalol, but not digoxin is associated with decreased prostate cancer risk: A population‐based case–control study. International journal of cancer. 2015;137(5):1187-95.</w:t>
      </w:r>
    </w:p>
    <w:p w14:paraId="1C43DD67"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30.</w:t>
      </w:r>
      <w:r w:rsidRPr="00551A8E">
        <w:rPr>
          <w:rFonts w:ascii="Times New Roman" w:hAnsi="Times New Roman" w:cs="Times New Roman"/>
        </w:rPr>
        <w:tab/>
        <w:t>Pan B, Zhong W, Deng Z, Lai C, Chu J, Jiao G, Liu J, Zhou Q. Inhibition of prostate cancer growth by solanine requires the suppression of cell cycle proteins and the activation of ROS/P38 signaling pathway. Cancer Medicine. 2016;5(11):3214-22. doi: 10.1002/cam4.916. PubMed PMID: PMC5119977.</w:t>
      </w:r>
    </w:p>
    <w:p w14:paraId="01889A96"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31.</w:t>
      </w:r>
      <w:r w:rsidRPr="00551A8E">
        <w:rPr>
          <w:rFonts w:ascii="Times New Roman" w:hAnsi="Times New Roman" w:cs="Times New Roman"/>
        </w:rPr>
        <w:tab/>
        <w:t>Hasanain M, Bhattacharjee A, Pandey P, Ashraf R, Singh N, Sharma S, Vishwakarma AL, Datta D, Mitra K, Sarkar J. [alpha]-Solanine induces ROS-mediated autophagy through activation of endoplasmic reticulum stress and inhibition of Akt/mTOR pathway. Cell Death Dis. 2015;6:e1860. doi: 10.1038/cddis.2015.219.</w:t>
      </w:r>
    </w:p>
    <w:p w14:paraId="1A566994"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32.</w:t>
      </w:r>
      <w:r w:rsidRPr="00551A8E">
        <w:rPr>
          <w:rFonts w:ascii="Times New Roman" w:hAnsi="Times New Roman" w:cs="Times New Roman"/>
        </w:rPr>
        <w:tab/>
        <w:t>Shen K-H, Liao A, Hung J-H, Lee W-J, Hu K-C, Lin P-T, Liao R-F, Chen P-S. α-Solanine Inhibits Invasion of Human Prostate Cancer Cell by Suppressing Epithelial-Mesenchymal Transition and MMPs Expression. Molecules. 2014;19(8):11896. PubMed PMID: doi:10.3390/molecules190811896.</w:t>
      </w:r>
    </w:p>
    <w:p w14:paraId="389B56AA" w14:textId="011A509D"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33.</w:t>
      </w:r>
      <w:r w:rsidRPr="00551A8E">
        <w:rPr>
          <w:rFonts w:ascii="Times New Roman" w:hAnsi="Times New Roman" w:cs="Times New Roman"/>
        </w:rPr>
        <w:tab/>
        <w:t xml:space="preserve">Shen K-H, Hung J-H, Chang C-W, Weng Y-T, Wu M-J, Chen P-S. Solasodine inhibits invasion of human lung cancer cell through downregulation of miR-21 and MMPs expression. Chemico-Biological Interactions. 2017;268(Supplement C):129-35. doi: </w:t>
      </w:r>
      <w:hyperlink r:id="rId20" w:history="1">
        <w:r w:rsidRPr="00551A8E">
          <w:rPr>
            <w:rStyle w:val="Hyperlink"/>
            <w:rFonts w:ascii="Times New Roman" w:hAnsi="Times New Roman"/>
          </w:rPr>
          <w:t>https://doi.org/10.1016/j.cbi.2017.03.005</w:t>
        </w:r>
      </w:hyperlink>
      <w:r w:rsidRPr="00551A8E">
        <w:rPr>
          <w:rFonts w:ascii="Times New Roman" w:hAnsi="Times New Roman" w:cs="Times New Roman"/>
        </w:rPr>
        <w:t>.</w:t>
      </w:r>
    </w:p>
    <w:p w14:paraId="17CCB27F"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34.</w:t>
      </w:r>
      <w:r w:rsidRPr="00551A8E">
        <w:rPr>
          <w:rFonts w:ascii="Times New Roman" w:hAnsi="Times New Roman" w:cs="Times New Roman"/>
        </w:rPr>
        <w:tab/>
        <w:t>Carew JS, Nawrocki ST, Krupnik YV, Dunner K, McConkey DJ, Keating MJ, Huang P. Targeting endoplasmic reticulum protein transport: a novel strategy to kill malignant B cells and overcome fludarabine resistance in CLL. Blood. 2006;107(1):222-31. doi: 10.1182/blood-2005-05-1923. PubMed PMID: PMC1895341.</w:t>
      </w:r>
    </w:p>
    <w:p w14:paraId="7136B3E7"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35.</w:t>
      </w:r>
      <w:r w:rsidRPr="00551A8E">
        <w:rPr>
          <w:rFonts w:ascii="Times New Roman" w:hAnsi="Times New Roman" w:cs="Times New Roman"/>
        </w:rPr>
        <w:tab/>
        <w:t>Kawaguchi T, Miyazawa K, Moriya S, Ohtomo T, Che X-F, Naito M, Itoh M, Tomoda A. Combined treatment with bortezomib plus bafilomycin A1 enhances the cytocidal effect and induces endoplasmic reticulum stress in U266 myeloma cells: crosstalk among proteasome, autophagy-lysosome and ER stress. International journal of oncology. 2011;38(3):643-54.</w:t>
      </w:r>
    </w:p>
    <w:p w14:paraId="5FAC2ADA"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36.</w:t>
      </w:r>
      <w:r w:rsidRPr="00551A8E">
        <w:rPr>
          <w:rFonts w:ascii="Times New Roman" w:hAnsi="Times New Roman" w:cs="Times New Roman"/>
        </w:rPr>
        <w:tab/>
        <w:t>Numan M. Ambroxol hydrochloride, a chaperone therapy for Paget’s disease of bone and other common autophagy-mediated aging diseases?</w:t>
      </w:r>
    </w:p>
    <w:p w14:paraId="4CC4642A"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37.</w:t>
      </w:r>
      <w:r w:rsidRPr="00551A8E">
        <w:rPr>
          <w:rFonts w:ascii="Times New Roman" w:hAnsi="Times New Roman" w:cs="Times New Roman"/>
        </w:rPr>
        <w:tab/>
        <w:t>Foster JG, Blunt MD, Carter E, Ward SG. Inhibition of PI3K Signaling Spurs New Therapeutic Opportunities in Inflammatory/Autoimmune Diseases and Hematological Malignancies. Pharmacological Reviews. 2012;64(4):1027.</w:t>
      </w:r>
    </w:p>
    <w:p w14:paraId="6D9A7DFF"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38.</w:t>
      </w:r>
      <w:r w:rsidRPr="00551A8E">
        <w:rPr>
          <w:rFonts w:ascii="Times New Roman" w:hAnsi="Times New Roman" w:cs="Times New Roman"/>
        </w:rPr>
        <w:tab/>
        <w:t>Alise AM, Amabile G, Iovino M, Di Giorgio FP, Bartiromo M, Sessa F, Villa F, Musacchio A, Cortese R. Reversine, a novel Aurora kinases inhibitor, inhibits colony formation of human acute myeloid leukemia cells. Molecular Cancer Therapeutics. 2008;7(5):1140.</w:t>
      </w:r>
    </w:p>
    <w:p w14:paraId="793537EA" w14:textId="77777777" w:rsidR="00B72B79" w:rsidRPr="00551A8E" w:rsidRDefault="00B72B79" w:rsidP="00B72B79">
      <w:pPr>
        <w:pStyle w:val="EndNoteBibliography"/>
        <w:spacing w:after="0"/>
        <w:rPr>
          <w:rFonts w:ascii="Times New Roman" w:hAnsi="Times New Roman" w:cs="Times New Roman"/>
        </w:rPr>
      </w:pPr>
      <w:r w:rsidRPr="00551A8E">
        <w:rPr>
          <w:rFonts w:ascii="Times New Roman" w:hAnsi="Times New Roman" w:cs="Times New Roman"/>
        </w:rPr>
        <w:t>39.</w:t>
      </w:r>
      <w:r w:rsidRPr="00551A8E">
        <w:rPr>
          <w:rFonts w:ascii="Times New Roman" w:hAnsi="Times New Roman" w:cs="Times New Roman"/>
        </w:rPr>
        <w:tab/>
        <w:t>Cadmus SD, Pearlstein MV, Pearlstein KA, Googe PB, Jolly PS. Paraneoplastic psoriasis in a patient with prostate cancer. JAAD Case Reports. 2018;4(3):220-1. doi: 10.1016/j.jdcr.2017.09.014. PubMed PMID: PMC5909472.</w:t>
      </w:r>
    </w:p>
    <w:p w14:paraId="6BF944F2" w14:textId="77777777" w:rsidR="00B72B79" w:rsidRPr="00551A8E" w:rsidRDefault="00B72B79" w:rsidP="00B72B79">
      <w:pPr>
        <w:pStyle w:val="EndNoteBibliography"/>
        <w:rPr>
          <w:rFonts w:ascii="Times New Roman" w:hAnsi="Times New Roman" w:cs="Times New Roman"/>
        </w:rPr>
      </w:pPr>
      <w:r w:rsidRPr="00551A8E">
        <w:rPr>
          <w:rFonts w:ascii="Times New Roman" w:hAnsi="Times New Roman" w:cs="Times New Roman"/>
        </w:rPr>
        <w:t>40.</w:t>
      </w:r>
      <w:r w:rsidRPr="00551A8E">
        <w:rPr>
          <w:rFonts w:ascii="Times New Roman" w:hAnsi="Times New Roman" w:cs="Times New Roman"/>
        </w:rPr>
        <w:tab/>
        <w:t xml:space="preserve">Lortholary O, European Organization for R, Treatment of Cancer/Invasive Fungal Infections Cooperative G, the Intergroupe Français du M, Ascioglu S, European Organization for R, Treatment of Cancer/Invasive Fungal Infections Cooperative G, the Intergroupe Français du M, Moreau P, European Organization for R, Treatment of Cancer/Invasive Fungal Infections Cooperative G, the Intergroupe Français du M, Herbrecht R, European Organization for R, Treatment of Cancer/Invasive Fungal Infections Cooperative G, the Intergroupe Français du M, Marinus A, European Organization for R, </w:t>
      </w:r>
      <w:r w:rsidRPr="00551A8E">
        <w:rPr>
          <w:rFonts w:ascii="Times New Roman" w:hAnsi="Times New Roman" w:cs="Times New Roman"/>
        </w:rPr>
        <w:lastRenderedPageBreak/>
        <w:t>Treatment of Cancer/Invasive Fungal Infections Cooperative G, the Intergroupe Français du M, Casassus P, European Organization for R, Treatment of Cancer/Invasive Fungal Infections Cooperative G, the Intergroupe Français du M, De Pauw B, European Organization for R, Treatment of Cancer/Invasive Fungal Infections Cooperative G, the Intergroupe Français du M, Denning DW, European Organization for R, Treatment of Cancer/Invasive Fungal Infections Cooperative G, the Intergroupe Français du M. Invasive Aspergillosis as an Opportunistic Infection in Nonallografted Patients with Multiple Myeloma: A European Organization for Research and Treatment of Cancer. Clinical Infectious Diseases. 2000;30(1):41-6. doi: 10.1086/313592.</w:t>
      </w:r>
    </w:p>
    <w:p w14:paraId="0491A4F0" w14:textId="6DFF0896" w:rsidR="005F50F1" w:rsidRPr="00551A8E" w:rsidRDefault="00416C1B">
      <w:pPr>
        <w:rPr>
          <w:rFonts w:ascii="Times New Roman" w:eastAsia="Times New Roman" w:hAnsi="Times New Roman" w:cs="Times New Roman"/>
        </w:rPr>
      </w:pPr>
      <w:r w:rsidRPr="00551A8E">
        <w:rPr>
          <w:rFonts w:ascii="Times New Roman" w:eastAsia="Times New Roman" w:hAnsi="Times New Roman" w:cs="Times New Roman"/>
        </w:rPr>
        <w:fldChar w:fldCharType="end"/>
      </w:r>
    </w:p>
    <w:sectPr w:rsidR="005F50F1" w:rsidRPr="00551A8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4B97BF" w14:textId="77777777" w:rsidR="008E3F2E" w:rsidRDefault="008E3F2E" w:rsidP="00E7013B">
      <w:pPr>
        <w:spacing w:after="0" w:line="240" w:lineRule="auto"/>
      </w:pPr>
      <w:r>
        <w:separator/>
      </w:r>
    </w:p>
  </w:endnote>
  <w:endnote w:type="continuationSeparator" w:id="0">
    <w:p w14:paraId="6C8CEDCC" w14:textId="77777777" w:rsidR="008E3F2E" w:rsidRDefault="008E3F2E" w:rsidP="00E701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5A0395" w14:textId="77777777" w:rsidR="008E3F2E" w:rsidRDefault="008E3F2E" w:rsidP="00E7013B">
      <w:pPr>
        <w:spacing w:after="0" w:line="240" w:lineRule="auto"/>
      </w:pPr>
      <w:r>
        <w:separator/>
      </w:r>
    </w:p>
  </w:footnote>
  <w:footnote w:type="continuationSeparator" w:id="0">
    <w:p w14:paraId="0661EF0D" w14:textId="77777777" w:rsidR="008E3F2E" w:rsidRDefault="008E3F2E" w:rsidP="00E7013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I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F50F1"/>
    <w:rsid w:val="00010D3F"/>
    <w:rsid w:val="00086356"/>
    <w:rsid w:val="00310B91"/>
    <w:rsid w:val="003814FD"/>
    <w:rsid w:val="003B1479"/>
    <w:rsid w:val="00416C1B"/>
    <w:rsid w:val="00487B4D"/>
    <w:rsid w:val="004D6DC3"/>
    <w:rsid w:val="00507B28"/>
    <w:rsid w:val="00536205"/>
    <w:rsid w:val="00551A8E"/>
    <w:rsid w:val="00552B03"/>
    <w:rsid w:val="00582CB9"/>
    <w:rsid w:val="005D547F"/>
    <w:rsid w:val="005F50F1"/>
    <w:rsid w:val="00674854"/>
    <w:rsid w:val="00726E9B"/>
    <w:rsid w:val="00764CFE"/>
    <w:rsid w:val="007B667A"/>
    <w:rsid w:val="00883217"/>
    <w:rsid w:val="008C7AFA"/>
    <w:rsid w:val="008E3F2E"/>
    <w:rsid w:val="00964DD9"/>
    <w:rsid w:val="009F7F75"/>
    <w:rsid w:val="00A102BC"/>
    <w:rsid w:val="00A24950"/>
    <w:rsid w:val="00AB4CEC"/>
    <w:rsid w:val="00AC4B01"/>
    <w:rsid w:val="00B72B79"/>
    <w:rsid w:val="00BA6078"/>
    <w:rsid w:val="00BD75A3"/>
    <w:rsid w:val="00C05DCB"/>
    <w:rsid w:val="00C667BA"/>
    <w:rsid w:val="00C977E6"/>
    <w:rsid w:val="00CA36CC"/>
    <w:rsid w:val="00D4707B"/>
    <w:rsid w:val="00E27CD0"/>
    <w:rsid w:val="00E7013B"/>
    <w:rsid w:val="00EB10DB"/>
    <w:rsid w:val="00EC20D3"/>
    <w:rsid w:val="00F520EA"/>
    <w:rsid w:val="00FC3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63507A"/>
  <w15:docId w15:val="{85392C8B-654A-4FEA-B123-DEA95B4C1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50F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50F1"/>
    <w:rPr>
      <w:rFonts w:ascii="Tahoma" w:hAnsi="Tahoma" w:cs="Tahoma"/>
      <w:sz w:val="16"/>
      <w:szCs w:val="16"/>
    </w:rPr>
  </w:style>
  <w:style w:type="paragraph" w:styleId="Caption">
    <w:name w:val="caption"/>
    <w:basedOn w:val="Normal"/>
    <w:next w:val="Normal"/>
    <w:uiPriority w:val="35"/>
    <w:unhideWhenUsed/>
    <w:qFormat/>
    <w:rsid w:val="005F50F1"/>
    <w:pPr>
      <w:spacing w:line="240" w:lineRule="auto"/>
    </w:pPr>
    <w:rPr>
      <w:b/>
      <w:bCs/>
      <w:color w:val="4F81BD" w:themeColor="accent1"/>
      <w:sz w:val="18"/>
      <w:szCs w:val="18"/>
      <w:lang w:eastAsia="ja-JP"/>
    </w:rPr>
  </w:style>
  <w:style w:type="table" w:styleId="LightShading-Accent5">
    <w:name w:val="Light Shading Accent 5"/>
    <w:basedOn w:val="TableNormal"/>
    <w:uiPriority w:val="60"/>
    <w:rsid w:val="005F50F1"/>
    <w:pPr>
      <w:spacing w:after="0" w:line="240" w:lineRule="auto"/>
    </w:pPr>
    <w:rPr>
      <w:color w:val="31849B" w:themeColor="accent5" w:themeShade="BF"/>
      <w:sz w:val="24"/>
      <w:szCs w:val="24"/>
      <w:lang w:eastAsia="ja-JP"/>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character" w:styleId="Hyperlink">
    <w:name w:val="Hyperlink"/>
    <w:basedOn w:val="DefaultParagraphFont"/>
    <w:uiPriority w:val="99"/>
    <w:rsid w:val="00E7013B"/>
    <w:rPr>
      <w:rFonts w:cs="Times New Roman"/>
      <w:color w:val="0000FF"/>
      <w:u w:val="single"/>
    </w:rPr>
  </w:style>
  <w:style w:type="paragraph" w:styleId="ListParagraph">
    <w:name w:val="List Paragraph"/>
    <w:basedOn w:val="Normal"/>
    <w:uiPriority w:val="34"/>
    <w:qFormat/>
    <w:rsid w:val="00E7013B"/>
    <w:pPr>
      <w:spacing w:after="0" w:line="240" w:lineRule="auto"/>
      <w:ind w:left="720"/>
      <w:contextualSpacing/>
    </w:pPr>
    <w:rPr>
      <w:rFonts w:ascii="Times New Roman" w:eastAsia="SimSun" w:hAnsi="Times New Roman" w:cs="Times New Roman"/>
      <w:sz w:val="24"/>
      <w:szCs w:val="24"/>
      <w:lang w:eastAsia="ja-JP"/>
    </w:rPr>
  </w:style>
  <w:style w:type="paragraph" w:customStyle="1" w:styleId="PHS398CharCharCharCharCharCharChar">
    <w:name w:val="PHS398 Char Char Char Char Char Char Char"/>
    <w:basedOn w:val="Normal"/>
    <w:link w:val="PHS398CharCharCharCharCharCharCharChar"/>
    <w:rsid w:val="00E7013B"/>
    <w:pPr>
      <w:tabs>
        <w:tab w:val="left" w:pos="360"/>
      </w:tabs>
      <w:spacing w:before="100" w:beforeAutospacing="1" w:after="100" w:afterAutospacing="1" w:line="240" w:lineRule="auto"/>
      <w:jc w:val="both"/>
    </w:pPr>
    <w:rPr>
      <w:rFonts w:ascii="Arial" w:eastAsia="SimSun" w:hAnsi="Arial" w:cs="Times New Roman"/>
      <w:bCs/>
      <w:sz w:val="24"/>
      <w:lang w:eastAsia="ja-JP"/>
    </w:rPr>
  </w:style>
  <w:style w:type="character" w:customStyle="1" w:styleId="PHS398CharCharCharCharCharCharCharChar">
    <w:name w:val="PHS398 Char Char Char Char Char Char Char Char"/>
    <w:basedOn w:val="DefaultParagraphFont"/>
    <w:link w:val="PHS398CharCharCharCharCharCharChar"/>
    <w:locked/>
    <w:rsid w:val="00E7013B"/>
    <w:rPr>
      <w:rFonts w:ascii="Arial" w:eastAsia="SimSun" w:hAnsi="Arial" w:cs="Times New Roman"/>
      <w:bCs/>
      <w:sz w:val="24"/>
      <w:lang w:eastAsia="ja-JP"/>
    </w:rPr>
  </w:style>
  <w:style w:type="paragraph" w:styleId="Header">
    <w:name w:val="header"/>
    <w:basedOn w:val="Normal"/>
    <w:link w:val="HeaderChar"/>
    <w:uiPriority w:val="99"/>
    <w:unhideWhenUsed/>
    <w:rsid w:val="00E7013B"/>
    <w:pPr>
      <w:tabs>
        <w:tab w:val="center" w:pos="4320"/>
        <w:tab w:val="right" w:pos="8640"/>
      </w:tabs>
      <w:spacing w:after="0" w:line="240" w:lineRule="auto"/>
    </w:pPr>
  </w:style>
  <w:style w:type="character" w:customStyle="1" w:styleId="HeaderChar">
    <w:name w:val="Header Char"/>
    <w:basedOn w:val="DefaultParagraphFont"/>
    <w:link w:val="Header"/>
    <w:uiPriority w:val="99"/>
    <w:rsid w:val="00E7013B"/>
  </w:style>
  <w:style w:type="paragraph" w:styleId="Footer">
    <w:name w:val="footer"/>
    <w:basedOn w:val="Normal"/>
    <w:link w:val="FooterChar"/>
    <w:uiPriority w:val="99"/>
    <w:unhideWhenUsed/>
    <w:rsid w:val="00E7013B"/>
    <w:pPr>
      <w:tabs>
        <w:tab w:val="center" w:pos="4320"/>
        <w:tab w:val="right" w:pos="8640"/>
      </w:tabs>
      <w:spacing w:after="0" w:line="240" w:lineRule="auto"/>
    </w:pPr>
  </w:style>
  <w:style w:type="character" w:customStyle="1" w:styleId="FooterChar">
    <w:name w:val="Footer Char"/>
    <w:basedOn w:val="DefaultParagraphFont"/>
    <w:link w:val="Footer"/>
    <w:uiPriority w:val="99"/>
    <w:rsid w:val="00E7013B"/>
  </w:style>
  <w:style w:type="paragraph" w:customStyle="1" w:styleId="EndNoteBibliographyTitle">
    <w:name w:val="EndNote Bibliography Title"/>
    <w:basedOn w:val="Normal"/>
    <w:link w:val="EndNoteBibliographyTitleChar"/>
    <w:rsid w:val="00416C1B"/>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416C1B"/>
    <w:rPr>
      <w:rFonts w:ascii="Calibri" w:hAnsi="Calibri" w:cs="Calibri"/>
      <w:noProof/>
    </w:rPr>
  </w:style>
  <w:style w:type="paragraph" w:customStyle="1" w:styleId="EndNoteBibliography">
    <w:name w:val="EndNote Bibliography"/>
    <w:basedOn w:val="Normal"/>
    <w:link w:val="EndNoteBibliographyChar"/>
    <w:rsid w:val="00416C1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416C1B"/>
    <w:rPr>
      <w:rFonts w:ascii="Calibri" w:hAnsi="Calibri" w:cs="Calibri"/>
      <w:noProof/>
    </w:rPr>
  </w:style>
  <w:style w:type="character" w:styleId="UnresolvedMention">
    <w:name w:val="Unresolved Mention"/>
    <w:basedOn w:val="DefaultParagraphFont"/>
    <w:uiPriority w:val="99"/>
    <w:semiHidden/>
    <w:unhideWhenUsed/>
    <w:rsid w:val="00010D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extbio.com" TargetMode="External"/><Relationship Id="rId13" Type="http://schemas.openxmlformats.org/officeDocument/2006/relationships/chart" Target="charts/chart1.xml"/><Relationship Id="rId18" Type="http://schemas.openxmlformats.org/officeDocument/2006/relationships/hyperlink" Target="http://www.nature.com/ncb/journal/v5/n11/suppinfo/ncb1056_S1.html"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portal.genego.com/" TargetMode="External"/><Relationship Id="rId12" Type="http://schemas.openxmlformats.org/officeDocument/2006/relationships/image" Target="media/image1.png"/><Relationship Id="rId17" Type="http://schemas.openxmlformats.org/officeDocument/2006/relationships/chart" Target="charts/chart3.xml"/><Relationship Id="rId2" Type="http://schemas.openxmlformats.org/officeDocument/2006/relationships/settings" Target="settings.xml"/><Relationship Id="rId16" Type="http://schemas.openxmlformats.org/officeDocument/2006/relationships/image" Target="media/image3.png"/><Relationship Id="rId20" Type="http://schemas.openxmlformats.org/officeDocument/2006/relationships/hyperlink" Target="https://doi.org/10.1016/j.cbi.2017.03.005" TargetMode="External"/><Relationship Id="rId1" Type="http://schemas.openxmlformats.org/officeDocument/2006/relationships/styles" Target="styles.xml"/><Relationship Id="rId6" Type="http://schemas.openxmlformats.org/officeDocument/2006/relationships/hyperlink" Target="https://clinicaltrials.gov/" TargetMode="External"/><Relationship Id="rId11" Type="http://schemas.openxmlformats.org/officeDocument/2006/relationships/hyperlink" Target="http://www.ncbi.nlm.nih.gov/geo/" TargetMode="External"/><Relationship Id="rId5" Type="http://schemas.openxmlformats.org/officeDocument/2006/relationships/endnotes" Target="endnotes.xml"/><Relationship Id="rId15" Type="http://schemas.openxmlformats.org/officeDocument/2006/relationships/image" Target="media/image2.png"/><Relationship Id="rId10" Type="http://schemas.openxmlformats.org/officeDocument/2006/relationships/hyperlink" Target="http://www.nextbio.com" TargetMode="External"/><Relationship Id="rId19" Type="http://schemas.openxmlformats.org/officeDocument/2006/relationships/hyperlink" Target="https://www.nature.com/articles/srep20739" TargetMode="External"/><Relationship Id="rId4" Type="http://schemas.openxmlformats.org/officeDocument/2006/relationships/footnotes" Target="footnotes.xml"/><Relationship Id="rId9" Type="http://schemas.openxmlformats.org/officeDocument/2006/relationships/hyperlink" Target="http://www.ncbi.nlm.nih.gov/geo/" TargetMode="External"/><Relationship Id="rId14" Type="http://schemas.openxmlformats.org/officeDocument/2006/relationships/chart" Target="charts/chart2.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Macintosh%20HD:Users:emmala:Desktop:mutation_study_MM.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Macintosh%20HD:Users:emmala:Desktop:mutation_study_MM.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emmala:Desktop:pharm_09212017.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0"/>
    <c:plotArea>
      <c:layout>
        <c:manualLayout>
          <c:layoutTarget val="inner"/>
          <c:xMode val="edge"/>
          <c:yMode val="edge"/>
          <c:x val="3.37587489063867E-2"/>
          <c:y val="0.12956941920721399"/>
          <c:w val="0.93614865850102102"/>
          <c:h val="0.56952903963927604"/>
        </c:manualLayout>
      </c:layout>
      <c:barChart>
        <c:barDir val="col"/>
        <c:grouping val="clustered"/>
        <c:varyColors val="0"/>
        <c:ser>
          <c:idx val="0"/>
          <c:order val="0"/>
          <c:tx>
            <c:strRef>
              <c:f>Sheet2!$F$1</c:f>
              <c:strCache>
                <c:ptCount val="1"/>
                <c:pt idx="0">
                  <c:v>Negative association</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Sheet2!$C$2:$C$22</c:f>
              <c:strCache>
                <c:ptCount val="21"/>
                <c:pt idx="0">
                  <c:v>HBB</c:v>
                </c:pt>
                <c:pt idx="1">
                  <c:v>CYP2C19</c:v>
                </c:pt>
                <c:pt idx="2">
                  <c:v>CHMP2B</c:v>
                </c:pt>
                <c:pt idx="3">
                  <c:v>FSHR</c:v>
                </c:pt>
                <c:pt idx="4">
                  <c:v>HPS1</c:v>
                </c:pt>
                <c:pt idx="5">
                  <c:v>NPM1</c:v>
                </c:pt>
                <c:pt idx="6">
                  <c:v>CD46</c:v>
                </c:pt>
                <c:pt idx="7">
                  <c:v>CCDC6</c:v>
                </c:pt>
                <c:pt idx="8">
                  <c:v>SETBP1</c:v>
                </c:pt>
                <c:pt idx="9">
                  <c:v>ZBTB16</c:v>
                </c:pt>
                <c:pt idx="10">
                  <c:v>VPREB1</c:v>
                </c:pt>
                <c:pt idx="11">
                  <c:v>IGH@</c:v>
                </c:pt>
                <c:pt idx="12">
                  <c:v>TAF5</c:v>
                </c:pt>
                <c:pt idx="13">
                  <c:v>GBA</c:v>
                </c:pt>
                <c:pt idx="14">
                  <c:v>NKX3-1</c:v>
                </c:pt>
                <c:pt idx="15">
                  <c:v>GUSB</c:v>
                </c:pt>
                <c:pt idx="16">
                  <c:v>Yaa</c:v>
                </c:pt>
                <c:pt idx="17">
                  <c:v>PSEN1</c:v>
                </c:pt>
                <c:pt idx="18">
                  <c:v>LYST</c:v>
                </c:pt>
                <c:pt idx="19">
                  <c:v>DMPK</c:v>
                </c:pt>
                <c:pt idx="20">
                  <c:v>MAPT</c:v>
                </c:pt>
              </c:strCache>
            </c:strRef>
          </c:cat>
          <c:val>
            <c:numRef>
              <c:f>Sheet2!$F$2:$F$22</c:f>
              <c:numCache>
                <c:formatCode>General</c:formatCode>
                <c:ptCount val="21"/>
                <c:pt idx="0">
                  <c:v>22</c:v>
                </c:pt>
                <c:pt idx="1">
                  <c:v>21</c:v>
                </c:pt>
                <c:pt idx="2">
                  <c:v>19</c:v>
                </c:pt>
                <c:pt idx="3">
                  <c:v>18</c:v>
                </c:pt>
                <c:pt idx="4">
                  <c:v>17</c:v>
                </c:pt>
                <c:pt idx="5">
                  <c:v>17</c:v>
                </c:pt>
                <c:pt idx="6">
                  <c:v>15</c:v>
                </c:pt>
                <c:pt idx="7">
                  <c:v>13</c:v>
                </c:pt>
                <c:pt idx="8">
                  <c:v>13</c:v>
                </c:pt>
                <c:pt idx="9">
                  <c:v>12</c:v>
                </c:pt>
                <c:pt idx="10">
                  <c:v>11</c:v>
                </c:pt>
                <c:pt idx="11">
                  <c:v>11</c:v>
                </c:pt>
                <c:pt idx="12">
                  <c:v>10</c:v>
                </c:pt>
                <c:pt idx="13">
                  <c:v>10</c:v>
                </c:pt>
                <c:pt idx="14">
                  <c:v>9</c:v>
                </c:pt>
                <c:pt idx="15">
                  <c:v>9</c:v>
                </c:pt>
                <c:pt idx="16">
                  <c:v>9</c:v>
                </c:pt>
                <c:pt idx="17">
                  <c:v>8</c:v>
                </c:pt>
                <c:pt idx="18">
                  <c:v>8</c:v>
                </c:pt>
                <c:pt idx="19">
                  <c:v>8</c:v>
                </c:pt>
                <c:pt idx="20">
                  <c:v>7</c:v>
                </c:pt>
              </c:numCache>
            </c:numRef>
          </c:val>
          <c:extLst>
            <c:ext xmlns:c16="http://schemas.microsoft.com/office/drawing/2014/chart" uri="{C3380CC4-5D6E-409C-BE32-E72D297353CC}">
              <c16:uniqueId val="{00000000-AA97-4B43-8C3F-4BD71C6972E3}"/>
            </c:ext>
          </c:extLst>
        </c:ser>
        <c:ser>
          <c:idx val="1"/>
          <c:order val="1"/>
          <c:tx>
            <c:strRef>
              <c:f>Sheet2!$G$1</c:f>
              <c:strCache>
                <c:ptCount val="1"/>
                <c:pt idx="0">
                  <c:v>Positive association</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Sheet2!$C$2:$C$22</c:f>
              <c:strCache>
                <c:ptCount val="21"/>
                <c:pt idx="0">
                  <c:v>HBB</c:v>
                </c:pt>
                <c:pt idx="1">
                  <c:v>CYP2C19</c:v>
                </c:pt>
                <c:pt idx="2">
                  <c:v>CHMP2B</c:v>
                </c:pt>
                <c:pt idx="3">
                  <c:v>FSHR</c:v>
                </c:pt>
                <c:pt idx="4">
                  <c:v>HPS1</c:v>
                </c:pt>
                <c:pt idx="5">
                  <c:v>NPM1</c:v>
                </c:pt>
                <c:pt idx="6">
                  <c:v>CD46</c:v>
                </c:pt>
                <c:pt idx="7">
                  <c:v>CCDC6</c:v>
                </c:pt>
                <c:pt idx="8">
                  <c:v>SETBP1</c:v>
                </c:pt>
                <c:pt idx="9">
                  <c:v>ZBTB16</c:v>
                </c:pt>
                <c:pt idx="10">
                  <c:v>VPREB1</c:v>
                </c:pt>
                <c:pt idx="11">
                  <c:v>IGH@</c:v>
                </c:pt>
                <c:pt idx="12">
                  <c:v>TAF5</c:v>
                </c:pt>
                <c:pt idx="13">
                  <c:v>GBA</c:v>
                </c:pt>
                <c:pt idx="14">
                  <c:v>NKX3-1</c:v>
                </c:pt>
                <c:pt idx="15">
                  <c:v>GUSB</c:v>
                </c:pt>
                <c:pt idx="16">
                  <c:v>Yaa</c:v>
                </c:pt>
                <c:pt idx="17">
                  <c:v>PSEN1</c:v>
                </c:pt>
                <c:pt idx="18">
                  <c:v>LYST</c:v>
                </c:pt>
                <c:pt idx="19">
                  <c:v>DMPK</c:v>
                </c:pt>
                <c:pt idx="20">
                  <c:v>MAPT</c:v>
                </c:pt>
              </c:strCache>
            </c:strRef>
          </c:cat>
          <c:val>
            <c:numRef>
              <c:f>Sheet2!$G$2:$G$21</c:f>
              <c:numCache>
                <c:formatCode>General</c:formatCode>
                <c:ptCount val="20"/>
                <c:pt idx="0">
                  <c:v>8</c:v>
                </c:pt>
                <c:pt idx="1">
                  <c:v>3</c:v>
                </c:pt>
                <c:pt idx="2">
                  <c:v>3</c:v>
                </c:pt>
                <c:pt idx="3">
                  <c:v>3</c:v>
                </c:pt>
                <c:pt idx="4">
                  <c:v>4</c:v>
                </c:pt>
                <c:pt idx="5">
                  <c:v>10</c:v>
                </c:pt>
                <c:pt idx="6">
                  <c:v>3</c:v>
                </c:pt>
                <c:pt idx="7">
                  <c:v>2</c:v>
                </c:pt>
                <c:pt idx="8">
                  <c:v>7</c:v>
                </c:pt>
                <c:pt idx="9">
                  <c:v>2</c:v>
                </c:pt>
                <c:pt idx="10">
                  <c:v>5</c:v>
                </c:pt>
                <c:pt idx="11">
                  <c:v>15</c:v>
                </c:pt>
                <c:pt idx="12">
                  <c:v>1</c:v>
                </c:pt>
                <c:pt idx="13">
                  <c:v>7</c:v>
                </c:pt>
                <c:pt idx="14">
                  <c:v>1</c:v>
                </c:pt>
                <c:pt idx="15">
                  <c:v>3</c:v>
                </c:pt>
                <c:pt idx="16">
                  <c:v>13</c:v>
                </c:pt>
                <c:pt idx="17">
                  <c:v>1</c:v>
                </c:pt>
                <c:pt idx="18">
                  <c:v>2</c:v>
                </c:pt>
                <c:pt idx="19">
                  <c:v>4</c:v>
                </c:pt>
              </c:numCache>
            </c:numRef>
          </c:val>
          <c:extLst>
            <c:ext xmlns:c16="http://schemas.microsoft.com/office/drawing/2014/chart" uri="{C3380CC4-5D6E-409C-BE32-E72D297353CC}">
              <c16:uniqueId val="{00000001-AA97-4B43-8C3F-4BD71C6972E3}"/>
            </c:ext>
          </c:extLst>
        </c:ser>
        <c:dLbls>
          <c:showLegendKey val="0"/>
          <c:showVal val="0"/>
          <c:showCatName val="0"/>
          <c:showSerName val="0"/>
          <c:showPercent val="0"/>
          <c:showBubbleSize val="0"/>
        </c:dLbls>
        <c:gapWidth val="150"/>
        <c:overlap val="-25"/>
        <c:axId val="401879424"/>
        <c:axId val="401881728"/>
      </c:barChart>
      <c:catAx>
        <c:axId val="401879424"/>
        <c:scaling>
          <c:orientation val="minMax"/>
        </c:scaling>
        <c:delete val="0"/>
        <c:axPos val="b"/>
        <c:numFmt formatCode="General" sourceLinked="1"/>
        <c:majorTickMark val="none"/>
        <c:minorTickMark val="none"/>
        <c:tickLblPos val="nextTo"/>
        <c:crossAx val="401881728"/>
        <c:crosses val="autoZero"/>
        <c:auto val="1"/>
        <c:lblAlgn val="ctr"/>
        <c:lblOffset val="100"/>
        <c:noMultiLvlLbl val="0"/>
      </c:catAx>
      <c:valAx>
        <c:axId val="401881728"/>
        <c:scaling>
          <c:orientation val="minMax"/>
        </c:scaling>
        <c:delete val="1"/>
        <c:axPos val="l"/>
        <c:numFmt formatCode="General" sourceLinked="1"/>
        <c:majorTickMark val="out"/>
        <c:minorTickMark val="none"/>
        <c:tickLblPos val="nextTo"/>
        <c:crossAx val="401879424"/>
        <c:crosses val="autoZero"/>
        <c:crossBetween val="between"/>
      </c:valAx>
    </c:plotArea>
    <c:legend>
      <c:legendPos val="t"/>
      <c:overlay val="0"/>
      <c:txPr>
        <a:bodyPr/>
        <a:lstStyle/>
        <a:p>
          <a:pPr>
            <a:defRPr sz="900"/>
          </a:pPr>
          <a:endParaRPr lang="en-US"/>
        </a:p>
      </c:txPr>
    </c:legend>
    <c:plotVisOnly val="1"/>
    <c:dispBlanksAs val="gap"/>
    <c:showDLblsOverMax val="0"/>
  </c:chart>
  <c:txPr>
    <a:bodyPr/>
    <a:lstStyle/>
    <a:p>
      <a:pPr>
        <a:defRPr sz="800">
          <a:latin typeface="Arial"/>
          <a:cs typeface="Arial"/>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4.3395304753572499E-2"/>
          <c:y val="9.9426425937670093E-2"/>
          <c:w val="0.94117654564012798"/>
          <c:h val="0.58417283548750998"/>
        </c:manualLayout>
      </c:layout>
      <c:barChart>
        <c:barDir val="col"/>
        <c:grouping val="clustered"/>
        <c:varyColors val="0"/>
        <c:ser>
          <c:idx val="0"/>
          <c:order val="0"/>
          <c:tx>
            <c:strRef>
              <c:f>Sheet2!$N$1</c:f>
              <c:strCache>
                <c:ptCount val="1"/>
                <c:pt idx="0">
                  <c:v>Negative association</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Sheet2!$K$2:$K$26</c:f>
              <c:strCache>
                <c:ptCount val="25"/>
                <c:pt idx="0">
                  <c:v>IL10RB</c:v>
                </c:pt>
                <c:pt idx="1">
                  <c:v>FGFR1</c:v>
                </c:pt>
                <c:pt idx="2">
                  <c:v>PML</c:v>
                </c:pt>
                <c:pt idx="3">
                  <c:v>RARA</c:v>
                </c:pt>
                <c:pt idx="4">
                  <c:v>LMO1</c:v>
                </c:pt>
                <c:pt idx="5">
                  <c:v>TAL2</c:v>
                </c:pt>
                <c:pt idx="6">
                  <c:v>CBFB</c:v>
                </c:pt>
                <c:pt idx="7">
                  <c:v>MYH11</c:v>
                </c:pt>
                <c:pt idx="8">
                  <c:v>CD247</c:v>
                </c:pt>
                <c:pt idx="9">
                  <c:v>AFF1</c:v>
                </c:pt>
                <c:pt idx="10">
                  <c:v>PHF23</c:v>
                </c:pt>
                <c:pt idx="11">
                  <c:v>IGH@</c:v>
                </c:pt>
                <c:pt idx="12">
                  <c:v>HOXA@</c:v>
                </c:pt>
                <c:pt idx="13">
                  <c:v>ZMYM2</c:v>
                </c:pt>
                <c:pt idx="14">
                  <c:v>NLRP3</c:v>
                </c:pt>
                <c:pt idx="15">
                  <c:v>Yaa</c:v>
                </c:pt>
                <c:pt idx="16">
                  <c:v>TLX3</c:v>
                </c:pt>
                <c:pt idx="17">
                  <c:v>MVK</c:v>
                </c:pt>
                <c:pt idx="18">
                  <c:v>NUP98</c:v>
                </c:pt>
                <c:pt idx="19">
                  <c:v>PABPN1</c:v>
                </c:pt>
                <c:pt idx="20">
                  <c:v>TNFRSF9</c:v>
                </c:pt>
                <c:pt idx="21">
                  <c:v>PSTPIP1</c:v>
                </c:pt>
                <c:pt idx="22">
                  <c:v>TAL1</c:v>
                </c:pt>
                <c:pt idx="23">
                  <c:v>RUNX1T1</c:v>
                </c:pt>
                <c:pt idx="24">
                  <c:v>BCR</c:v>
                </c:pt>
              </c:strCache>
            </c:strRef>
          </c:cat>
          <c:val>
            <c:numRef>
              <c:f>Sheet2!$N$2:$N$26</c:f>
              <c:numCache>
                <c:formatCode>General</c:formatCode>
                <c:ptCount val="25"/>
                <c:pt idx="0">
                  <c:v>1</c:v>
                </c:pt>
                <c:pt idx="1">
                  <c:v>2</c:v>
                </c:pt>
                <c:pt idx="2">
                  <c:v>5</c:v>
                </c:pt>
                <c:pt idx="3">
                  <c:v>6</c:v>
                </c:pt>
                <c:pt idx="4">
                  <c:v>8</c:v>
                </c:pt>
                <c:pt idx="5">
                  <c:v>8</c:v>
                </c:pt>
                <c:pt idx="6">
                  <c:v>0</c:v>
                </c:pt>
                <c:pt idx="7">
                  <c:v>1</c:v>
                </c:pt>
                <c:pt idx="8">
                  <c:v>3</c:v>
                </c:pt>
                <c:pt idx="9">
                  <c:v>4</c:v>
                </c:pt>
                <c:pt idx="10">
                  <c:v>4</c:v>
                </c:pt>
                <c:pt idx="11">
                  <c:v>11</c:v>
                </c:pt>
                <c:pt idx="12">
                  <c:v>4</c:v>
                </c:pt>
                <c:pt idx="13">
                  <c:v>0</c:v>
                </c:pt>
                <c:pt idx="14">
                  <c:v>4</c:v>
                </c:pt>
                <c:pt idx="15">
                  <c:v>9</c:v>
                </c:pt>
                <c:pt idx="16">
                  <c:v>5</c:v>
                </c:pt>
                <c:pt idx="17">
                  <c:v>8</c:v>
                </c:pt>
                <c:pt idx="18">
                  <c:v>0</c:v>
                </c:pt>
                <c:pt idx="19">
                  <c:v>2</c:v>
                </c:pt>
                <c:pt idx="20">
                  <c:v>2</c:v>
                </c:pt>
                <c:pt idx="21">
                  <c:v>3</c:v>
                </c:pt>
                <c:pt idx="22">
                  <c:v>3</c:v>
                </c:pt>
                <c:pt idx="23">
                  <c:v>0</c:v>
                </c:pt>
                <c:pt idx="24">
                  <c:v>2</c:v>
                </c:pt>
              </c:numCache>
            </c:numRef>
          </c:val>
          <c:extLst>
            <c:ext xmlns:c16="http://schemas.microsoft.com/office/drawing/2014/chart" uri="{C3380CC4-5D6E-409C-BE32-E72D297353CC}">
              <c16:uniqueId val="{00000000-348B-4F47-B7EC-7CF27B061D54}"/>
            </c:ext>
          </c:extLst>
        </c:ser>
        <c:ser>
          <c:idx val="1"/>
          <c:order val="1"/>
          <c:tx>
            <c:strRef>
              <c:f>Sheet2!$O$1</c:f>
              <c:strCache>
                <c:ptCount val="1"/>
                <c:pt idx="0">
                  <c:v>Positive association</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Sheet2!$K$2:$K$26</c:f>
              <c:strCache>
                <c:ptCount val="25"/>
                <c:pt idx="0">
                  <c:v>IL10RB</c:v>
                </c:pt>
                <c:pt idx="1">
                  <c:v>FGFR1</c:v>
                </c:pt>
                <c:pt idx="2">
                  <c:v>PML</c:v>
                </c:pt>
                <c:pt idx="3">
                  <c:v>RARA</c:v>
                </c:pt>
                <c:pt idx="4">
                  <c:v>LMO1</c:v>
                </c:pt>
                <c:pt idx="5">
                  <c:v>TAL2</c:v>
                </c:pt>
                <c:pt idx="6">
                  <c:v>CBFB</c:v>
                </c:pt>
                <c:pt idx="7">
                  <c:v>MYH11</c:v>
                </c:pt>
                <c:pt idx="8">
                  <c:v>CD247</c:v>
                </c:pt>
                <c:pt idx="9">
                  <c:v>AFF1</c:v>
                </c:pt>
                <c:pt idx="10">
                  <c:v>PHF23</c:v>
                </c:pt>
                <c:pt idx="11">
                  <c:v>IGH@</c:v>
                </c:pt>
                <c:pt idx="12">
                  <c:v>HOXA@</c:v>
                </c:pt>
                <c:pt idx="13">
                  <c:v>ZMYM2</c:v>
                </c:pt>
                <c:pt idx="14">
                  <c:v>NLRP3</c:v>
                </c:pt>
                <c:pt idx="15">
                  <c:v>Yaa</c:v>
                </c:pt>
                <c:pt idx="16">
                  <c:v>TLX3</c:v>
                </c:pt>
                <c:pt idx="17">
                  <c:v>MVK</c:v>
                </c:pt>
                <c:pt idx="18">
                  <c:v>NUP98</c:v>
                </c:pt>
                <c:pt idx="19">
                  <c:v>PABPN1</c:v>
                </c:pt>
                <c:pt idx="20">
                  <c:v>TNFRSF9</c:v>
                </c:pt>
                <c:pt idx="21">
                  <c:v>PSTPIP1</c:v>
                </c:pt>
                <c:pt idx="22">
                  <c:v>TAL1</c:v>
                </c:pt>
                <c:pt idx="23">
                  <c:v>RUNX1T1</c:v>
                </c:pt>
                <c:pt idx="24">
                  <c:v>BCR</c:v>
                </c:pt>
              </c:strCache>
            </c:strRef>
          </c:cat>
          <c:val>
            <c:numRef>
              <c:f>Sheet2!$O$2:$O$26</c:f>
              <c:numCache>
                <c:formatCode>General</c:formatCode>
                <c:ptCount val="25"/>
                <c:pt idx="0">
                  <c:v>20</c:v>
                </c:pt>
                <c:pt idx="1">
                  <c:v>19</c:v>
                </c:pt>
                <c:pt idx="2">
                  <c:v>19</c:v>
                </c:pt>
                <c:pt idx="3">
                  <c:v>19</c:v>
                </c:pt>
                <c:pt idx="4">
                  <c:v>19</c:v>
                </c:pt>
                <c:pt idx="5">
                  <c:v>19</c:v>
                </c:pt>
                <c:pt idx="6">
                  <c:v>15</c:v>
                </c:pt>
                <c:pt idx="7">
                  <c:v>15</c:v>
                </c:pt>
                <c:pt idx="8">
                  <c:v>15</c:v>
                </c:pt>
                <c:pt idx="9">
                  <c:v>15</c:v>
                </c:pt>
                <c:pt idx="10">
                  <c:v>15</c:v>
                </c:pt>
                <c:pt idx="11">
                  <c:v>15</c:v>
                </c:pt>
                <c:pt idx="12">
                  <c:v>14</c:v>
                </c:pt>
                <c:pt idx="13">
                  <c:v>13</c:v>
                </c:pt>
                <c:pt idx="14">
                  <c:v>13</c:v>
                </c:pt>
                <c:pt idx="15">
                  <c:v>13</c:v>
                </c:pt>
                <c:pt idx="16">
                  <c:v>12</c:v>
                </c:pt>
                <c:pt idx="17">
                  <c:v>12</c:v>
                </c:pt>
                <c:pt idx="18">
                  <c:v>11</c:v>
                </c:pt>
                <c:pt idx="19">
                  <c:v>11</c:v>
                </c:pt>
                <c:pt idx="20">
                  <c:v>11</c:v>
                </c:pt>
                <c:pt idx="21">
                  <c:v>11</c:v>
                </c:pt>
                <c:pt idx="22">
                  <c:v>10</c:v>
                </c:pt>
                <c:pt idx="23">
                  <c:v>9</c:v>
                </c:pt>
                <c:pt idx="24">
                  <c:v>9</c:v>
                </c:pt>
              </c:numCache>
            </c:numRef>
          </c:val>
          <c:extLst>
            <c:ext xmlns:c16="http://schemas.microsoft.com/office/drawing/2014/chart" uri="{C3380CC4-5D6E-409C-BE32-E72D297353CC}">
              <c16:uniqueId val="{00000001-348B-4F47-B7EC-7CF27B061D54}"/>
            </c:ext>
          </c:extLst>
        </c:ser>
        <c:dLbls>
          <c:showLegendKey val="0"/>
          <c:showVal val="1"/>
          <c:showCatName val="0"/>
          <c:showSerName val="0"/>
          <c:showPercent val="0"/>
          <c:showBubbleSize val="0"/>
        </c:dLbls>
        <c:gapWidth val="150"/>
        <c:overlap val="-25"/>
        <c:axId val="408551808"/>
        <c:axId val="408553344"/>
      </c:barChart>
      <c:catAx>
        <c:axId val="408551808"/>
        <c:scaling>
          <c:orientation val="minMax"/>
        </c:scaling>
        <c:delete val="0"/>
        <c:axPos val="b"/>
        <c:numFmt formatCode="General" sourceLinked="0"/>
        <c:majorTickMark val="none"/>
        <c:minorTickMark val="none"/>
        <c:tickLblPos val="nextTo"/>
        <c:crossAx val="408553344"/>
        <c:crosses val="autoZero"/>
        <c:auto val="1"/>
        <c:lblAlgn val="ctr"/>
        <c:lblOffset val="100"/>
        <c:noMultiLvlLbl val="0"/>
      </c:catAx>
      <c:valAx>
        <c:axId val="408553344"/>
        <c:scaling>
          <c:orientation val="minMax"/>
        </c:scaling>
        <c:delete val="1"/>
        <c:axPos val="l"/>
        <c:numFmt formatCode="General" sourceLinked="1"/>
        <c:majorTickMark val="out"/>
        <c:minorTickMark val="none"/>
        <c:tickLblPos val="nextTo"/>
        <c:crossAx val="408551808"/>
        <c:crosses val="autoZero"/>
        <c:crossBetween val="between"/>
      </c:valAx>
    </c:plotArea>
    <c:legend>
      <c:legendPos val="t"/>
      <c:layout>
        <c:manualLayout>
          <c:xMode val="edge"/>
          <c:yMode val="edge"/>
          <c:x val="0.249753025663459"/>
          <c:y val="3.5637918745545297E-2"/>
          <c:w val="0.50049394867308294"/>
          <c:h val="0.127936760934106"/>
        </c:manualLayout>
      </c:layout>
      <c:overlay val="0"/>
      <c:txPr>
        <a:bodyPr/>
        <a:lstStyle/>
        <a:p>
          <a:pPr>
            <a:defRPr sz="900"/>
          </a:pPr>
          <a:endParaRPr lang="en-US"/>
        </a:p>
      </c:txPr>
    </c:legend>
    <c:plotVisOnly val="1"/>
    <c:dispBlanksAs val="gap"/>
    <c:showDLblsOverMax val="0"/>
  </c:chart>
  <c:txPr>
    <a:bodyPr/>
    <a:lstStyle/>
    <a:p>
      <a:pPr>
        <a:defRPr sz="800">
          <a:latin typeface="Arial"/>
          <a:cs typeface="Arial"/>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18"/>
    </mc:Choice>
    <mc:Fallback>
      <c:style val="18"/>
    </mc:Fallback>
  </mc:AlternateContent>
  <c:chart>
    <c:autoTitleDeleted val="1"/>
    <c:plotArea>
      <c:layout>
        <c:manualLayout>
          <c:layoutTarget val="inner"/>
          <c:xMode val="edge"/>
          <c:yMode val="edge"/>
          <c:x val="1.5667989848376401E-2"/>
          <c:y val="0.26193612854230802"/>
          <c:w val="0.72799978127734"/>
          <c:h val="0.71449870541330296"/>
        </c:manualLayout>
      </c:layout>
      <c:ofPieChart>
        <c:ofPieType val="bar"/>
        <c:varyColors val="1"/>
        <c:ser>
          <c:idx val="0"/>
          <c:order val="0"/>
          <c:tx>
            <c:strRef>
              <c:f>Sheet6!$B$1</c:f>
              <c:strCache>
                <c:ptCount val="1"/>
                <c:pt idx="0">
                  <c:v>wfw</c:v>
                </c:pt>
              </c:strCache>
            </c:strRef>
          </c:tx>
          <c:dLbls>
            <c:dLbl>
              <c:idx val="2"/>
              <c:layout>
                <c:manualLayout>
                  <c:x val="1.8216225575969702E-2"/>
                  <c:y val="-1.1577665217883301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7073-49A9-8C2E-92760472C6F1}"/>
                </c:ext>
              </c:extLst>
            </c:dLbl>
            <c:dLbl>
              <c:idx val="12"/>
              <c:layout>
                <c:manualLayout>
                  <c:x val="-2.5462962962963E-2"/>
                  <c:y val="1.01522842639594E-2"/>
                </c:manualLayout>
              </c:layout>
              <c:dLblPos val="bestFi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8A5-7C40-8E78-668498B03194}"/>
                </c:ext>
              </c:extLst>
            </c:dLbl>
            <c:spPr>
              <a:noFill/>
              <a:ln>
                <a:noFill/>
              </a:ln>
              <a:effectLst/>
            </c:spPr>
            <c:txPr>
              <a:bodyPr/>
              <a:lstStyle/>
              <a:p>
                <a:pPr>
                  <a:defRPr sz="900">
                    <a:solidFill>
                      <a:schemeClr val="tx1"/>
                    </a:solidFill>
                  </a:defRPr>
                </a:pPr>
                <a:endParaRPr lang="en-US"/>
              </a:p>
            </c:txPr>
            <c:dLblPos val="bestFit"/>
            <c:showLegendKey val="0"/>
            <c:showVal val="0"/>
            <c:showCatName val="1"/>
            <c:showSerName val="0"/>
            <c:showPercent val="1"/>
            <c:showBubbleSize val="0"/>
            <c:showLeaderLines val="1"/>
            <c:extLst>
              <c:ext xmlns:c15="http://schemas.microsoft.com/office/drawing/2012/chart" uri="{CE6537A1-D6FC-4f65-9D91-7224C49458BB}"/>
            </c:extLst>
          </c:dLbls>
          <c:cat>
            <c:strRef>
              <c:f>Sheet6!$A$2:$A$16</c:f>
              <c:strCache>
                <c:ptCount val="15"/>
                <c:pt idx="0">
                  <c:v>Anti-tumor</c:v>
                </c:pt>
                <c:pt idx="1">
                  <c:v>Cardiovascular Agents, HF</c:v>
                </c:pt>
                <c:pt idx="2">
                  <c:v>Anti-Infective Agents (anti-fungal)</c:v>
                </c:pt>
                <c:pt idx="3">
                  <c:v>Central Nervous System Agents, bipolar disorder</c:v>
                </c:pt>
                <c:pt idx="4">
                  <c:v>Anti-fungi</c:v>
                </c:pt>
                <c:pt idx="5">
                  <c:v>Anti-Inflammatory Agents</c:v>
                </c:pt>
                <c:pt idx="6">
                  <c:v>Dietary support </c:v>
                </c:pt>
                <c:pt idx="7">
                  <c:v>Respiratory System Agents, Cardiovascular Agents</c:v>
                </c:pt>
                <c:pt idx="8">
                  <c:v>Dermatologic Agents</c:v>
                </c:pt>
                <c:pt idx="9">
                  <c:v>Respiratory System Agents</c:v>
                </c:pt>
                <c:pt idx="10">
                  <c:v>antipruritic </c:v>
                </c:pt>
                <c:pt idx="11">
                  <c:v>Gastrointestinal Agents</c:v>
                </c:pt>
                <c:pt idx="12">
                  <c:v>glycoalkaloid poison</c:v>
                </c:pt>
                <c:pt idx="13">
                  <c:v>Hematologic Agents</c:v>
                </c:pt>
                <c:pt idx="14">
                  <c:v>muscle relaxation </c:v>
                </c:pt>
              </c:strCache>
            </c:strRef>
          </c:cat>
          <c:val>
            <c:numRef>
              <c:f>Sheet6!$B$2:$B$16</c:f>
              <c:numCache>
                <c:formatCode>General</c:formatCode>
                <c:ptCount val="15"/>
                <c:pt idx="0">
                  <c:v>13</c:v>
                </c:pt>
                <c:pt idx="1">
                  <c:v>8</c:v>
                </c:pt>
                <c:pt idx="2">
                  <c:v>7</c:v>
                </c:pt>
                <c:pt idx="3">
                  <c:v>5</c:v>
                </c:pt>
                <c:pt idx="4">
                  <c:v>3</c:v>
                </c:pt>
                <c:pt idx="5">
                  <c:v>3</c:v>
                </c:pt>
                <c:pt idx="6">
                  <c:v>3</c:v>
                </c:pt>
                <c:pt idx="7">
                  <c:v>3</c:v>
                </c:pt>
                <c:pt idx="8">
                  <c:v>2</c:v>
                </c:pt>
                <c:pt idx="9">
                  <c:v>2</c:v>
                </c:pt>
                <c:pt idx="10">
                  <c:v>1</c:v>
                </c:pt>
                <c:pt idx="11">
                  <c:v>1</c:v>
                </c:pt>
                <c:pt idx="12">
                  <c:v>1</c:v>
                </c:pt>
                <c:pt idx="13">
                  <c:v>1</c:v>
                </c:pt>
                <c:pt idx="14">
                  <c:v>1</c:v>
                </c:pt>
              </c:numCache>
            </c:numRef>
          </c:val>
          <c:extLst>
            <c:ext xmlns:c16="http://schemas.microsoft.com/office/drawing/2014/chart" uri="{C3380CC4-5D6E-409C-BE32-E72D297353CC}">
              <c16:uniqueId val="{00000001-F8A5-7C40-8E78-668498B03194}"/>
            </c:ext>
          </c:extLst>
        </c:ser>
        <c:dLbls>
          <c:dLblPos val="bestFit"/>
          <c:showLegendKey val="0"/>
          <c:showVal val="0"/>
          <c:showCatName val="1"/>
          <c:showSerName val="0"/>
          <c:showPercent val="1"/>
          <c:showBubbleSize val="0"/>
          <c:showLeaderLines val="1"/>
        </c:dLbls>
        <c:gapWidth val="100"/>
        <c:secondPieSize val="75"/>
        <c:serLines/>
      </c:ofPieChart>
      <c:spPr>
        <a:noFill/>
        <a:ln w="25400">
          <a:noFill/>
        </a:ln>
      </c:spPr>
    </c:plotArea>
    <c:plotVisOnly val="1"/>
    <c:dispBlanksAs val="gap"/>
    <c:showDLblsOverMax val="0"/>
  </c:chart>
  <c:txPr>
    <a:bodyPr/>
    <a:lstStyle/>
    <a:p>
      <a:pPr>
        <a:defRPr sz="900">
          <a:solidFill>
            <a:srgbClr val="FF0000"/>
          </a:solidFill>
          <a:latin typeface="Arial"/>
          <a:cs typeface="Arial"/>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22</Pages>
  <Words>13392</Words>
  <Characters>76336</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University of Pittsburgh</Company>
  <LinksUpToDate>false</LinksUpToDate>
  <CharactersWithSpaces>89549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School of Pharmacy</dc:creator>
  <cp:keywords/>
  <dc:description/>
  <cp:lastModifiedBy>马 矢凡</cp:lastModifiedBy>
  <cp:revision>2</cp:revision>
  <dcterms:created xsi:type="dcterms:W3CDTF">2021-01-18T04:06:00Z</dcterms:created>
  <dcterms:modified xsi:type="dcterms:W3CDTF">2021-01-18T04:06:00Z</dcterms:modified>
</cp:coreProperties>
</file>