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5D" w:rsidRPr="001F7796" w:rsidRDefault="00F17E5D" w:rsidP="00F17E5D">
      <w:pPr>
        <w:keepNext/>
        <w:spacing w:after="0" w:line="480" w:lineRule="auto"/>
        <w:jc w:val="left"/>
      </w:pPr>
      <w:r w:rsidRPr="001F7796">
        <w:rPr>
          <w:noProof/>
          <w:lang w:val="en-US"/>
        </w:rPr>
        <w:drawing>
          <wp:inline distT="0" distB="0" distL="0" distR="0" wp14:anchorId="33908805" wp14:editId="4ABEE8A1">
            <wp:extent cx="5760720" cy="38582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E5D" w:rsidRPr="001F7796" w:rsidRDefault="00F17E5D" w:rsidP="00F17E5D">
      <w:pPr>
        <w:pStyle w:val="Caption"/>
      </w:pPr>
      <w:r w:rsidRPr="001F7796">
        <w:rPr>
          <w:b/>
          <w:bCs/>
        </w:rPr>
        <w:t>Supplementary Figure 1</w:t>
      </w:r>
      <w:r w:rsidRPr="001F7796">
        <w:t xml:space="preserve"> Division of RA patients based on their answers to two selected SF-36 questions</w:t>
      </w:r>
    </w:p>
    <w:p w:rsidR="00F17E5D" w:rsidRPr="001F7796" w:rsidRDefault="00F17E5D" w:rsidP="00F17E5D">
      <w:pPr>
        <w:spacing w:line="259" w:lineRule="auto"/>
        <w:jc w:val="left"/>
      </w:pPr>
      <w:r w:rsidRPr="001F7796">
        <w:br w:type="page"/>
      </w:r>
    </w:p>
    <w:p w:rsidR="00F17E5D" w:rsidRPr="001F7796" w:rsidRDefault="00F17E5D" w:rsidP="00F17E5D">
      <w:pPr>
        <w:spacing w:line="259" w:lineRule="auto"/>
        <w:jc w:val="left"/>
        <w:rPr>
          <w:sz w:val="18"/>
          <w:szCs w:val="18"/>
        </w:rPr>
      </w:pPr>
    </w:p>
    <w:p w:rsidR="00F17E5D" w:rsidRPr="001F7796" w:rsidRDefault="00F17E5D" w:rsidP="00F17E5D">
      <w:pPr>
        <w:pStyle w:val="Caption"/>
        <w:spacing w:after="120" w:line="240" w:lineRule="auto"/>
      </w:pPr>
      <w:r w:rsidRPr="001F7796">
        <w:rPr>
          <w:b/>
          <w:bCs/>
        </w:rPr>
        <w:t>Supplementary Table 1a</w:t>
      </w:r>
      <w:r w:rsidRPr="001F7796">
        <w:t xml:space="preserve"> Baseline characteristics of patients answering '</w:t>
      </w:r>
      <w:r w:rsidRPr="001F7796">
        <w:rPr>
          <w:i/>
          <w:iCs w:val="0"/>
        </w:rPr>
        <w:t>yes</w:t>
      </w:r>
      <w:r w:rsidRPr="001F7796">
        <w:rPr>
          <w:szCs w:val="22"/>
        </w:rPr>
        <w:t>'</w:t>
      </w:r>
      <w:r w:rsidRPr="001F7796">
        <w:t>/</w:t>
      </w:r>
      <w:r w:rsidRPr="001F7796">
        <w:rPr>
          <w:szCs w:val="22"/>
        </w:rPr>
        <w:t>'</w:t>
      </w:r>
      <w:r w:rsidRPr="001F7796">
        <w:rPr>
          <w:i/>
          <w:iCs w:val="0"/>
        </w:rPr>
        <w:t>no</w:t>
      </w:r>
      <w:r w:rsidRPr="001F7796">
        <w:t>' to studied questions within validation dataset</w:t>
      </w:r>
    </w:p>
    <w:tbl>
      <w:tblPr>
        <w:tblW w:w="9209" w:type="dxa"/>
        <w:tblBorders>
          <w:top w:val="single" w:sz="8" w:space="0" w:color="auto"/>
          <w:bottom w:val="single" w:sz="8" w:space="0" w:color="auto"/>
        </w:tblBorders>
        <w:tblLook w:val="0420" w:firstRow="1" w:lastRow="0" w:firstColumn="0" w:lastColumn="0" w:noHBand="0" w:noVBand="1"/>
      </w:tblPr>
      <w:tblGrid>
        <w:gridCol w:w="2494"/>
        <w:gridCol w:w="1678"/>
        <w:gridCol w:w="1679"/>
        <w:gridCol w:w="1679"/>
        <w:gridCol w:w="1679"/>
      </w:tblGrid>
      <w:tr w:rsidR="00F17E5D" w:rsidRPr="001F7796" w:rsidTr="001B3B5D">
        <w:trPr>
          <w:trHeight w:val="300"/>
        </w:trPr>
        <w:tc>
          <w:tcPr>
            <w:tcW w:w="249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35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Q11A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=470)</w:t>
            </w:r>
          </w:p>
        </w:tc>
        <w:tc>
          <w:tcPr>
            <w:tcW w:w="335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Q11C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=432)</w:t>
            </w:r>
          </w:p>
        </w:tc>
      </w:tr>
      <w:tr w:rsidR="00F17E5D" w:rsidRPr="001F7796" w:rsidTr="001B3B5D">
        <w:trPr>
          <w:trHeight w:val="300"/>
        </w:trPr>
        <w:tc>
          <w:tcPr>
            <w:tcW w:w="24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Characteristic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=216)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=254)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=231)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=201)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6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178 (82.4%)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196 (77.2%)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181 (78.4%)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163 (81.1%)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Age at diagnosis,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46.0 (34.0–54.5)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46.0 (35.0–55.0)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47.0 (35.0–55.0)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44.0 (35.0–55.0)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Age at start of 1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line,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54.5 (43.0–64.0)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55.0 (44.0–63.0)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55.0 (46.0–64.0)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53.0 (43.0–63.0)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Disease duration,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6.0 (2.8–11.7)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6.0 (2.1–10.4)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5.7 (2.8–11.8)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5.7 (2.0–10.4)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RF positive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147/214 (68.7%)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179/247 (72.5%)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158/228 (69.3%)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133/199 (66.8%)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ACPA positive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151/209 (72.2%)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168/246 (68.3%)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155/223 (69.5%)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137/199 (68.8%)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Presence of comorbidites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150 (69.4%)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170 (66.9%)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158 (68.4%)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132 (65.7%)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27.3 (23.7–31.5)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25.7 (23.0–30.1)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27.1 (23.5–30.3)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26.7 (24.0–30.8)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Previous csDMARDs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0–1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61 (28.2%)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82 (32.3%)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61 (26.4%)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63 (31.3%)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63 (29.2%)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99 (39.0%)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84 (36.4%)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81 (40.3%)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57 (26.4%)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45 (17.7%)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51 (22.1%)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42 (20.9%)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4+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35 (16.2%)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28 (11.0%)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35 (15.2%)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 (7.5%)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GCs in previous history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198 (91.7%)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231 (90.9%)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205 (88.7%)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186 (92.5%)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Concomitant csDMARDs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188 (87.0%)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229 (90.2%)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199 (86.1%)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183 (91.0%)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Concomitant MTX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162 (75.0%)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191 (75.2%)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172 (74.5%)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154 (76.6%)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Concomitant GCs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151 (69.9%)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156 (61.4%)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151 (65.4%)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133 (66.2%)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DAS28-ESR (0–10)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6.3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(5.7–7.1)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6.0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(5.3–6.7)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6.3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(5.6–6.9)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6.0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(5.3–6.5)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TJC (28 joints)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14.0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(10.0–19.0)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13.0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(9.0–17.0)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14.0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(10.0–18.0)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13.0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(9.0–17.0)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SJC (28 joints)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10.0 (6.0–13.5)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9.0 (6.0–12.0)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10.0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(7.0–13.0)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8.0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(5.0–11.0)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ESR (mm/h)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 xml:space="preserve">34.0 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>(22.0–49.0)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30.0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(16.5–43.5)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30.0 (19.0–45.0)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27.0 (15.0–40.0)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CRP (mg/l)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15.0 (7.0–25.0)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13.0 (5.3–25.0)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14.7 (6.0–25.0)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13.2 (6.0–22.7)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PtGA (0–100)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80.0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(70.0–85.0)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70.0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(60.0–85.0)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75.0 (65.0–85.0)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70.0 (60.0–80.0)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MDGA (0–100)</w:t>
            </w:r>
            <w:r w:rsidRPr="001F7796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70.0 (50.0–80.0)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70.0 (60.0–80.0)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68.0 (50.0–80.0)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70.0 (60.0–80.0)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HAQ-DI (0–3)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1.6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(1.3–2.1)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1.5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(1.1–2.0)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1.5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(1.1–2.0)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1.4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(1.0–2.0)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EQ-5D (-0.59–1)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0.1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(0.0–0.2)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0.2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(0.1–0.7)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0.1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(0.0–0.3)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0.2</w:t>
            </w:r>
            <w:r w:rsidRPr="001F7796">
              <w:rPr>
                <w:rFonts w:cstheme="minorHAnsi"/>
                <w:kern w:val="24"/>
                <w:sz w:val="20"/>
                <w:szCs w:val="20"/>
              </w:rPr>
              <w:t xml:space="preserve"> (0.1–0.7)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cstheme="minorHAns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Year od administration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2018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69 (31.9%)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93 (36.6%)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69 (29.9%)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72 (35.8%)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2019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147 (68.1%)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161 (63.4%)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162 (70.1%)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129 (64.2%)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cstheme="minorHAns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TNFi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Adalimumab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102 (47.2%)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103 (40.6%)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110 (47.6%)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79 (39.3%)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Etanercept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66 (30.6%)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89 (35.0%)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75 (32.5%)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61 (30.3%)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Infliximab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10 (4.6%)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9 (3.5%)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 (2.6%)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14 (7.0%)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Certolizumab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24 (11.1%)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27 (10.6%)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20 (8.7%)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21 (10.4%)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Golimumab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14 (6.5%)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26 (10.2%)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20 (8.7%)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26 (12.9%)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Bs ADA/ETA/INF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C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96/178 (53.9%)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C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64/201 (31.8%)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100/191 (52.4%)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56/154 (36.4%)</w:t>
            </w:r>
          </w:p>
        </w:tc>
      </w:tr>
    </w:tbl>
    <w:p w:rsidR="00F17E5D" w:rsidRPr="001F7796" w:rsidRDefault="00F17E5D" w:rsidP="00F17E5D">
      <w:pPr>
        <w:spacing w:after="0" w:line="240" w:lineRule="auto"/>
        <w:jc w:val="left"/>
        <w:rPr>
          <w:sz w:val="18"/>
          <w:szCs w:val="18"/>
        </w:rPr>
      </w:pPr>
      <w:r w:rsidRPr="001F7796">
        <w:rPr>
          <w:i/>
          <w:iCs/>
          <w:sz w:val="18"/>
          <w:szCs w:val="18"/>
        </w:rPr>
        <w:t>IQR</w:t>
      </w:r>
      <w:r w:rsidRPr="001F7796">
        <w:rPr>
          <w:sz w:val="18"/>
          <w:szCs w:val="18"/>
        </w:rPr>
        <w:t xml:space="preserve"> interquartile range; </w:t>
      </w:r>
      <w:r w:rsidRPr="001F7796">
        <w:rPr>
          <w:i/>
          <w:iCs/>
          <w:sz w:val="18"/>
          <w:szCs w:val="18"/>
        </w:rPr>
        <w:t>RF</w:t>
      </w:r>
      <w:r w:rsidRPr="001F7796">
        <w:rPr>
          <w:sz w:val="18"/>
          <w:szCs w:val="18"/>
        </w:rPr>
        <w:t xml:space="preserve"> rheumatoid factor; </w:t>
      </w:r>
      <w:r w:rsidRPr="001F7796">
        <w:rPr>
          <w:i/>
          <w:iCs/>
          <w:sz w:val="18"/>
          <w:szCs w:val="18"/>
        </w:rPr>
        <w:t>ACPA</w:t>
      </w:r>
      <w:r w:rsidRPr="001F7796">
        <w:rPr>
          <w:sz w:val="18"/>
          <w:szCs w:val="18"/>
        </w:rPr>
        <w:t xml:space="preserve"> anti-citrullinated protein; TNFi tumour necrosis factor inhibitor; </w:t>
      </w:r>
      <w:r w:rsidRPr="001F7796">
        <w:rPr>
          <w:i/>
          <w:iCs/>
          <w:sz w:val="18"/>
          <w:szCs w:val="18"/>
        </w:rPr>
        <w:t>csDMARDs</w:t>
      </w:r>
      <w:r w:rsidRPr="001F7796">
        <w:rPr>
          <w:sz w:val="18"/>
          <w:szCs w:val="18"/>
        </w:rPr>
        <w:t xml:space="preserve"> conventional synthetic disease-modifying anti-rheumatic drugs;</w:t>
      </w:r>
      <w:r w:rsidRPr="001F7796">
        <w:rPr>
          <w:i/>
          <w:iCs/>
          <w:sz w:val="18"/>
          <w:szCs w:val="18"/>
        </w:rPr>
        <w:t xml:space="preserve"> MTX</w:t>
      </w:r>
      <w:r w:rsidRPr="001F7796">
        <w:rPr>
          <w:sz w:val="18"/>
          <w:szCs w:val="18"/>
        </w:rPr>
        <w:t xml:space="preserve">  methotrexate; </w:t>
      </w:r>
      <w:r w:rsidRPr="001F7796">
        <w:rPr>
          <w:i/>
          <w:iCs/>
          <w:sz w:val="18"/>
          <w:szCs w:val="18"/>
        </w:rPr>
        <w:t>DAS28-ESR</w:t>
      </w:r>
      <w:r w:rsidRPr="001F7796">
        <w:rPr>
          <w:sz w:val="18"/>
          <w:szCs w:val="18"/>
        </w:rPr>
        <w:t xml:space="preserve"> 28-joint disease activity score with ESR; </w:t>
      </w:r>
      <w:r w:rsidRPr="001F7796">
        <w:rPr>
          <w:i/>
          <w:iCs/>
          <w:sz w:val="18"/>
          <w:szCs w:val="18"/>
        </w:rPr>
        <w:t>TJC</w:t>
      </w:r>
      <w:r w:rsidRPr="001F7796">
        <w:rPr>
          <w:sz w:val="18"/>
          <w:szCs w:val="18"/>
        </w:rPr>
        <w:t xml:space="preserve"> tender joint count; </w:t>
      </w:r>
      <w:r w:rsidRPr="001F7796">
        <w:rPr>
          <w:i/>
          <w:iCs/>
          <w:sz w:val="18"/>
          <w:szCs w:val="18"/>
        </w:rPr>
        <w:t xml:space="preserve">SJC </w:t>
      </w:r>
      <w:r w:rsidRPr="001F7796">
        <w:rPr>
          <w:sz w:val="18"/>
          <w:szCs w:val="18"/>
        </w:rPr>
        <w:t xml:space="preserve">swollen joint count; </w:t>
      </w:r>
      <w:r w:rsidRPr="001F7796">
        <w:rPr>
          <w:i/>
          <w:iCs/>
          <w:sz w:val="18"/>
          <w:szCs w:val="18"/>
        </w:rPr>
        <w:t>ESR</w:t>
      </w:r>
      <w:r w:rsidRPr="001F7796">
        <w:rPr>
          <w:sz w:val="18"/>
          <w:szCs w:val="18"/>
        </w:rPr>
        <w:t xml:space="preserve"> erythrocyte sedimentation rate; </w:t>
      </w:r>
      <w:r w:rsidRPr="001F7796">
        <w:rPr>
          <w:i/>
          <w:iCs/>
          <w:sz w:val="18"/>
          <w:szCs w:val="18"/>
        </w:rPr>
        <w:t>CRP</w:t>
      </w:r>
      <w:r w:rsidRPr="001F7796">
        <w:rPr>
          <w:sz w:val="18"/>
          <w:szCs w:val="18"/>
        </w:rPr>
        <w:t xml:space="preserve"> C-reactive protein; </w:t>
      </w:r>
      <w:r w:rsidRPr="001F7796">
        <w:rPr>
          <w:i/>
          <w:iCs/>
          <w:sz w:val="18"/>
          <w:szCs w:val="18"/>
        </w:rPr>
        <w:t>PtGA</w:t>
      </w:r>
      <w:r w:rsidRPr="001F7796">
        <w:rPr>
          <w:sz w:val="18"/>
          <w:szCs w:val="18"/>
        </w:rPr>
        <w:t xml:space="preserve"> patient general assessment of disease activity; </w:t>
      </w:r>
      <w:r w:rsidRPr="001F7796">
        <w:rPr>
          <w:i/>
          <w:iCs/>
          <w:sz w:val="18"/>
          <w:szCs w:val="18"/>
        </w:rPr>
        <w:t>MDGA</w:t>
      </w:r>
      <w:r w:rsidRPr="001F7796">
        <w:rPr>
          <w:sz w:val="18"/>
          <w:szCs w:val="18"/>
        </w:rPr>
        <w:t xml:space="preserve"> physician general assessment of disease activity; </w:t>
      </w:r>
      <w:r w:rsidRPr="001F7796">
        <w:rPr>
          <w:i/>
          <w:iCs/>
          <w:sz w:val="18"/>
          <w:szCs w:val="18"/>
        </w:rPr>
        <w:t>HAQ</w:t>
      </w:r>
      <w:r w:rsidRPr="001F7796">
        <w:rPr>
          <w:i/>
          <w:iCs/>
          <w:sz w:val="18"/>
          <w:szCs w:val="18"/>
        </w:rPr>
        <w:noBreakHyphen/>
        <w:t>DI</w:t>
      </w:r>
      <w:r w:rsidRPr="001F7796">
        <w:rPr>
          <w:sz w:val="18"/>
          <w:szCs w:val="18"/>
        </w:rPr>
        <w:t xml:space="preserve"> Health Assessment Questionnaire; </w:t>
      </w:r>
      <w:r w:rsidRPr="001F7796">
        <w:rPr>
          <w:i/>
          <w:iCs/>
          <w:sz w:val="18"/>
          <w:szCs w:val="18"/>
        </w:rPr>
        <w:t>EQ-5D</w:t>
      </w:r>
      <w:r w:rsidRPr="001F7796">
        <w:rPr>
          <w:sz w:val="18"/>
          <w:szCs w:val="18"/>
        </w:rPr>
        <w:t xml:space="preserve"> EuroQol 5 Dimension for measuring the quality of life</w:t>
      </w:r>
    </w:p>
    <w:p w:rsidR="00F17E5D" w:rsidRPr="001F7796" w:rsidRDefault="00F17E5D" w:rsidP="00F17E5D">
      <w:pPr>
        <w:spacing w:after="0" w:line="240" w:lineRule="auto"/>
        <w:jc w:val="left"/>
        <w:rPr>
          <w:sz w:val="18"/>
          <w:szCs w:val="18"/>
        </w:rPr>
      </w:pPr>
      <w:r w:rsidRPr="001F7796">
        <w:rPr>
          <w:spacing w:val="-4"/>
          <w:sz w:val="18"/>
          <w:szCs w:val="18"/>
        </w:rPr>
        <w:t xml:space="preserve">For continuous variables, the median (interquartile range) is presented. For categorical variables, absolute </w:t>
      </w:r>
      <w:r w:rsidRPr="001F7796">
        <w:rPr>
          <w:i/>
          <w:iCs/>
          <w:spacing w:val="-4"/>
          <w:sz w:val="18"/>
          <w:szCs w:val="18"/>
        </w:rPr>
        <w:t>(</w:t>
      </w:r>
      <w:r w:rsidRPr="001F7796">
        <w:rPr>
          <w:spacing w:val="-4"/>
          <w:sz w:val="18"/>
          <w:szCs w:val="18"/>
        </w:rPr>
        <w:t>relative) frequencies are presented.</w:t>
      </w:r>
      <w:r w:rsidRPr="001F7796">
        <w:rPr>
          <w:sz w:val="18"/>
          <w:szCs w:val="18"/>
        </w:rPr>
        <w:t xml:space="preserve"> Statistical significant differences (p&lt;0.05) across patients' groups are marked in bold.</w:t>
      </w:r>
    </w:p>
    <w:p w:rsidR="00F17E5D" w:rsidRPr="001F7796" w:rsidRDefault="00F17E5D" w:rsidP="00F17E5D">
      <w:pPr>
        <w:spacing w:line="259" w:lineRule="auto"/>
        <w:jc w:val="left"/>
      </w:pPr>
      <w:r w:rsidRPr="001F7796">
        <w:rPr>
          <w:b/>
          <w:bCs/>
        </w:rPr>
        <w:br w:type="page"/>
      </w:r>
      <w:r w:rsidRPr="001F7796">
        <w:rPr>
          <w:b/>
          <w:bCs/>
        </w:rPr>
        <w:lastRenderedPageBreak/>
        <w:t>Supplementary Table 1b</w:t>
      </w:r>
      <w:r w:rsidRPr="001F7796">
        <w:rPr>
          <w:i/>
        </w:rPr>
        <w:t xml:space="preserve"> </w:t>
      </w:r>
      <w:r w:rsidRPr="001F7796">
        <w:t>Baseline characteristics of patients answering 'yes'/'no' to studied questions within propensity score-matched primary dataset</w:t>
      </w:r>
    </w:p>
    <w:tbl>
      <w:tblPr>
        <w:tblW w:w="9209" w:type="dxa"/>
        <w:tblBorders>
          <w:top w:val="single" w:sz="8" w:space="0" w:color="auto"/>
          <w:bottom w:val="single" w:sz="8" w:space="0" w:color="auto"/>
        </w:tblBorders>
        <w:tblLook w:val="0420" w:firstRow="1" w:lastRow="0" w:firstColumn="0" w:lastColumn="0" w:noHBand="0" w:noVBand="1"/>
      </w:tblPr>
      <w:tblGrid>
        <w:gridCol w:w="2494"/>
        <w:gridCol w:w="1678"/>
        <w:gridCol w:w="1679"/>
        <w:gridCol w:w="1679"/>
        <w:gridCol w:w="1679"/>
      </w:tblGrid>
      <w:tr w:rsidR="00F17E5D" w:rsidRPr="001F7796" w:rsidTr="001B3B5D">
        <w:trPr>
          <w:trHeight w:val="300"/>
        </w:trPr>
        <w:tc>
          <w:tcPr>
            <w:tcW w:w="249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5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Q11A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=1148)</w:t>
            </w:r>
          </w:p>
        </w:tc>
        <w:tc>
          <w:tcPr>
            <w:tcW w:w="335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Q11C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=1100)</w:t>
            </w:r>
          </w:p>
        </w:tc>
      </w:tr>
      <w:tr w:rsidR="00F17E5D" w:rsidRPr="001F7796" w:rsidTr="001B3B5D">
        <w:trPr>
          <w:trHeight w:val="300"/>
        </w:trPr>
        <w:tc>
          <w:tcPr>
            <w:tcW w:w="24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Characteristic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=574)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=574)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=550)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=550)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Female*</w:t>
            </w:r>
          </w:p>
        </w:tc>
        <w:tc>
          <w:tcPr>
            <w:tcW w:w="16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469 (81.7%)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455 (79.3%)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438 (79.6%)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443 (80.5%)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Age at diagnosis,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43.0 (32.0–50.0)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42.0 (34.0–50.0)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42.0 (33.0–51.0)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43.0 (32.0–52.0)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Age at start of 1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line,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52.0 (43.0–59.0)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52.0 (44.0–59.0)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52.0 (43.0–60.0)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53.0 (42.0–60.0)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Disease duration*,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7.2 (3.3–13.0)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7.2 (3.5–13.3)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7.4 (3.3–13.0)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6.1 (3.0–13.0)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RF positive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397 (76.1%)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374 (73.0%)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362 (74.2%)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355 (73.0%)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ACPA positive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334 (69.9%)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328 (71.9%)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310 (69.2%)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325 (73.0%)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Presence of comorbidities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312 (54.4%)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285 (49.7%)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294 (53.5%)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281 (51.1%)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BMI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25.5 (22.8–29.7)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25.3 (22.4–28.8)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25.5 (22.7–29.4)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25.4 (22.8–28.4)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Previous csDMARDs*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0–1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93 (16.2%)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96 (16.7%)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109 (19.8%)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125 (22.8%)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123 (21.4%)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129 (22.5%)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134 (24.4%)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147 (26.7%)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124 (21.6%)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130 (22.6%)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121 (22.0%)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118 (21.5%)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4+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234 (40.8%)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219 (38.2%)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186 (33.8%)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160 (29.1%)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GCs in previous history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532 (92.7%)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519 (90.6%)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499 (90.7%)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499 (90.9%)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Concomitant csDMARDs*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481 (83.8%)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477 (83.1%)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455 (82.7%)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438 (79.6%)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Concomitant MTX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371 (64.6%)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381 (66.4%)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354 (64.4%)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361 (65.6%)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Concomitant GCs*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363 (63.2%)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347 (60.5%)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339 (61.6%)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330 (60.0%)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DAS28-ESR* (0–10)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6.3 (5.8–6.9)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6.3 (5.6–6.9)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6.3 (5.7–6.8)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6.3 (5.6–6.9)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TJC (28 joints)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14.0 (10.0–18.0)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13.0 (9.0–18.0)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13.0 (10.0–18.0)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13.0 (9.0–18.0)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SJC (28 joints)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10.0 (8.0–14.0)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10.0 (7.0–14.0)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10.0 (8.0–14.0)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10.0 (7.0–14.0)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ESR (mm/h)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34.0 (21.0–50.0)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16.2 (7.0–32.3)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33.0 (21.0–46.0)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32.0 (22.0–49.0)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CRP (mg/l)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17.9 (8.4–32.4)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32.0 (21.0–47.0)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16.0 (8.3–31.9)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16.8 (7.1–32.0)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PtGA (0–100)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70.0 (60.0–80.0)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val="cs-CZ" w:eastAsia="en-GB"/>
              </w:rPr>
              <w:t>70.0 (60.0–80.0)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sz w:val="20"/>
                <w:szCs w:val="20"/>
                <w:lang w:eastAsia="en-GB"/>
              </w:rPr>
              <w:t>70.0 (60.0–80.0)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70.0 (60.0–80.0)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MDGA (0–100)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60.0 (50.0–75.0)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val="cs-CZ" w:eastAsia="en-GB"/>
              </w:rPr>
              <w:t>68.0 (53.0–80.0)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60.0 (50.0–75.0)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b/>
                <w:bCs/>
                <w:kern w:val="24"/>
                <w:sz w:val="20"/>
                <w:szCs w:val="20"/>
              </w:rPr>
              <w:t>69.0 (52.0–80.0)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HAQ-DI (0–3)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1.6 (1.3–2.0)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1.5 (1.0–1.9)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1.6 (1.3–2.0)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b/>
                <w:bCs/>
                <w:kern w:val="24"/>
                <w:sz w:val="20"/>
                <w:szCs w:val="20"/>
              </w:rPr>
              <w:t>1.5 (1.0–1.9)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EQ-5D (-0.59–1)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0.1 (0.0–0.5)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0.2 (0.1–0.7)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0.1 (0.0–0.5)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b/>
                <w:bCs/>
                <w:kern w:val="24"/>
                <w:sz w:val="20"/>
                <w:szCs w:val="20"/>
              </w:rPr>
              <w:t>0.2 (0.1–0.7)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cs="Times New Roman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Year od administration*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2001–2011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339 (59.1%)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346 (60.3%)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316 (57.5%)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307 (55.8%)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2012–2013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54 (14.6%)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78 (13.6%)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80 (14.5%)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82 (14.9%)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2014–2015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89 (15.5%)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89 (15.5%)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97 (17.7%)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104 (18.9%)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2016–2017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62 (10.8%)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61 (10.6%)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57 (10.4%)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57 (10.4%)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Adalimumab*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259 (45.1%)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244 (42.5%)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232 (42.2%)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234 (42.5%)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Etanercept*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142 (24.7%)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145 (25.3%)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133 (24.2%)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117 (21.3%)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Infliximab*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100 (17.4%)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108 (18.8%)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111 (20.2%)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121 (22.0%)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Certolizumab*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30 (5.2%)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32 (5.6%)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33 (6.0%)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37 (6.7%)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Golimumab*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kern w:val="24"/>
                <w:sz w:val="20"/>
                <w:szCs w:val="20"/>
              </w:rPr>
              <w:t>43 (7.5%)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45 (7.8%)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41 (7.5%)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  <w:t>41 (7.5%)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Bs ADA/ETA/INF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</w:rPr>
              <w:t>20 (4.0%)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22</w:t>
            </w:r>
            <w:r w:rsidRPr="001F7796">
              <w:rPr>
                <w:rFonts w:cs="Times New Roman"/>
                <w:kern w:val="24"/>
                <w:sz w:val="20"/>
                <w:szCs w:val="20"/>
              </w:rPr>
              <w:t xml:space="preserve"> (</w:t>
            </w:r>
            <w:r w:rsidRPr="001F7796">
              <w:rPr>
                <w:rFonts w:cs="Times New Roman"/>
                <w:kern w:val="24"/>
                <w:sz w:val="20"/>
                <w:szCs w:val="20"/>
                <w:lang w:val="cs-CZ"/>
              </w:rPr>
              <w:t>4.4</w:t>
            </w:r>
            <w:r w:rsidRPr="001F7796">
              <w:rPr>
                <w:rFonts w:cs="Times New Roman"/>
                <w:kern w:val="24"/>
                <w:sz w:val="20"/>
                <w:szCs w:val="20"/>
              </w:rPr>
              <w:t>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25 (5.3%)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25 (5.3%)</w:t>
            </w:r>
          </w:p>
        </w:tc>
      </w:tr>
    </w:tbl>
    <w:p w:rsidR="00F17E5D" w:rsidRPr="001F7796" w:rsidRDefault="00F17E5D" w:rsidP="00F17E5D">
      <w:pPr>
        <w:spacing w:after="0" w:line="240" w:lineRule="auto"/>
        <w:jc w:val="left"/>
        <w:rPr>
          <w:sz w:val="17"/>
          <w:szCs w:val="17"/>
        </w:rPr>
      </w:pPr>
      <w:r w:rsidRPr="001F7796">
        <w:rPr>
          <w:i/>
          <w:iCs/>
          <w:sz w:val="17"/>
          <w:szCs w:val="17"/>
        </w:rPr>
        <w:t>IQR</w:t>
      </w:r>
      <w:r w:rsidRPr="001F7796">
        <w:rPr>
          <w:sz w:val="17"/>
          <w:szCs w:val="17"/>
        </w:rPr>
        <w:t xml:space="preserve"> interquartile range; </w:t>
      </w:r>
      <w:r w:rsidRPr="001F7796">
        <w:rPr>
          <w:i/>
          <w:iCs/>
          <w:sz w:val="17"/>
          <w:szCs w:val="17"/>
        </w:rPr>
        <w:t>RF</w:t>
      </w:r>
      <w:r w:rsidRPr="001F7796">
        <w:rPr>
          <w:sz w:val="17"/>
          <w:szCs w:val="17"/>
        </w:rPr>
        <w:t xml:space="preserve"> rheumatoid factor; </w:t>
      </w:r>
      <w:r w:rsidRPr="001F7796">
        <w:rPr>
          <w:i/>
          <w:iCs/>
          <w:sz w:val="17"/>
          <w:szCs w:val="17"/>
        </w:rPr>
        <w:t>ACPA</w:t>
      </w:r>
      <w:r w:rsidRPr="001F7796">
        <w:rPr>
          <w:sz w:val="17"/>
          <w:szCs w:val="17"/>
        </w:rPr>
        <w:t xml:space="preserve"> anti-citrullinated protein; TNFi tumour necrosis factor inhibitor; </w:t>
      </w:r>
      <w:r w:rsidRPr="001F7796">
        <w:rPr>
          <w:i/>
          <w:iCs/>
          <w:sz w:val="17"/>
          <w:szCs w:val="17"/>
        </w:rPr>
        <w:t>csDMARDs</w:t>
      </w:r>
      <w:r w:rsidRPr="001F7796">
        <w:rPr>
          <w:sz w:val="17"/>
          <w:szCs w:val="17"/>
        </w:rPr>
        <w:t xml:space="preserve"> conventional synthetic disease-modifying anti-rheumatic drugs;</w:t>
      </w:r>
      <w:r w:rsidRPr="001F7796">
        <w:rPr>
          <w:i/>
          <w:iCs/>
          <w:sz w:val="17"/>
          <w:szCs w:val="17"/>
        </w:rPr>
        <w:t xml:space="preserve"> MTX</w:t>
      </w:r>
      <w:r w:rsidRPr="001F7796">
        <w:rPr>
          <w:sz w:val="17"/>
          <w:szCs w:val="17"/>
        </w:rPr>
        <w:t xml:space="preserve">  methotrexate; </w:t>
      </w:r>
      <w:r w:rsidRPr="001F7796">
        <w:rPr>
          <w:i/>
          <w:iCs/>
          <w:sz w:val="17"/>
          <w:szCs w:val="17"/>
        </w:rPr>
        <w:t>DAS28-ESR</w:t>
      </w:r>
      <w:r w:rsidRPr="001F7796">
        <w:rPr>
          <w:sz w:val="17"/>
          <w:szCs w:val="17"/>
        </w:rPr>
        <w:t xml:space="preserve"> 28-joint disease activity score with ESR; </w:t>
      </w:r>
      <w:r w:rsidRPr="001F7796">
        <w:rPr>
          <w:i/>
          <w:iCs/>
          <w:sz w:val="17"/>
          <w:szCs w:val="17"/>
        </w:rPr>
        <w:t>TJC</w:t>
      </w:r>
      <w:r w:rsidRPr="001F7796">
        <w:rPr>
          <w:sz w:val="17"/>
          <w:szCs w:val="17"/>
        </w:rPr>
        <w:t xml:space="preserve"> tender joint count; </w:t>
      </w:r>
      <w:r w:rsidRPr="001F7796">
        <w:rPr>
          <w:i/>
          <w:iCs/>
          <w:sz w:val="17"/>
          <w:szCs w:val="17"/>
        </w:rPr>
        <w:t xml:space="preserve">SJC </w:t>
      </w:r>
      <w:r w:rsidRPr="001F7796">
        <w:rPr>
          <w:sz w:val="17"/>
          <w:szCs w:val="17"/>
        </w:rPr>
        <w:t xml:space="preserve">swollen joint count; </w:t>
      </w:r>
      <w:r w:rsidRPr="001F7796">
        <w:rPr>
          <w:i/>
          <w:iCs/>
          <w:sz w:val="17"/>
          <w:szCs w:val="17"/>
        </w:rPr>
        <w:t>ESR</w:t>
      </w:r>
      <w:r w:rsidRPr="001F7796">
        <w:rPr>
          <w:sz w:val="17"/>
          <w:szCs w:val="17"/>
        </w:rPr>
        <w:t xml:space="preserve"> erythrocyte sedimentation rate; </w:t>
      </w:r>
      <w:r w:rsidRPr="001F7796">
        <w:rPr>
          <w:i/>
          <w:iCs/>
          <w:sz w:val="17"/>
          <w:szCs w:val="17"/>
        </w:rPr>
        <w:t>CRP</w:t>
      </w:r>
      <w:r w:rsidRPr="001F7796">
        <w:rPr>
          <w:sz w:val="17"/>
          <w:szCs w:val="17"/>
        </w:rPr>
        <w:t xml:space="preserve"> C-reactive protein; </w:t>
      </w:r>
      <w:r w:rsidRPr="001F7796">
        <w:rPr>
          <w:i/>
          <w:iCs/>
          <w:sz w:val="17"/>
          <w:szCs w:val="17"/>
        </w:rPr>
        <w:t>PtGA</w:t>
      </w:r>
      <w:r w:rsidRPr="001F7796">
        <w:rPr>
          <w:sz w:val="17"/>
          <w:szCs w:val="17"/>
        </w:rPr>
        <w:t xml:space="preserve"> patient general assessment of disease activity; </w:t>
      </w:r>
      <w:r w:rsidRPr="001F7796">
        <w:rPr>
          <w:i/>
          <w:iCs/>
          <w:sz w:val="17"/>
          <w:szCs w:val="17"/>
        </w:rPr>
        <w:t>MDGA</w:t>
      </w:r>
      <w:r w:rsidRPr="001F7796">
        <w:rPr>
          <w:sz w:val="17"/>
          <w:szCs w:val="17"/>
        </w:rPr>
        <w:t xml:space="preserve"> physician general assessment of disease activity; </w:t>
      </w:r>
      <w:r w:rsidRPr="001F7796">
        <w:rPr>
          <w:i/>
          <w:iCs/>
          <w:sz w:val="17"/>
          <w:szCs w:val="17"/>
        </w:rPr>
        <w:t>HAQ</w:t>
      </w:r>
      <w:r w:rsidRPr="001F7796">
        <w:rPr>
          <w:i/>
          <w:iCs/>
          <w:sz w:val="17"/>
          <w:szCs w:val="17"/>
        </w:rPr>
        <w:noBreakHyphen/>
        <w:t>DI</w:t>
      </w:r>
      <w:r w:rsidRPr="001F7796">
        <w:rPr>
          <w:sz w:val="17"/>
          <w:szCs w:val="17"/>
        </w:rPr>
        <w:t xml:space="preserve"> Health Assessment Questionnaire; </w:t>
      </w:r>
      <w:r w:rsidRPr="001F7796">
        <w:rPr>
          <w:i/>
          <w:iCs/>
          <w:sz w:val="17"/>
          <w:szCs w:val="17"/>
        </w:rPr>
        <w:t>EQ-5D</w:t>
      </w:r>
      <w:r w:rsidRPr="001F7796">
        <w:rPr>
          <w:sz w:val="17"/>
          <w:szCs w:val="17"/>
        </w:rPr>
        <w:t xml:space="preserve"> EuroQol 5 Dimension for measuring the quality of life</w:t>
      </w:r>
    </w:p>
    <w:p w:rsidR="00F17E5D" w:rsidRPr="001F7796" w:rsidRDefault="00F17E5D" w:rsidP="00F17E5D">
      <w:pPr>
        <w:spacing w:after="0" w:line="240" w:lineRule="auto"/>
        <w:jc w:val="left"/>
        <w:rPr>
          <w:sz w:val="17"/>
          <w:szCs w:val="17"/>
        </w:rPr>
      </w:pPr>
      <w:r w:rsidRPr="001F7796">
        <w:rPr>
          <w:spacing w:val="-4"/>
          <w:sz w:val="17"/>
          <w:szCs w:val="17"/>
        </w:rPr>
        <w:t xml:space="preserve">For continuous variables, the median (interquartile range) is presented. For categorical variables, absolute </w:t>
      </w:r>
      <w:r w:rsidRPr="001F7796">
        <w:rPr>
          <w:i/>
          <w:iCs/>
          <w:spacing w:val="-4"/>
          <w:sz w:val="17"/>
          <w:szCs w:val="17"/>
        </w:rPr>
        <w:t>(</w:t>
      </w:r>
      <w:r w:rsidRPr="001F7796">
        <w:rPr>
          <w:spacing w:val="-4"/>
          <w:sz w:val="17"/>
          <w:szCs w:val="17"/>
        </w:rPr>
        <w:t>relative) frequencies are presented.</w:t>
      </w:r>
      <w:r w:rsidRPr="001F7796">
        <w:rPr>
          <w:sz w:val="17"/>
          <w:szCs w:val="17"/>
        </w:rPr>
        <w:t xml:space="preserve"> Statistical significant differences (p&lt;0.05) across patients' groups are marked in bold.</w:t>
      </w:r>
    </w:p>
    <w:p w:rsidR="00F17E5D" w:rsidRPr="001F7796" w:rsidRDefault="00F17E5D" w:rsidP="00F17E5D">
      <w:pPr>
        <w:spacing w:after="0" w:line="240" w:lineRule="auto"/>
        <w:jc w:val="left"/>
        <w:rPr>
          <w:sz w:val="17"/>
          <w:szCs w:val="17"/>
        </w:rPr>
      </w:pPr>
      <w:r w:rsidRPr="001F7796">
        <w:rPr>
          <w:sz w:val="17"/>
          <w:szCs w:val="17"/>
          <w:vertAlign w:val="superscript"/>
        </w:rPr>
        <w:t>a</w:t>
      </w:r>
      <w:r w:rsidRPr="001F7796">
        <w:rPr>
          <w:sz w:val="17"/>
          <w:szCs w:val="17"/>
        </w:rPr>
        <w:t xml:space="preserve"> BMI: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>=426 (Q11A '</w:t>
      </w:r>
      <w:r w:rsidRPr="001F7796">
        <w:rPr>
          <w:i/>
          <w:iCs/>
          <w:sz w:val="17"/>
          <w:szCs w:val="17"/>
        </w:rPr>
        <w:t>yes</w:t>
      </w:r>
      <w:r w:rsidRPr="001F7796">
        <w:rPr>
          <w:sz w:val="17"/>
          <w:szCs w:val="17"/>
        </w:rPr>
        <w:t xml:space="preserve">'),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>=383 (Q11A '</w:t>
      </w:r>
      <w:r w:rsidRPr="001F7796">
        <w:rPr>
          <w:i/>
          <w:iCs/>
          <w:sz w:val="17"/>
          <w:szCs w:val="17"/>
        </w:rPr>
        <w:t>no</w:t>
      </w:r>
      <w:r w:rsidRPr="001F7796">
        <w:rPr>
          <w:sz w:val="17"/>
          <w:szCs w:val="17"/>
        </w:rPr>
        <w:t xml:space="preserve">'),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 xml:space="preserve">=393 (Q11C 'yes'),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>=373 (Q11C 'no')</w:t>
      </w:r>
    </w:p>
    <w:p w:rsidR="00F17E5D" w:rsidRPr="001F7796" w:rsidRDefault="00F17E5D" w:rsidP="00F17E5D">
      <w:pPr>
        <w:spacing w:after="0" w:line="240" w:lineRule="auto"/>
        <w:jc w:val="left"/>
        <w:rPr>
          <w:sz w:val="17"/>
          <w:szCs w:val="17"/>
        </w:rPr>
      </w:pPr>
      <w:r w:rsidRPr="001F7796">
        <w:rPr>
          <w:sz w:val="17"/>
          <w:szCs w:val="17"/>
          <w:vertAlign w:val="superscript"/>
        </w:rPr>
        <w:t>b</w:t>
      </w:r>
      <w:r w:rsidRPr="001F7796">
        <w:rPr>
          <w:sz w:val="17"/>
          <w:szCs w:val="17"/>
        </w:rPr>
        <w:t xml:space="preserve"> MDGA: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>=313 (Q11A '</w:t>
      </w:r>
      <w:r w:rsidRPr="001F7796">
        <w:rPr>
          <w:i/>
          <w:iCs/>
          <w:sz w:val="17"/>
          <w:szCs w:val="17"/>
        </w:rPr>
        <w:t>yes</w:t>
      </w:r>
      <w:r w:rsidRPr="001F7796">
        <w:rPr>
          <w:sz w:val="17"/>
          <w:szCs w:val="17"/>
        </w:rPr>
        <w:t xml:space="preserve">'),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>=273 (Q11A '</w:t>
      </w:r>
      <w:r w:rsidRPr="001F7796">
        <w:rPr>
          <w:i/>
          <w:iCs/>
          <w:sz w:val="17"/>
          <w:szCs w:val="17"/>
        </w:rPr>
        <w:t>no</w:t>
      </w:r>
      <w:r w:rsidRPr="001F7796">
        <w:rPr>
          <w:sz w:val="17"/>
          <w:szCs w:val="17"/>
        </w:rPr>
        <w:t xml:space="preserve">'),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 xml:space="preserve">=299 (Q11C 'yes'), </w:t>
      </w:r>
      <w:r w:rsidRPr="001F7796">
        <w:rPr>
          <w:i/>
          <w:iCs/>
          <w:sz w:val="17"/>
          <w:szCs w:val="17"/>
        </w:rPr>
        <w:t>n</w:t>
      </w:r>
      <w:r w:rsidRPr="001F7796">
        <w:rPr>
          <w:sz w:val="17"/>
          <w:szCs w:val="17"/>
        </w:rPr>
        <w:t>=283 (Q11C 'no')</w:t>
      </w:r>
    </w:p>
    <w:p w:rsidR="00F17E5D" w:rsidRPr="001F7796" w:rsidRDefault="00F17E5D" w:rsidP="00F17E5D">
      <w:pPr>
        <w:spacing w:after="0" w:line="480" w:lineRule="auto"/>
        <w:rPr>
          <w:sz w:val="17"/>
          <w:szCs w:val="17"/>
        </w:rPr>
      </w:pPr>
      <w:r w:rsidRPr="001F7796">
        <w:rPr>
          <w:sz w:val="17"/>
          <w:szCs w:val="17"/>
        </w:rPr>
        <w:t>* Variables included in the propensity score model.</w:t>
      </w:r>
    </w:p>
    <w:p w:rsidR="00F17E5D" w:rsidRPr="001F7796" w:rsidRDefault="00F17E5D" w:rsidP="00F17E5D">
      <w:pPr>
        <w:pStyle w:val="Caption"/>
        <w:keepNext/>
        <w:spacing w:after="60" w:line="240" w:lineRule="auto"/>
      </w:pPr>
      <w:r w:rsidRPr="001F7796">
        <w:rPr>
          <w:b/>
          <w:bCs/>
        </w:rPr>
        <w:lastRenderedPageBreak/>
        <w:t>Supplementary Table 1c</w:t>
      </w:r>
      <w:r w:rsidRPr="001F7796">
        <w:t xml:space="preserve"> Baseline characteristics of patients answering 'yes'/'no' to studied questions within propensity score-matched validation dataset</w:t>
      </w:r>
    </w:p>
    <w:tbl>
      <w:tblPr>
        <w:tblW w:w="9209" w:type="dxa"/>
        <w:tblBorders>
          <w:top w:val="single" w:sz="8" w:space="0" w:color="auto"/>
          <w:bottom w:val="single" w:sz="8" w:space="0" w:color="auto"/>
        </w:tblBorders>
        <w:tblLook w:val="0420" w:firstRow="1" w:lastRow="0" w:firstColumn="0" w:lastColumn="0" w:noHBand="0" w:noVBand="1"/>
      </w:tblPr>
      <w:tblGrid>
        <w:gridCol w:w="2494"/>
        <w:gridCol w:w="1678"/>
        <w:gridCol w:w="1679"/>
        <w:gridCol w:w="1679"/>
        <w:gridCol w:w="1679"/>
      </w:tblGrid>
      <w:tr w:rsidR="00F17E5D" w:rsidRPr="001F7796" w:rsidTr="001B3B5D">
        <w:trPr>
          <w:trHeight w:val="300"/>
        </w:trPr>
        <w:tc>
          <w:tcPr>
            <w:tcW w:w="249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5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Q11A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=370)</w:t>
            </w:r>
          </w:p>
        </w:tc>
        <w:tc>
          <w:tcPr>
            <w:tcW w:w="335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Q11C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=338)</w:t>
            </w:r>
          </w:p>
        </w:tc>
      </w:tr>
      <w:tr w:rsidR="00F17E5D" w:rsidRPr="001F7796" w:rsidTr="001B3B5D">
        <w:trPr>
          <w:trHeight w:val="300"/>
        </w:trPr>
        <w:tc>
          <w:tcPr>
            <w:tcW w:w="249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  <w:t>Characteristic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=185)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=185)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Yes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=169)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No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1F7796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=169)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Female*</w:t>
            </w:r>
          </w:p>
        </w:tc>
        <w:tc>
          <w:tcPr>
            <w:tcW w:w="167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150 (81.1%)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150 (81.1%)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131 (77.5%)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  <w:lang w:val="cs-CZ"/>
              </w:rPr>
              <w:t>133 (78.7%)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Age at diagnosis,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45.0 (32.0–55.0)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44.0 (34.0–55.0)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47.0 (35.0–54.0)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  <w:lang w:val="cs-CZ"/>
              </w:rPr>
              <w:t>45.0 (35.0–55.0)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Age at start of 1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line*, yrs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55.0 (43.0–64.0)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53.0 (43.0–63.0)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55.0 (47.0–63.0)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53.0 (43.0–64.0)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Disease duration, years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6.5 (3.2–11.9)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6.0 (2.2–10.7)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6.2 (3.1–11.5)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5.7 (1.9–10.3)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RF positive*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126 (68.9%)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123 (68.3%)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115 (68.5%)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113 (67.7%)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ACPA positive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128 (71.9%)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116 (64.4%)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115 (69.7%)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112 (67.1%)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Presence of comorbidities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133 (71.9%)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126 (68.1%)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120 (71.0%)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111 (65.7%)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27.2 (23.4–31.7)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25.5 (22.9–29.7)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27.1 (23.1–30.1)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26.6 (24.0–30.4)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Previous csDMARDs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0–1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56 (30.3%)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55 (29.7%)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45 (26.7%)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52 (30.8%)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52 (28.1%)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72 (38.9%)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63 (37.3%)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67 (39.6%)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46 (24.9%)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34 (18.4%)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31 (18.3%)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36 (21.3%)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4+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31 (16.8%)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24 (13.0%)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30 (17.8%)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14 (8.3%)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GCs in previous history*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168 (90.8%)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166 (89.7%)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155 (91.7%)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154 (91.1%)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Concomitant csDMARDs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161 (87.0%)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165 (89.2%)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147 (87.0%)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153 (90.5%)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Concomitant MTX*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138 (74.6%)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131 (70.8%)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129 (76.3%)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129 (76.3%)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Concomitant GCs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124 (67.0%)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115 (62.2%)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112 (66.3%)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111 (65.7%)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DAS28-ESR* (0–10)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6.2 (5.6–6.9)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6.1 (5.4–6.8)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6.1 (5.4–6.7)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6.0 (5.4–6.6)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TJC (28 joints)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14.0 (10.0–19.0)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14.0 (10.0–18.0)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14.0 (9.0–18.0)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  <w:lang w:val="cs-CZ"/>
              </w:rPr>
              <w:t>13.0 (10.0–17.0)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SJC (28 joints)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10.0 (6.0–13.0)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9.0 (6.0–14.0)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9.0 (6.0–13.0)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8.0 (5.0–12.0)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ESR (mm/h)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32.0 (20.0–48.0)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32.0 (18.0–47.0)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29.0 (16.0–41.0)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27.0 (16.0–40.0)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CRP (mg/l)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13.9 (6.0–24.6)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14.9 (5.8–27.7)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val="cs-CZ"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val="cs-CZ" w:eastAsia="en-GB"/>
              </w:rPr>
              <w:t>13.2 (5.8–23.1)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  <w:lang w:val="cs-CZ"/>
              </w:rPr>
              <w:t>14.0 (6.2–23.0)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PtGA (0–100)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80.0 (70.0–85.0)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75.0 (60.0–88.0)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75.0 (60.0–80.0)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70.0 (60.0–80.0)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MDGA (0–100)</w:t>
            </w:r>
            <w:r w:rsidRPr="001F779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70.0 (55.0–80.0)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70.0 (60.0–80.0)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70.0 (52.0–80.0)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70.0 (60.0–80.0)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HAQ-DI (0–3)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1.6 (1.3–2.1)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1.5 (1.1–2.0)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sz w:val="20"/>
                <w:szCs w:val="20"/>
                <w:lang w:eastAsia="en-GB"/>
              </w:rPr>
              <w:t>1.5 (1.1–2.0)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1.4 (1.0–2.0)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EQ-5D (-0.59–1)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0.1 (0.0–0.2)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0.2 (0.1–0.7)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F7796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0.1 (0.1–0.5)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b/>
                <w:bCs/>
                <w:kern w:val="24"/>
                <w:sz w:val="20"/>
                <w:szCs w:val="20"/>
              </w:rPr>
              <w:t>0.2 (0.1–0.7)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cs="Times New Roman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Year od administration*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2018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64 (34.6%)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65 (35.1%)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56 (33.1%)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56 (33.1%)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ind w:left="170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2019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121 (65.4%)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120 (64.9%)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113 (66.9%)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113 (66.9%)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Adalimumab*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80 (43.2%)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79 (42.7%)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72 (42.6%)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69 (40.8%)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Etanercept*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61 (33.0%)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57 (30.8%)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55 (32.5%)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53 (31.4%)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Infliximab*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 (3.8%)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7 (3.8%)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6 (3.6%)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8 (4.7%)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Certolizumab*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23 (12.4%)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24 (13.0%)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17 (10.1%)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17 (10.1%)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Golimumab*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14 (7.6%)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</w:rPr>
              <w:t>18 (9.7%)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19 (11.2%)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22 (13.0%)</w:t>
            </w:r>
          </w:p>
        </w:tc>
      </w:tr>
      <w:tr w:rsidR="00F17E5D" w:rsidRPr="001F7796" w:rsidTr="001B3B5D">
        <w:trPr>
          <w:trHeight w:val="283"/>
        </w:trPr>
        <w:tc>
          <w:tcPr>
            <w:tcW w:w="2494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  <w:sz w:val="20"/>
                <w:szCs w:val="20"/>
              </w:rPr>
              <w:t>Bs ADA/ETA/INF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  <w:lang w:val="cs-CZ"/>
              </w:rPr>
              <w:t>68 (45.9%)</w:t>
            </w:r>
          </w:p>
        </w:tc>
        <w:tc>
          <w:tcPr>
            <w:tcW w:w="1679" w:type="dxa"/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kern w:val="24"/>
                <w:sz w:val="20"/>
                <w:szCs w:val="20"/>
                <w:lang w:val="cs-CZ"/>
              </w:rPr>
            </w:pPr>
            <w:r w:rsidRPr="001F7796">
              <w:rPr>
                <w:rFonts w:cstheme="minorHAnsi"/>
                <w:kern w:val="24"/>
                <w:sz w:val="20"/>
                <w:szCs w:val="20"/>
                <w:lang w:val="cs-CZ"/>
              </w:rPr>
              <w:t>59 (41.3%)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57 (42.9%)</w:t>
            </w:r>
          </w:p>
        </w:tc>
        <w:tc>
          <w:tcPr>
            <w:tcW w:w="1679" w:type="dxa"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kern w:val="24"/>
                <w:sz w:val="20"/>
                <w:szCs w:val="20"/>
              </w:rPr>
            </w:pPr>
            <w:r w:rsidRPr="001F7796">
              <w:rPr>
                <w:rFonts w:cstheme="minorHAnsi"/>
                <w:color w:val="000000"/>
                <w:kern w:val="24"/>
                <w:sz w:val="20"/>
                <w:szCs w:val="20"/>
              </w:rPr>
              <w:t>51 (39.2%)</w:t>
            </w:r>
          </w:p>
        </w:tc>
      </w:tr>
    </w:tbl>
    <w:p w:rsidR="00F17E5D" w:rsidRPr="001F7796" w:rsidRDefault="00F17E5D" w:rsidP="00F17E5D">
      <w:pPr>
        <w:spacing w:after="0" w:line="240" w:lineRule="auto"/>
        <w:jc w:val="left"/>
        <w:rPr>
          <w:sz w:val="18"/>
          <w:szCs w:val="18"/>
        </w:rPr>
      </w:pPr>
      <w:r w:rsidRPr="001F7796">
        <w:rPr>
          <w:i/>
          <w:iCs/>
          <w:sz w:val="18"/>
          <w:szCs w:val="18"/>
        </w:rPr>
        <w:t>IQR</w:t>
      </w:r>
      <w:r w:rsidRPr="001F7796">
        <w:rPr>
          <w:sz w:val="18"/>
          <w:szCs w:val="18"/>
        </w:rPr>
        <w:t xml:space="preserve"> interquartile range; </w:t>
      </w:r>
      <w:r w:rsidRPr="001F7796">
        <w:rPr>
          <w:i/>
          <w:iCs/>
          <w:sz w:val="18"/>
          <w:szCs w:val="18"/>
        </w:rPr>
        <w:t>RF</w:t>
      </w:r>
      <w:r w:rsidRPr="001F7796">
        <w:rPr>
          <w:sz w:val="18"/>
          <w:szCs w:val="18"/>
        </w:rPr>
        <w:t xml:space="preserve"> rheumatoid factor; </w:t>
      </w:r>
      <w:r w:rsidRPr="001F7796">
        <w:rPr>
          <w:i/>
          <w:iCs/>
          <w:sz w:val="18"/>
          <w:szCs w:val="18"/>
        </w:rPr>
        <w:t>ACPA</w:t>
      </w:r>
      <w:r w:rsidRPr="001F7796">
        <w:rPr>
          <w:sz w:val="18"/>
          <w:szCs w:val="18"/>
        </w:rPr>
        <w:t xml:space="preserve"> anti-citrullinated protein; TNFi tumour necrosis factor inhibitor; </w:t>
      </w:r>
      <w:r w:rsidRPr="001F7796">
        <w:rPr>
          <w:i/>
          <w:iCs/>
          <w:sz w:val="18"/>
          <w:szCs w:val="18"/>
        </w:rPr>
        <w:t>csDMARDs</w:t>
      </w:r>
      <w:r w:rsidRPr="001F7796">
        <w:rPr>
          <w:sz w:val="18"/>
          <w:szCs w:val="18"/>
        </w:rPr>
        <w:t xml:space="preserve"> conventional synthetic disease-modifying anti-rheumatic drugs;</w:t>
      </w:r>
      <w:r w:rsidRPr="001F7796">
        <w:rPr>
          <w:i/>
          <w:iCs/>
          <w:sz w:val="18"/>
          <w:szCs w:val="18"/>
        </w:rPr>
        <w:t xml:space="preserve"> MTX</w:t>
      </w:r>
      <w:r w:rsidRPr="001F7796">
        <w:rPr>
          <w:sz w:val="18"/>
          <w:szCs w:val="18"/>
        </w:rPr>
        <w:t xml:space="preserve">  methotrexate; </w:t>
      </w:r>
      <w:r w:rsidRPr="001F7796">
        <w:rPr>
          <w:i/>
          <w:iCs/>
          <w:sz w:val="18"/>
          <w:szCs w:val="18"/>
        </w:rPr>
        <w:t>DAS28-ESR</w:t>
      </w:r>
      <w:r w:rsidRPr="001F7796">
        <w:rPr>
          <w:sz w:val="18"/>
          <w:szCs w:val="18"/>
        </w:rPr>
        <w:t xml:space="preserve"> 28-joint disease activity score with ESR; </w:t>
      </w:r>
      <w:r w:rsidRPr="001F7796">
        <w:rPr>
          <w:i/>
          <w:iCs/>
          <w:sz w:val="18"/>
          <w:szCs w:val="18"/>
        </w:rPr>
        <w:t>TJC</w:t>
      </w:r>
      <w:r w:rsidRPr="001F7796">
        <w:rPr>
          <w:sz w:val="18"/>
          <w:szCs w:val="18"/>
        </w:rPr>
        <w:t xml:space="preserve"> tender joint count; </w:t>
      </w:r>
      <w:r w:rsidRPr="001F7796">
        <w:rPr>
          <w:i/>
          <w:iCs/>
          <w:sz w:val="18"/>
          <w:szCs w:val="18"/>
        </w:rPr>
        <w:t xml:space="preserve">SJC </w:t>
      </w:r>
      <w:r w:rsidRPr="001F7796">
        <w:rPr>
          <w:sz w:val="18"/>
          <w:szCs w:val="18"/>
        </w:rPr>
        <w:t xml:space="preserve">swollen joint count; </w:t>
      </w:r>
      <w:r w:rsidRPr="001F7796">
        <w:rPr>
          <w:i/>
          <w:iCs/>
          <w:sz w:val="18"/>
          <w:szCs w:val="18"/>
        </w:rPr>
        <w:t>ESR</w:t>
      </w:r>
      <w:r w:rsidRPr="001F7796">
        <w:rPr>
          <w:sz w:val="18"/>
          <w:szCs w:val="18"/>
        </w:rPr>
        <w:t xml:space="preserve"> erythrocyte sedimentation rate; </w:t>
      </w:r>
      <w:r w:rsidRPr="001F7796">
        <w:rPr>
          <w:i/>
          <w:iCs/>
          <w:sz w:val="18"/>
          <w:szCs w:val="18"/>
        </w:rPr>
        <w:t>CRP</w:t>
      </w:r>
      <w:r w:rsidRPr="001F7796">
        <w:rPr>
          <w:sz w:val="18"/>
          <w:szCs w:val="18"/>
        </w:rPr>
        <w:t xml:space="preserve"> C-reactive protein; </w:t>
      </w:r>
      <w:r w:rsidRPr="001F7796">
        <w:rPr>
          <w:i/>
          <w:iCs/>
          <w:sz w:val="18"/>
          <w:szCs w:val="18"/>
        </w:rPr>
        <w:t>PtGA</w:t>
      </w:r>
      <w:r w:rsidRPr="001F7796">
        <w:rPr>
          <w:sz w:val="18"/>
          <w:szCs w:val="18"/>
        </w:rPr>
        <w:t xml:space="preserve"> patient general assessment of disease activity; </w:t>
      </w:r>
      <w:r w:rsidRPr="001F7796">
        <w:rPr>
          <w:i/>
          <w:iCs/>
          <w:sz w:val="18"/>
          <w:szCs w:val="18"/>
        </w:rPr>
        <w:t>MDGA</w:t>
      </w:r>
      <w:r w:rsidRPr="001F7796">
        <w:rPr>
          <w:sz w:val="18"/>
          <w:szCs w:val="18"/>
        </w:rPr>
        <w:t xml:space="preserve"> physician general assessment of disease activity; </w:t>
      </w:r>
      <w:r w:rsidRPr="001F7796">
        <w:rPr>
          <w:i/>
          <w:iCs/>
          <w:sz w:val="18"/>
          <w:szCs w:val="18"/>
        </w:rPr>
        <w:t>HAQ</w:t>
      </w:r>
      <w:r w:rsidRPr="001F7796">
        <w:rPr>
          <w:i/>
          <w:iCs/>
          <w:sz w:val="18"/>
          <w:szCs w:val="18"/>
        </w:rPr>
        <w:noBreakHyphen/>
        <w:t>DI</w:t>
      </w:r>
      <w:r w:rsidRPr="001F7796">
        <w:rPr>
          <w:sz w:val="18"/>
          <w:szCs w:val="18"/>
        </w:rPr>
        <w:t xml:space="preserve"> Health Assessment Questionnaire; </w:t>
      </w:r>
      <w:r w:rsidRPr="001F7796">
        <w:rPr>
          <w:i/>
          <w:iCs/>
          <w:sz w:val="18"/>
          <w:szCs w:val="18"/>
        </w:rPr>
        <w:t>EQ-5D</w:t>
      </w:r>
      <w:r w:rsidRPr="001F7796">
        <w:rPr>
          <w:sz w:val="18"/>
          <w:szCs w:val="18"/>
        </w:rPr>
        <w:t xml:space="preserve"> EuroQol 5 Dimension for measuring the quality of life</w:t>
      </w:r>
    </w:p>
    <w:p w:rsidR="00F17E5D" w:rsidRPr="001F7796" w:rsidRDefault="00F17E5D" w:rsidP="00F17E5D">
      <w:pPr>
        <w:spacing w:after="0" w:line="240" w:lineRule="auto"/>
        <w:jc w:val="left"/>
        <w:rPr>
          <w:sz w:val="18"/>
          <w:szCs w:val="18"/>
        </w:rPr>
      </w:pPr>
      <w:r w:rsidRPr="001F7796">
        <w:rPr>
          <w:spacing w:val="-4"/>
          <w:sz w:val="18"/>
          <w:szCs w:val="18"/>
        </w:rPr>
        <w:t xml:space="preserve">For continuous variables, the median (interquartile range) is presented. For categorical variables, absolute </w:t>
      </w:r>
      <w:r w:rsidRPr="001F7796">
        <w:rPr>
          <w:i/>
          <w:iCs/>
          <w:spacing w:val="-4"/>
          <w:sz w:val="18"/>
          <w:szCs w:val="18"/>
        </w:rPr>
        <w:t>(</w:t>
      </w:r>
      <w:r w:rsidRPr="001F7796">
        <w:rPr>
          <w:spacing w:val="-4"/>
          <w:sz w:val="18"/>
          <w:szCs w:val="18"/>
        </w:rPr>
        <w:t>relative) frequencies are presented.</w:t>
      </w:r>
      <w:r w:rsidRPr="001F7796">
        <w:rPr>
          <w:sz w:val="18"/>
          <w:szCs w:val="18"/>
        </w:rPr>
        <w:t xml:space="preserve"> Statistical significant differences (p&lt;0.05) across patients' groups are marked in bold.</w:t>
      </w:r>
    </w:p>
    <w:p w:rsidR="00F17E5D" w:rsidRPr="001F7796" w:rsidRDefault="00F17E5D" w:rsidP="00F17E5D">
      <w:pPr>
        <w:spacing w:after="0" w:line="480" w:lineRule="auto"/>
        <w:rPr>
          <w:sz w:val="18"/>
          <w:szCs w:val="18"/>
        </w:rPr>
      </w:pPr>
      <w:r w:rsidRPr="001F7796">
        <w:rPr>
          <w:sz w:val="18"/>
          <w:szCs w:val="18"/>
        </w:rPr>
        <w:t>* Variables included in the propensity score model.</w:t>
      </w:r>
    </w:p>
    <w:p w:rsidR="00F17E5D" w:rsidRPr="001F7796" w:rsidRDefault="00F17E5D" w:rsidP="00F17E5D">
      <w:pPr>
        <w:spacing w:line="259" w:lineRule="auto"/>
        <w:jc w:val="left"/>
      </w:pPr>
    </w:p>
    <w:p w:rsidR="00F17E5D" w:rsidRPr="001F7796" w:rsidRDefault="00F17E5D" w:rsidP="00F17E5D">
      <w:pPr>
        <w:spacing w:line="259" w:lineRule="auto"/>
        <w:jc w:val="left"/>
        <w:rPr>
          <w:iCs/>
          <w:color w:val="000000" w:themeColor="text1"/>
          <w:szCs w:val="18"/>
        </w:rPr>
      </w:pPr>
      <w:r w:rsidRPr="001F7796">
        <w:br w:type="page"/>
      </w:r>
    </w:p>
    <w:p w:rsidR="00F17E5D" w:rsidRPr="001F7796" w:rsidRDefault="00F17E5D" w:rsidP="00F17E5D">
      <w:pPr>
        <w:spacing w:after="0" w:line="480" w:lineRule="auto"/>
        <w:rPr>
          <w:sz w:val="18"/>
          <w:szCs w:val="18"/>
        </w:rPr>
      </w:pPr>
      <w:bookmarkStart w:id="0" w:name="_Ref47515309"/>
    </w:p>
    <w:bookmarkEnd w:id="0"/>
    <w:p w:rsidR="00F17E5D" w:rsidRPr="001F7796" w:rsidRDefault="00F17E5D" w:rsidP="00F17E5D">
      <w:pPr>
        <w:pStyle w:val="Caption"/>
        <w:keepNext/>
      </w:pPr>
      <w:r w:rsidRPr="001F7796">
        <w:rPr>
          <w:noProof/>
          <w:lang w:val="en-US"/>
        </w:rPr>
        <w:drawing>
          <wp:inline distT="0" distB="0" distL="0" distR="0" wp14:anchorId="751AE028" wp14:editId="2316439D">
            <wp:extent cx="5760720" cy="695388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5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E5D" w:rsidRPr="001F7796" w:rsidRDefault="00F17E5D" w:rsidP="00F17E5D">
      <w:pPr>
        <w:pStyle w:val="Caption"/>
      </w:pPr>
      <w:r w:rsidRPr="001F7796">
        <w:rPr>
          <w:b/>
          <w:bCs/>
        </w:rPr>
        <w:t>Supplementary Figure 2</w:t>
      </w:r>
      <w:r w:rsidRPr="001F7796">
        <w:t xml:space="preserve"> Remission rates (DAS28-ESR&lt;2.6) within the first year of TNFi treatment – validation dataset. </w:t>
      </w:r>
    </w:p>
    <w:p w:rsidR="00F17E5D" w:rsidRPr="001F7796" w:rsidRDefault="00F17E5D" w:rsidP="00F17E5D">
      <w:pPr>
        <w:pStyle w:val="Caption"/>
      </w:pPr>
      <w:r w:rsidRPr="001F7796">
        <w:t>Patients answering '</w:t>
      </w:r>
      <w:r w:rsidRPr="001F7796">
        <w:rPr>
          <w:i/>
          <w:iCs w:val="0"/>
        </w:rPr>
        <w:t>yes</w:t>
      </w:r>
      <w:r w:rsidRPr="001F7796">
        <w:rPr>
          <w:szCs w:val="22"/>
        </w:rPr>
        <w:t>'</w:t>
      </w:r>
      <w:r w:rsidRPr="001F7796">
        <w:t>/</w:t>
      </w:r>
      <w:r w:rsidRPr="001F7796">
        <w:rPr>
          <w:szCs w:val="22"/>
        </w:rPr>
        <w:t>'</w:t>
      </w:r>
      <w:r w:rsidRPr="001F7796">
        <w:rPr>
          <w:i/>
          <w:iCs w:val="0"/>
        </w:rPr>
        <w:t>no</w:t>
      </w:r>
      <w:r w:rsidRPr="001F7796">
        <w:t>' to Q11A (upper graph) and Q11C (lower graph).</w:t>
      </w:r>
    </w:p>
    <w:p w:rsidR="00F17E5D" w:rsidRPr="001F7796" w:rsidRDefault="00F17E5D" w:rsidP="00F17E5D">
      <w:pPr>
        <w:pStyle w:val="Caption"/>
      </w:pPr>
      <w:r w:rsidRPr="001F7796">
        <w:rPr>
          <w:b/>
          <w:bCs/>
        </w:rPr>
        <w:lastRenderedPageBreak/>
        <w:t xml:space="preserve">Supplementary Table 2a </w:t>
      </w:r>
      <w:r w:rsidRPr="001F7796">
        <w:t>Univariable and multivariable logistic regression models for reaching remission at 6/12 months – validation dataset. Patients are grouped according to answers to Q11A/Q11C at treatment initiation.</w:t>
      </w:r>
    </w:p>
    <w:tbl>
      <w:tblPr>
        <w:tblW w:w="9070" w:type="dxa"/>
        <w:tblLook w:val="0420" w:firstRow="1" w:lastRow="0" w:firstColumn="0" w:lastColumn="0" w:noHBand="0" w:noVBand="1"/>
      </w:tblPr>
      <w:tblGrid>
        <w:gridCol w:w="3402"/>
        <w:gridCol w:w="1984"/>
        <w:gridCol w:w="869"/>
        <w:gridCol w:w="1984"/>
        <w:gridCol w:w="831"/>
      </w:tblGrid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Remission after 6 months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Remission after 12 months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lang w:eastAsia="en-GB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eastAsia="Times New Roman" w:cs="Times New Roman"/>
                <w:lang w:eastAsia="en-GB"/>
              </w:rPr>
              <w:t>Parameter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OR (95% CI)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p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OR (95% CI)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i/>
                <w:iCs/>
                <w:color w:val="000000"/>
                <w:lang w:eastAsia="en-GB"/>
              </w:rPr>
              <w:t>p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cs="Times New Roman"/>
                <w:spacing w:val="-2"/>
                <w:lang w:val="en-US"/>
              </w:rPr>
              <w:t>Univariable models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Q11A: Yes vs no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1.30 (0.89; 1.90)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0.171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1.74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(1.20; 2.52)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0.004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Q11C: Yes vs 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1.27 (0.86; 1.87)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0.230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1.66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(1.13; 2.45)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0.010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cs="Times New Roman"/>
                <w:spacing w:val="-2"/>
                <w:lang w:val="en-US"/>
              </w:rPr>
              <w:t>Multivariable 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Q11A: Yes vs 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1.57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(1.05; 2.35)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2.04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(1.37; 3.03)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&lt;</w:t>
            </w: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0.001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Baseline HAQ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0.52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(0.38; 0.71)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&lt;</w:t>
            </w: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0.45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(0.33; 0.62)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&lt;</w:t>
            </w: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0.001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Baseline DAS28-ESR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0.77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(0.65; 0.91)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0.89 (0.76; 1.05)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0.165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Multivariable 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Q11C: Yes vs 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1.57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(1.04; 2.38)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1.91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(1.26; 2.88)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0.002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Baseline HAQ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0.52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(0.39; 0.71)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&lt;</w:t>
            </w: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0.46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(0.34; 0.62)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&lt;</w:t>
            </w: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0.001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Baseline DAS28-ESR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0.77</w:t>
            </w:r>
            <w:r w:rsidRPr="001F7796">
              <w:rPr>
                <w:rFonts w:cs="Times New Roman"/>
                <w:color w:val="000000"/>
                <w:kern w:val="24"/>
              </w:rPr>
              <w:t xml:space="preserve"> (0.65; 0.91)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cs="Times New Roman"/>
                <w:b/>
                <w:bCs/>
                <w:color w:val="000000"/>
                <w:kern w:val="24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0.91 (0.77; 1.06)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cs="Times New Roman"/>
                <w:color w:val="000000"/>
                <w:kern w:val="24"/>
              </w:rPr>
              <w:t>0.232</w:t>
            </w:r>
          </w:p>
        </w:tc>
      </w:tr>
    </w:tbl>
    <w:p w:rsidR="00F17E5D" w:rsidRPr="001F7796" w:rsidRDefault="00F17E5D" w:rsidP="00F17E5D">
      <w:pPr>
        <w:spacing w:after="0" w:line="480" w:lineRule="auto"/>
        <w:rPr>
          <w:sz w:val="18"/>
          <w:szCs w:val="18"/>
        </w:rPr>
      </w:pPr>
      <w:r w:rsidRPr="001F7796">
        <w:rPr>
          <w:i/>
          <w:iCs/>
          <w:sz w:val="18"/>
          <w:szCs w:val="18"/>
        </w:rPr>
        <w:t>DAS28-ESR</w:t>
      </w:r>
      <w:r w:rsidRPr="001F7796">
        <w:rPr>
          <w:sz w:val="18"/>
          <w:szCs w:val="18"/>
        </w:rPr>
        <w:t xml:space="preserve"> 28-joint disease activity score with ESR; </w:t>
      </w:r>
      <w:r w:rsidRPr="001F7796">
        <w:rPr>
          <w:i/>
          <w:iCs/>
          <w:sz w:val="18"/>
          <w:szCs w:val="18"/>
        </w:rPr>
        <w:t>HAQ</w:t>
      </w:r>
      <w:r w:rsidRPr="001F7796">
        <w:rPr>
          <w:i/>
          <w:iCs/>
          <w:sz w:val="18"/>
          <w:szCs w:val="18"/>
        </w:rPr>
        <w:noBreakHyphen/>
        <w:t>DI</w:t>
      </w:r>
      <w:r w:rsidRPr="001F7796">
        <w:rPr>
          <w:sz w:val="18"/>
          <w:szCs w:val="18"/>
        </w:rPr>
        <w:t xml:space="preserve"> Health Assessment Questionnaire; OR – odds ratio; CI – confidence interval</w:t>
      </w:r>
    </w:p>
    <w:p w:rsidR="00F17E5D" w:rsidRPr="001F7796" w:rsidRDefault="00F17E5D" w:rsidP="00F17E5D">
      <w:pPr>
        <w:spacing w:after="0" w:line="480" w:lineRule="auto"/>
        <w:rPr>
          <w:sz w:val="18"/>
          <w:szCs w:val="18"/>
        </w:rPr>
      </w:pPr>
      <w:r w:rsidRPr="001F7796">
        <w:rPr>
          <w:sz w:val="18"/>
          <w:szCs w:val="18"/>
        </w:rPr>
        <w:t xml:space="preserve">The outcome in the logistic regression model is DAS28-ESR&lt;2.6 (1 – yes; 0 – no). </w:t>
      </w:r>
    </w:p>
    <w:p w:rsidR="00F17E5D" w:rsidRPr="001F7796" w:rsidRDefault="00F17E5D" w:rsidP="00F17E5D">
      <w:pPr>
        <w:spacing w:after="0" w:line="480" w:lineRule="auto"/>
      </w:pPr>
      <w:r w:rsidRPr="001F7796">
        <w:rPr>
          <w:sz w:val="18"/>
          <w:szCs w:val="18"/>
        </w:rPr>
        <w:t>Q11A: '</w:t>
      </w:r>
      <w:r w:rsidRPr="001F7796">
        <w:rPr>
          <w:i/>
          <w:iCs/>
          <w:sz w:val="18"/>
          <w:szCs w:val="18"/>
        </w:rPr>
        <w:t>I seem to get sick a little easier than other people</w:t>
      </w:r>
      <w:r w:rsidRPr="001F7796">
        <w:rPr>
          <w:sz w:val="18"/>
          <w:szCs w:val="18"/>
        </w:rPr>
        <w:t>'; Q11C: '</w:t>
      </w:r>
      <w:r w:rsidRPr="001F7796">
        <w:rPr>
          <w:i/>
          <w:iCs/>
          <w:sz w:val="18"/>
          <w:szCs w:val="18"/>
        </w:rPr>
        <w:t>I expect my health to get worse</w:t>
      </w:r>
      <w:r w:rsidRPr="001F7796">
        <w:rPr>
          <w:sz w:val="18"/>
          <w:szCs w:val="18"/>
        </w:rPr>
        <w:t>'</w:t>
      </w:r>
    </w:p>
    <w:p w:rsidR="00F17E5D" w:rsidRPr="001F7796" w:rsidRDefault="00F17E5D" w:rsidP="00F17E5D">
      <w:pPr>
        <w:spacing w:line="259" w:lineRule="auto"/>
        <w:jc w:val="left"/>
        <w:rPr>
          <w:b/>
          <w:bCs/>
          <w:iCs/>
          <w:color w:val="000000" w:themeColor="text1"/>
          <w:szCs w:val="18"/>
        </w:rPr>
      </w:pPr>
      <w:bookmarkStart w:id="1" w:name="_Ref42685480"/>
      <w:r w:rsidRPr="001F7796">
        <w:rPr>
          <w:b/>
          <w:bCs/>
        </w:rPr>
        <w:br w:type="page"/>
      </w:r>
    </w:p>
    <w:p w:rsidR="00F17E5D" w:rsidRPr="001F7796" w:rsidRDefault="00F17E5D" w:rsidP="00F17E5D">
      <w:pPr>
        <w:pStyle w:val="Caption"/>
        <w:keepNext/>
        <w:spacing w:after="0"/>
      </w:pPr>
      <w:bookmarkStart w:id="2" w:name="_Ref97626297"/>
      <w:bookmarkEnd w:id="1"/>
      <w:r w:rsidRPr="001F7796">
        <w:rPr>
          <w:b/>
          <w:bCs/>
        </w:rPr>
        <w:lastRenderedPageBreak/>
        <w:t>S</w:t>
      </w:r>
      <w:bookmarkEnd w:id="2"/>
      <w:r w:rsidRPr="001F7796">
        <w:rPr>
          <w:b/>
          <w:bCs/>
        </w:rPr>
        <w:t>upplementary Table 2b</w:t>
      </w:r>
      <w:r w:rsidRPr="001F7796">
        <w:t xml:space="preserve"> Univariable logistic regression models for reaching remission at 6 and 12 months within propensity score-matched primary and validation datasets. Patients are grouped based on answers to Q11A/Q11C</w:t>
      </w:r>
    </w:p>
    <w:tbl>
      <w:tblPr>
        <w:tblW w:w="9070" w:type="dxa"/>
        <w:tblLook w:val="0420" w:firstRow="1" w:lastRow="0" w:firstColumn="0" w:lastColumn="0" w:noHBand="0" w:noVBand="1"/>
      </w:tblPr>
      <w:tblGrid>
        <w:gridCol w:w="3402"/>
        <w:gridCol w:w="1984"/>
        <w:gridCol w:w="869"/>
        <w:gridCol w:w="1984"/>
        <w:gridCol w:w="831"/>
      </w:tblGrid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lang w:eastAsia="en-GB"/>
              </w:rPr>
            </w:pPr>
            <w:bookmarkStart w:id="3" w:name="_Ref56413316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Remission after 6 months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Remission after 12 months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lang w:eastAsia="en-GB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eastAsia="Times New Roman" w:cs="Times New Roman"/>
                <w:lang w:eastAsia="en-GB"/>
              </w:rPr>
              <w:t>Parameter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OR (95% CI)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p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OR (95% CI)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i/>
                <w:iCs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i/>
                <w:iCs/>
                <w:color w:val="000000"/>
                <w:lang w:eastAsia="en-GB"/>
              </w:rPr>
              <w:t>p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Propensity score-matched primary dataset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Q11A: Yes vs no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hAnsi="Calibri" w:cs="Calibri"/>
                <w:color w:val="000000"/>
                <w:kern w:val="24"/>
              </w:rPr>
              <w:t>1.43 (1.11; 1.86)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hAnsi="Calibri" w:cs="Calibri"/>
                <w:b/>
                <w:bCs/>
                <w:color w:val="000000"/>
                <w:kern w:val="24"/>
              </w:rPr>
              <w:t>0.007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1.43 (1.11; 1.83)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ascii="Calibri" w:hAnsi="Calibri" w:cs="Calibri"/>
                <w:b/>
                <w:bCs/>
                <w:color w:val="000000"/>
                <w:kern w:val="24"/>
              </w:rPr>
              <w:t>0.005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Q11C: Yes vs 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hAnsi="Calibri" w:cs="Calibri"/>
                <w:color w:val="000000"/>
                <w:kern w:val="24"/>
              </w:rPr>
              <w:t>1.62 (1.24; 2.11)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hAnsi="Calibri" w:cs="Calibri"/>
                <w:color w:val="000000"/>
                <w:kern w:val="24"/>
              </w:rPr>
              <w:t>&lt;</w:t>
            </w:r>
            <w:r w:rsidRPr="001F7796">
              <w:rPr>
                <w:rFonts w:hAnsi="Calibri" w:cs="Calibri"/>
                <w:b/>
                <w:bCs/>
                <w:color w:val="000000"/>
                <w:kern w:val="24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en-GB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1.37 (1.06; 1.77)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ascii="Calibri" w:hAnsi="Calibri" w:cs="Calibri"/>
                <w:b/>
                <w:bCs/>
                <w:color w:val="000000"/>
                <w:kern w:val="24"/>
              </w:rPr>
              <w:t>0.015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cs="Times New Roman"/>
                <w:spacing w:val="-2"/>
                <w:lang w:val="en-US"/>
              </w:rPr>
              <w:t>Propensity score-matched validation dataset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Q11A: Yes vs no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1.27 (0.82; 1.96)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0.286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1.70 (1.12; 2.59)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b/>
                <w:bCs/>
                <w:color w:val="000000"/>
                <w:kern w:val="24"/>
              </w:rPr>
              <w:t>0.013</w:t>
            </w:r>
          </w:p>
        </w:tc>
      </w:tr>
      <w:tr w:rsidR="00F17E5D" w:rsidRPr="001F7796" w:rsidTr="001B3B5D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en-GB"/>
              </w:rPr>
            </w:pPr>
            <w:r w:rsidRPr="001F7796">
              <w:rPr>
                <w:rFonts w:eastAsia="Times New Roman" w:cs="Times New Roman"/>
                <w:color w:val="000000"/>
                <w:lang w:eastAsia="en-GB"/>
              </w:rPr>
              <w:t>Q11C: Yes vs 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1.22 (0.79; 1.90)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0.369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1.51 (0.97; 2.34)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E5D" w:rsidRPr="001F7796" w:rsidRDefault="00F17E5D" w:rsidP="001B3B5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bCs/>
                <w:color w:val="000000"/>
                <w:kern w:val="24"/>
              </w:rPr>
            </w:pPr>
            <w:r w:rsidRPr="001F7796">
              <w:rPr>
                <w:rFonts w:ascii="Calibri" w:hAnsi="Calibri" w:cs="Calibri"/>
                <w:color w:val="000000"/>
                <w:kern w:val="24"/>
              </w:rPr>
              <w:t>0.066</w:t>
            </w:r>
          </w:p>
        </w:tc>
      </w:tr>
    </w:tbl>
    <w:p w:rsidR="00F17E5D" w:rsidRPr="001F7796" w:rsidRDefault="00F17E5D" w:rsidP="00F17E5D">
      <w:pPr>
        <w:spacing w:after="0" w:line="480" w:lineRule="auto"/>
        <w:rPr>
          <w:sz w:val="18"/>
          <w:szCs w:val="18"/>
        </w:rPr>
      </w:pPr>
      <w:r w:rsidRPr="001F7796">
        <w:t>OR – odds ratio; CI – confidence interval</w:t>
      </w:r>
      <w:bookmarkEnd w:id="3"/>
    </w:p>
    <w:p w:rsidR="00F17E5D" w:rsidRPr="001F7796" w:rsidRDefault="00F17E5D" w:rsidP="00F17E5D">
      <w:pPr>
        <w:spacing w:line="259" w:lineRule="auto"/>
        <w:jc w:val="left"/>
        <w:rPr>
          <w:sz w:val="18"/>
          <w:szCs w:val="18"/>
        </w:rPr>
      </w:pPr>
      <w:r w:rsidRPr="001F7796">
        <w:rPr>
          <w:sz w:val="18"/>
          <w:szCs w:val="18"/>
        </w:rPr>
        <w:br w:type="page"/>
      </w:r>
    </w:p>
    <w:p w:rsidR="00F17E5D" w:rsidRPr="001F7796" w:rsidRDefault="00F17E5D" w:rsidP="00F17E5D">
      <w:pPr>
        <w:spacing w:before="120" w:line="259" w:lineRule="auto"/>
        <w:jc w:val="left"/>
      </w:pPr>
      <w:bookmarkStart w:id="4" w:name="_Ref42675799"/>
      <w:bookmarkStart w:id="5" w:name="_GoBack"/>
      <w:bookmarkEnd w:id="5"/>
      <w:r w:rsidRPr="001F7796">
        <w:rPr>
          <w:noProof/>
          <w:lang w:val="en-US"/>
        </w:rPr>
        <w:lastRenderedPageBreak/>
        <w:drawing>
          <wp:inline distT="0" distB="0" distL="0" distR="0" wp14:anchorId="28F0F5C3" wp14:editId="3F110ECF">
            <wp:extent cx="4934653" cy="82800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53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1F7796">
        <w:rPr>
          <w:b/>
          <w:bCs/>
        </w:rPr>
        <w:t>Supplementary Figure 3a</w:t>
      </w:r>
      <w:r w:rsidRPr="001F7796">
        <w:t xml:space="preserve"> Kaplan-Meier survival plots showing drug retention in patients within validation dataset. (a) patients answering 'yes'/'no' to Q11A; (b) patients answering 'yes'/'no' to Q11C; HR – hazard ratio; CI – confidence interval</w:t>
      </w:r>
    </w:p>
    <w:p w:rsidR="00F17E5D" w:rsidRPr="001F7796" w:rsidRDefault="00F17E5D" w:rsidP="00F17E5D">
      <w:pPr>
        <w:keepNext/>
        <w:spacing w:line="259" w:lineRule="auto"/>
        <w:jc w:val="left"/>
      </w:pPr>
      <w:r w:rsidRPr="001F7796">
        <w:br w:type="page"/>
      </w:r>
      <w:r w:rsidRPr="001F7796">
        <w:rPr>
          <w:noProof/>
          <w:lang w:val="en-US"/>
        </w:rPr>
        <w:lastRenderedPageBreak/>
        <w:drawing>
          <wp:inline distT="0" distB="0" distL="0" distR="0" wp14:anchorId="0C71F44B" wp14:editId="0AB5939A">
            <wp:extent cx="5760720" cy="5080635"/>
            <wp:effectExtent l="0" t="0" r="0" b="0"/>
            <wp:docPr id="6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ABDA436A-6DB2-44A8-B6E1-2DF088B315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ABDA436A-6DB2-44A8-B6E1-2DF088B315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E5D" w:rsidRPr="001F7796" w:rsidRDefault="00F17E5D" w:rsidP="00F17E5D">
      <w:pPr>
        <w:pStyle w:val="Caption"/>
        <w:jc w:val="left"/>
      </w:pPr>
      <w:r w:rsidRPr="001F7796">
        <w:rPr>
          <w:b/>
          <w:bCs/>
        </w:rPr>
        <w:t>Supplementary Figure 3b</w:t>
      </w:r>
      <w:r w:rsidRPr="001F7796">
        <w:t xml:space="preserve"> Kaplan-Meier survival plots showing drug retention in primary and validation datasets after propensity score matching</w:t>
      </w:r>
    </w:p>
    <w:p w:rsidR="00F17E5D" w:rsidRPr="001F7796" w:rsidRDefault="00F17E5D" w:rsidP="00F17E5D">
      <w:pPr>
        <w:pStyle w:val="Caption"/>
        <w:jc w:val="left"/>
      </w:pPr>
      <w:r w:rsidRPr="001F7796">
        <w:t>a) patients answering 'yes' (red) and 'no' (yellow) to Q11A within primary dataset</w:t>
      </w:r>
    </w:p>
    <w:p w:rsidR="00F17E5D" w:rsidRPr="001F7796" w:rsidRDefault="00F17E5D" w:rsidP="00F17E5D">
      <w:pPr>
        <w:pStyle w:val="Caption"/>
        <w:jc w:val="left"/>
      </w:pPr>
      <w:r w:rsidRPr="001F7796">
        <w:t>b) patients answering 'yes' (red) and 'no' (yellow) to Q11C within primary dataset</w:t>
      </w:r>
    </w:p>
    <w:p w:rsidR="00F17E5D" w:rsidRPr="001F7796" w:rsidRDefault="00F17E5D" w:rsidP="00F17E5D">
      <w:pPr>
        <w:pStyle w:val="Caption"/>
        <w:jc w:val="left"/>
      </w:pPr>
      <w:r w:rsidRPr="001F7796">
        <w:t>a) patients answering 'yes' (red) and 'no' (yellow) to Q11A within validation dataset</w:t>
      </w:r>
    </w:p>
    <w:p w:rsidR="00F17E5D" w:rsidRPr="001F7796" w:rsidRDefault="00F17E5D" w:rsidP="00F17E5D">
      <w:pPr>
        <w:pStyle w:val="Caption"/>
        <w:jc w:val="left"/>
      </w:pPr>
      <w:r w:rsidRPr="001F7796">
        <w:t>b) patients answering 'yes' (red) and 'no' (yellow) to Q11C within validation dataset</w:t>
      </w:r>
    </w:p>
    <w:p w:rsidR="00F17E5D" w:rsidRPr="001F7796" w:rsidRDefault="00F17E5D" w:rsidP="00F17E5D">
      <w:pPr>
        <w:pStyle w:val="Caption"/>
        <w:jc w:val="left"/>
      </w:pPr>
      <w:r w:rsidRPr="001F7796">
        <w:t xml:space="preserve">HR – hazard ratio; CI – confidence interval </w:t>
      </w:r>
    </w:p>
    <w:p w:rsidR="00F17E5D" w:rsidRPr="001F7796" w:rsidRDefault="00F17E5D" w:rsidP="00F17E5D">
      <w:pPr>
        <w:pStyle w:val="Caption"/>
        <w:spacing w:after="0" w:line="240" w:lineRule="auto"/>
        <w:jc w:val="center"/>
      </w:pPr>
    </w:p>
    <w:p w:rsidR="00AF5724" w:rsidRDefault="00AF5724" w:rsidP="00F17E5D">
      <w:pPr>
        <w:spacing w:after="0" w:line="480" w:lineRule="auto"/>
      </w:pPr>
    </w:p>
    <w:sectPr w:rsidR="00AF5724" w:rsidSect="007A20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7F" w:rsidRDefault="00F17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7F" w:rsidRDefault="00F17E5D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9</w:t>
    </w:r>
    <w:r>
      <w:rPr>
        <w:caps/>
        <w:noProof/>
        <w:color w:val="5B9BD5" w:themeColor="accent1"/>
      </w:rPr>
      <w:fldChar w:fldCharType="end"/>
    </w:r>
  </w:p>
  <w:p w:rsidR="00DF577F" w:rsidRDefault="00F17E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7F" w:rsidRDefault="00F17E5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7F" w:rsidRDefault="00F17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7F" w:rsidRDefault="00F17E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7F" w:rsidRDefault="00F17E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5768E"/>
    <w:multiLevelType w:val="hybridMultilevel"/>
    <w:tmpl w:val="8BB2CBC6"/>
    <w:lvl w:ilvl="0" w:tplc="55BC6F0C">
      <w:start w:val="51"/>
      <w:numFmt w:val="bullet"/>
      <w:lvlText w:val="-"/>
      <w:lvlJc w:val="left"/>
      <w:pPr>
        <w:ind w:left="530" w:hanging="360"/>
      </w:pPr>
      <w:rPr>
        <w:rFonts w:ascii="Calibri" w:eastAsiaTheme="minorHAns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1C3C56D8"/>
    <w:multiLevelType w:val="hybridMultilevel"/>
    <w:tmpl w:val="CD56F7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3642B"/>
    <w:multiLevelType w:val="hybridMultilevel"/>
    <w:tmpl w:val="7A1E5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A5A8A"/>
    <w:multiLevelType w:val="hybridMultilevel"/>
    <w:tmpl w:val="7B62E9CE"/>
    <w:lvl w:ilvl="0" w:tplc="8F867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A1A9B"/>
    <w:multiLevelType w:val="hybridMultilevel"/>
    <w:tmpl w:val="9D52DADA"/>
    <w:lvl w:ilvl="0" w:tplc="9BA6BBFE">
      <w:start w:val="2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76E0E"/>
    <w:multiLevelType w:val="hybridMultilevel"/>
    <w:tmpl w:val="AA4E0468"/>
    <w:lvl w:ilvl="0" w:tplc="29E0D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C3D30"/>
    <w:multiLevelType w:val="hybridMultilevel"/>
    <w:tmpl w:val="6DB8B982"/>
    <w:lvl w:ilvl="0" w:tplc="0F3CF1F2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5742D"/>
    <w:multiLevelType w:val="hybridMultilevel"/>
    <w:tmpl w:val="11AC61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5D"/>
    <w:rsid w:val="00AF5724"/>
    <w:rsid w:val="00F1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01AB"/>
  <w15:chartTrackingRefBased/>
  <w15:docId w15:val="{6F9E1288-4C24-4100-BD13-E7F0010C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E5D"/>
    <w:pPr>
      <w:spacing w:line="36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E5D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E5D"/>
    <w:rPr>
      <w:rFonts w:asciiTheme="majorHAnsi" w:eastAsiaTheme="majorEastAsia" w:hAnsiTheme="majorHAnsi" w:cstheme="majorBidi"/>
      <w:b/>
      <w:sz w:val="28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E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E5D"/>
    <w:rPr>
      <w:rFonts w:ascii="Segoe UI" w:hAnsi="Segoe UI" w:cs="Segoe UI"/>
      <w:sz w:val="18"/>
      <w:szCs w:val="1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E5D"/>
    <w:pPr>
      <w:numPr>
        <w:ilvl w:val="1"/>
      </w:numPr>
      <w:spacing w:before="240"/>
    </w:pPr>
    <w:rPr>
      <w:rFonts w:eastAsiaTheme="minorEastAsia"/>
      <w:b/>
      <w:color w:val="000000" w:themeColor="tex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E5D"/>
    <w:rPr>
      <w:rFonts w:eastAsiaTheme="minorEastAsia"/>
      <w:b/>
      <w:color w:val="000000" w:themeColor="text1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F17E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7E5D"/>
    <w:rPr>
      <w:color w:val="0563C1" w:themeColor="hyperlink"/>
      <w:u w:val="single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F17E5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7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E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E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E5D"/>
    <w:rPr>
      <w:b/>
      <w:bCs/>
      <w:sz w:val="20"/>
      <w:szCs w:val="2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F17E5D"/>
    <w:pPr>
      <w:tabs>
        <w:tab w:val="left" w:pos="384"/>
      </w:tabs>
      <w:spacing w:after="240" w:line="240" w:lineRule="auto"/>
      <w:ind w:left="384" w:hanging="384"/>
    </w:pPr>
  </w:style>
  <w:style w:type="paragraph" w:styleId="Caption">
    <w:name w:val="caption"/>
    <w:basedOn w:val="Normal"/>
    <w:next w:val="Normal"/>
    <w:uiPriority w:val="35"/>
    <w:unhideWhenUsed/>
    <w:qFormat/>
    <w:rsid w:val="00F17E5D"/>
    <w:pPr>
      <w:spacing w:after="200" w:line="480" w:lineRule="auto"/>
    </w:pPr>
    <w:rPr>
      <w:iCs/>
      <w:color w:val="000000" w:themeColor="text1"/>
      <w:szCs w:val="18"/>
    </w:rPr>
  </w:style>
  <w:style w:type="paragraph" w:styleId="Header">
    <w:name w:val="header"/>
    <w:basedOn w:val="Normal"/>
    <w:link w:val="HeaderChar"/>
    <w:uiPriority w:val="99"/>
    <w:unhideWhenUsed/>
    <w:rsid w:val="00F1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E5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E5D"/>
    <w:rPr>
      <w:lang w:val="en-GB"/>
    </w:rPr>
  </w:style>
  <w:style w:type="paragraph" w:styleId="Revision">
    <w:name w:val="Revision"/>
    <w:hidden/>
    <w:uiPriority w:val="99"/>
    <w:semiHidden/>
    <w:rsid w:val="00F17E5D"/>
    <w:pPr>
      <w:spacing w:after="0" w:line="240" w:lineRule="auto"/>
    </w:pPr>
    <w:rPr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7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oter" Target="footer1.xm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2008</Words>
  <Characters>11451</Characters>
  <Application>Microsoft Office Word</Application>
  <DocSecurity>0</DocSecurity>
  <Lines>95</Lines>
  <Paragraphs>26</Paragraphs>
  <ScaleCrop>false</ScaleCrop>
  <Company>Springer Nature</Company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2022-05-17T03:29:00Z</dcterms:created>
  <dcterms:modified xsi:type="dcterms:W3CDTF">2022-05-17T03:35:00Z</dcterms:modified>
</cp:coreProperties>
</file>