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0" w:hanging="420" w:firstLineChars="0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Focus on cold regions that also have summer heat protection requirements.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0" w:hanging="420" w:firstLineChars="0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Classify urban green spaces according to the presence or absence of water.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0" w:hanging="420" w:firstLineChars="0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Manual selection of sample green spaces based on land cover classification results.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20" w:leftChars="0" w:hanging="420" w:firstLineChars="0"/>
        <w:textAlignment w:val="auto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Proposes a new quantitative water/land ratio to quantify the cooling effect of urban green spaces containi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ng water bodies.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A116D"/>
    <w:multiLevelType w:val="singleLevel"/>
    <w:tmpl w:val="361A116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5D5B11"/>
    <w:rsid w:val="6A5B6EC1"/>
    <w:rsid w:val="6D8B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spacing w:line="240" w:lineRule="auto"/>
    </w:pPr>
    <w:rPr>
      <w:sz w:val="20"/>
      <w:szCs w:val="20"/>
    </w:rPr>
  </w:style>
  <w:style w:type="character" w:styleId="5">
    <w:name w:val="annotation reference"/>
    <w:basedOn w:val="4"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2020-11-12T09:38:00Z</dcterms:created>
  <dc:creator>33741</dc:creator>
  <cp:lastModifiedBy>SHY SKY</cp:lastModifiedBy>
  <dcterms:modified xsi:type="dcterms:W3CDTF">2020-11-13T07:53:54Z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