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44DF" w14:textId="77777777" w:rsidR="003D38BA" w:rsidRDefault="007C7ABA">
      <w:pPr>
        <w:jc w:val="center"/>
        <w:rPr>
          <w:b/>
          <w:sz w:val="26"/>
          <w:szCs w:val="26"/>
        </w:rPr>
      </w:pPr>
      <w:r>
        <w:rPr>
          <w:b/>
          <w:sz w:val="26"/>
          <w:szCs w:val="26"/>
        </w:rPr>
        <w:t>Supplementary information for:</w:t>
      </w:r>
    </w:p>
    <w:p w14:paraId="5EFEFF25" w14:textId="77777777" w:rsidR="003D38BA" w:rsidRDefault="003D38BA">
      <w:pPr>
        <w:jc w:val="center"/>
        <w:rPr>
          <w:b/>
          <w:sz w:val="26"/>
          <w:szCs w:val="26"/>
        </w:rPr>
      </w:pPr>
    </w:p>
    <w:p w14:paraId="778F0A00" w14:textId="77777777" w:rsidR="003D38BA" w:rsidRDefault="003D38BA">
      <w:pPr>
        <w:jc w:val="center"/>
        <w:rPr>
          <w:b/>
          <w:sz w:val="26"/>
          <w:szCs w:val="26"/>
        </w:rPr>
      </w:pPr>
    </w:p>
    <w:p w14:paraId="6E7145EB" w14:textId="4C8B0BC8" w:rsidR="006D5F1A" w:rsidRDefault="006D5F1A" w:rsidP="006D5F1A">
      <w:pPr>
        <w:jc w:val="center"/>
        <w:rPr>
          <w:b/>
          <w:sz w:val="26"/>
          <w:szCs w:val="26"/>
        </w:rPr>
      </w:pPr>
      <w:r>
        <w:rPr>
          <w:b/>
          <w:sz w:val="26"/>
          <w:szCs w:val="26"/>
        </w:rPr>
        <w:t>Climate</w:t>
      </w:r>
      <w:r w:rsidR="00C16B52">
        <w:rPr>
          <w:b/>
          <w:sz w:val="26"/>
          <w:szCs w:val="26"/>
        </w:rPr>
        <w:t xml:space="preserve"> change</w:t>
      </w:r>
      <w:r>
        <w:rPr>
          <w:b/>
          <w:sz w:val="26"/>
          <w:szCs w:val="26"/>
        </w:rPr>
        <w:t xml:space="preserve"> mitigation benefits for labor exceed mitigation costs </w:t>
      </w:r>
    </w:p>
    <w:p w14:paraId="4C4AB8F7" w14:textId="77777777" w:rsidR="003D38BA" w:rsidRDefault="003D38BA"/>
    <w:p w14:paraId="69A6B98A" w14:textId="6C1570B0" w:rsidR="003D38BA" w:rsidRPr="00962686" w:rsidRDefault="007C7ABA">
      <w:pPr>
        <w:pBdr>
          <w:top w:val="nil"/>
          <w:left w:val="nil"/>
          <w:bottom w:val="nil"/>
          <w:right w:val="nil"/>
          <w:between w:val="nil"/>
        </w:pBdr>
        <w:spacing w:before="120" w:after="360"/>
        <w:rPr>
          <w:b/>
          <w:color w:val="000000"/>
        </w:rPr>
      </w:pPr>
      <w:r>
        <w:rPr>
          <w:b/>
          <w:color w:val="000000"/>
        </w:rPr>
        <w:t>L</w:t>
      </w:r>
      <w:r w:rsidR="009855EB">
        <w:rPr>
          <w:b/>
          <w:color w:val="000000"/>
        </w:rPr>
        <w:t>uke</w:t>
      </w:r>
      <w:r>
        <w:rPr>
          <w:b/>
          <w:color w:val="000000"/>
        </w:rPr>
        <w:t xml:space="preserve"> A. Parsons*</w:t>
      </w:r>
      <w:r>
        <w:rPr>
          <w:b/>
          <w:color w:val="000000"/>
          <w:vertAlign w:val="superscript"/>
        </w:rPr>
        <w:t>1</w:t>
      </w:r>
      <w:r>
        <w:rPr>
          <w:b/>
          <w:color w:val="000000"/>
        </w:rPr>
        <w:t>, D</w:t>
      </w:r>
      <w:r w:rsidR="009855EB">
        <w:rPr>
          <w:b/>
          <w:color w:val="000000"/>
        </w:rPr>
        <w:t>rew</w:t>
      </w:r>
      <w:r>
        <w:rPr>
          <w:b/>
          <w:color w:val="000000"/>
        </w:rPr>
        <w:t xml:space="preserve"> Shindell</w:t>
      </w:r>
      <w:r>
        <w:rPr>
          <w:b/>
          <w:color w:val="000000"/>
          <w:vertAlign w:val="superscript"/>
        </w:rPr>
        <w:t>1</w:t>
      </w:r>
      <w:r>
        <w:rPr>
          <w:b/>
          <w:color w:val="000000"/>
        </w:rPr>
        <w:t>, Emily Nagamoto</w:t>
      </w:r>
      <w:r>
        <w:rPr>
          <w:b/>
          <w:color w:val="000000"/>
          <w:vertAlign w:val="superscript"/>
        </w:rPr>
        <w:t>1</w:t>
      </w:r>
      <w:r>
        <w:rPr>
          <w:b/>
          <w:color w:val="000000"/>
        </w:rPr>
        <w:t xml:space="preserve">, </w:t>
      </w:r>
      <w:r w:rsidR="009855EB" w:rsidRPr="00902A59">
        <w:rPr>
          <w:b/>
          <w:color w:val="000000"/>
        </w:rPr>
        <w:t>Jonny Chang</w:t>
      </w:r>
      <w:r w:rsidR="009855EB" w:rsidRPr="00902A59">
        <w:rPr>
          <w:b/>
          <w:vertAlign w:val="superscript"/>
        </w:rPr>
        <w:t>1</w:t>
      </w:r>
      <w:r w:rsidR="009855EB" w:rsidRPr="00902A59">
        <w:rPr>
          <w:b/>
        </w:rPr>
        <w:t xml:space="preserve">, </w:t>
      </w:r>
      <w:r>
        <w:rPr>
          <w:b/>
          <w:color w:val="000000"/>
        </w:rPr>
        <w:t>Greg Faluvegi</w:t>
      </w:r>
      <w:r>
        <w:rPr>
          <w:b/>
          <w:color w:val="000000"/>
          <w:vertAlign w:val="superscript"/>
        </w:rPr>
        <w:t>2,3</w:t>
      </w:r>
      <w:r w:rsidR="00962686">
        <w:rPr>
          <w:b/>
          <w:color w:val="000000"/>
        </w:rPr>
        <w:t>, Timm Kroeger</w:t>
      </w:r>
      <w:r w:rsidR="00962686" w:rsidRPr="00962686">
        <w:rPr>
          <w:b/>
          <w:color w:val="000000"/>
          <w:vertAlign w:val="superscript"/>
        </w:rPr>
        <w:t>4</w:t>
      </w:r>
    </w:p>
    <w:p w14:paraId="3C28CCDB" w14:textId="77777777" w:rsidR="003D38BA" w:rsidRDefault="007C7ABA">
      <w:pPr>
        <w:pBdr>
          <w:top w:val="nil"/>
          <w:left w:val="nil"/>
          <w:bottom w:val="nil"/>
          <w:right w:val="nil"/>
          <w:between w:val="nil"/>
        </w:pBdr>
        <w:spacing w:before="120"/>
        <w:rPr>
          <w:color w:val="000000"/>
        </w:rPr>
      </w:pPr>
      <w:r>
        <w:rPr>
          <w:color w:val="000000"/>
          <w:vertAlign w:val="superscript"/>
        </w:rPr>
        <w:t xml:space="preserve">1 </w:t>
      </w:r>
      <w:r>
        <w:rPr>
          <w:color w:val="000000"/>
        </w:rPr>
        <w:t>Nicholas School of the Environment, Duke University, Durham, NC</w:t>
      </w:r>
    </w:p>
    <w:p w14:paraId="0447D2B7" w14:textId="77777777" w:rsidR="003D38BA" w:rsidRDefault="007C7ABA">
      <w:pPr>
        <w:pBdr>
          <w:top w:val="nil"/>
          <w:left w:val="nil"/>
          <w:bottom w:val="nil"/>
          <w:right w:val="nil"/>
          <w:between w:val="nil"/>
        </w:pBdr>
        <w:spacing w:before="120"/>
      </w:pPr>
      <w:r>
        <w:rPr>
          <w:color w:val="000000"/>
          <w:vertAlign w:val="superscript"/>
        </w:rPr>
        <w:t xml:space="preserve">2 </w:t>
      </w:r>
      <w:r>
        <w:t>Center for Climate Systems Research, Columbia University, New York, NY</w:t>
      </w:r>
    </w:p>
    <w:p w14:paraId="526B7233" w14:textId="0D90FF96" w:rsidR="003D38BA" w:rsidRDefault="007C7ABA">
      <w:pPr>
        <w:pBdr>
          <w:top w:val="nil"/>
          <w:left w:val="nil"/>
          <w:bottom w:val="nil"/>
          <w:right w:val="nil"/>
          <w:between w:val="nil"/>
        </w:pBdr>
        <w:spacing w:before="120"/>
      </w:pPr>
      <w:r>
        <w:rPr>
          <w:color w:val="000000"/>
          <w:vertAlign w:val="superscript"/>
        </w:rPr>
        <w:t xml:space="preserve">3 </w:t>
      </w:r>
      <w:r>
        <w:t>NASA Goddard Institute for Space Studies, New York, NY</w:t>
      </w:r>
    </w:p>
    <w:p w14:paraId="21BD230C" w14:textId="557FABF2" w:rsidR="00962686" w:rsidRPr="00962686" w:rsidRDefault="00962686" w:rsidP="00962686">
      <w:pPr>
        <w:pBdr>
          <w:top w:val="nil"/>
          <w:left w:val="nil"/>
          <w:bottom w:val="nil"/>
          <w:right w:val="nil"/>
          <w:between w:val="nil"/>
        </w:pBdr>
        <w:spacing w:before="120"/>
        <w:rPr>
          <w:color w:val="000000"/>
        </w:rPr>
      </w:pPr>
      <w:r w:rsidRPr="00962686">
        <w:rPr>
          <w:color w:val="000000"/>
          <w:vertAlign w:val="superscript"/>
        </w:rPr>
        <w:t>4</w:t>
      </w:r>
      <w:r>
        <w:rPr>
          <w:color w:val="000000"/>
        </w:rPr>
        <w:t xml:space="preserve"> </w:t>
      </w:r>
      <w:r w:rsidRPr="00962686">
        <w:rPr>
          <w:color w:val="000000"/>
        </w:rPr>
        <w:t>Global Science, The Nature Conservancy, Arlington, VA</w:t>
      </w:r>
    </w:p>
    <w:p w14:paraId="0EA9C37C" w14:textId="77777777" w:rsidR="00962686" w:rsidRDefault="00962686">
      <w:pPr>
        <w:pBdr>
          <w:top w:val="nil"/>
          <w:left w:val="nil"/>
          <w:bottom w:val="nil"/>
          <w:right w:val="nil"/>
          <w:between w:val="nil"/>
        </w:pBdr>
        <w:spacing w:before="120"/>
      </w:pPr>
    </w:p>
    <w:p w14:paraId="7F08DF72" w14:textId="77777777" w:rsidR="003D38BA" w:rsidRDefault="003D38BA">
      <w:pPr>
        <w:pBdr>
          <w:top w:val="nil"/>
          <w:left w:val="nil"/>
          <w:bottom w:val="nil"/>
          <w:right w:val="nil"/>
          <w:between w:val="nil"/>
        </w:pBdr>
        <w:spacing w:before="120"/>
        <w:rPr>
          <w:color w:val="000000"/>
        </w:rPr>
      </w:pPr>
    </w:p>
    <w:p w14:paraId="12711F37" w14:textId="77777777" w:rsidR="003D38BA" w:rsidRDefault="007C7ABA">
      <w:pPr>
        <w:pBdr>
          <w:top w:val="nil"/>
          <w:left w:val="nil"/>
          <w:bottom w:val="nil"/>
          <w:right w:val="nil"/>
          <w:between w:val="nil"/>
        </w:pBdr>
        <w:spacing w:before="120"/>
        <w:rPr>
          <w:color w:val="000000"/>
        </w:rPr>
      </w:pPr>
      <w:r>
        <w:rPr>
          <w:color w:val="000000"/>
        </w:rPr>
        <w:t>*Corresponding author: Luke Parsons (</w:t>
      </w:r>
      <w:hyperlink r:id="rId5">
        <w:r>
          <w:rPr>
            <w:color w:val="0000FF"/>
            <w:u w:val="single"/>
          </w:rPr>
          <w:t>luke.parsons@duke.edu</w:t>
        </w:r>
      </w:hyperlink>
      <w:r>
        <w:rPr>
          <w:color w:val="000000"/>
        </w:rPr>
        <w:t>)</w:t>
      </w:r>
    </w:p>
    <w:p w14:paraId="18C72BC4" w14:textId="77777777" w:rsidR="003D38BA" w:rsidRDefault="007C7ABA">
      <w:pPr>
        <w:rPr>
          <w:color w:val="000000"/>
        </w:rPr>
      </w:pPr>
      <w:r>
        <w:br w:type="page"/>
      </w:r>
    </w:p>
    <w:p w14:paraId="2BE6CD2E" w14:textId="5E5AC888" w:rsidR="003D38BA" w:rsidRDefault="00B874B2">
      <w:pPr>
        <w:pBdr>
          <w:top w:val="nil"/>
          <w:left w:val="nil"/>
          <w:bottom w:val="nil"/>
          <w:right w:val="nil"/>
          <w:between w:val="nil"/>
        </w:pBdr>
        <w:spacing w:before="120"/>
        <w:rPr>
          <w:b/>
        </w:rPr>
      </w:pPr>
      <w:r>
        <w:rPr>
          <w:b/>
          <w:noProof/>
        </w:rPr>
        <w:lastRenderedPageBreak/>
        <w:drawing>
          <wp:inline distT="0" distB="0" distL="0" distR="0" wp14:anchorId="5BCBE425" wp14:editId="5332A643">
            <wp:extent cx="5943600" cy="5145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145405"/>
                    </a:xfrm>
                    <a:prstGeom prst="rect">
                      <a:avLst/>
                    </a:prstGeom>
                  </pic:spPr>
                </pic:pic>
              </a:graphicData>
            </a:graphic>
          </wp:inline>
        </w:drawing>
      </w:r>
    </w:p>
    <w:p w14:paraId="505A226B" w14:textId="25F2BC4F" w:rsidR="003D38BA" w:rsidRDefault="007C7ABA">
      <w:pPr>
        <w:pBdr>
          <w:top w:val="nil"/>
          <w:left w:val="nil"/>
          <w:bottom w:val="nil"/>
          <w:right w:val="nil"/>
          <w:between w:val="nil"/>
        </w:pBdr>
        <w:spacing w:before="120"/>
      </w:pPr>
      <w:r>
        <w:rPr>
          <w:b/>
        </w:rPr>
        <w:t xml:space="preserve">Figure S1. Current country-level productivity </w:t>
      </w:r>
      <w:r w:rsidR="00AD499E">
        <w:rPr>
          <w:b/>
        </w:rPr>
        <w:t>associated with</w:t>
      </w:r>
      <w:r>
        <w:rPr>
          <w:b/>
        </w:rPr>
        <w:t xml:space="preserve"> heat and air pollution</w:t>
      </w:r>
      <w:r>
        <w:t>. Circles on each country show annual country-level productivity losses (2017 PPP$) currently (</w:t>
      </w:r>
      <w:r w:rsidR="00BD2B9D">
        <w:t xml:space="preserve">2015-2019 </w:t>
      </w:r>
      <w:r>
        <w:t>mean) under SSP</w:t>
      </w:r>
      <w:r w:rsidR="00B874B2">
        <w:t>3</w:t>
      </w:r>
      <w:r>
        <w:t>-</w:t>
      </w:r>
      <w:r w:rsidR="00B874B2">
        <w:t>7</w:t>
      </w:r>
      <w:r>
        <w:t>.</w:t>
      </w:r>
      <w:r w:rsidR="00B874B2">
        <w:t>0</w:t>
      </w:r>
      <w:r>
        <w:t xml:space="preserve"> (a) and as a fraction of each country’s GDP in 2017 (b). Red circles show losses </w:t>
      </w:r>
      <w:r w:rsidR="00BD2B9D">
        <w:t>associated with</w:t>
      </w:r>
      <w:r>
        <w:t xml:space="preserve"> humid heat, and blue circles show losses </w:t>
      </w:r>
      <w:r w:rsidR="00BD2B9D">
        <w:t>associated with</w:t>
      </w:r>
      <w:r>
        <w:t xml:space="preserve"> air pollution. The area of the circle increases as a function of loss; the legend illustrates how the area of the circle increases with losses. Losses from humid heat are calculated using the exposure response function from Kjellstrom et al., 2018 using hourly ERA5 data (present).</w:t>
      </w:r>
      <w:r w:rsidR="00D43CFE">
        <w:t xml:space="preserve"> Labor losses associated with air pollution are calculated using CMIP6 SSP</w:t>
      </w:r>
      <w:r w:rsidR="0099404C">
        <w:t>3-7.0</w:t>
      </w:r>
      <w:r w:rsidR="00D43CFE">
        <w:t xml:space="preserve"> PM</w:t>
      </w:r>
      <w:r w:rsidR="00D43CFE" w:rsidRPr="00D43CFE">
        <w:rPr>
          <w:vertAlign w:val="subscript"/>
        </w:rPr>
        <w:t xml:space="preserve">2.5 </w:t>
      </w:r>
      <w:r w:rsidR="00D43CFE">
        <w:t>data (2015-2019 mean) and a concentration response function (CRF) from the WHO (Methods)</w:t>
      </w:r>
      <w:r>
        <w:t>.</w:t>
      </w:r>
    </w:p>
    <w:p w14:paraId="2CE7525E" w14:textId="77777777" w:rsidR="003D38BA" w:rsidRDefault="007C7ABA">
      <w:r>
        <w:br w:type="page"/>
      </w:r>
    </w:p>
    <w:p w14:paraId="414F9E6A" w14:textId="7B13476E" w:rsidR="003D38BA" w:rsidRDefault="00277F2B">
      <w:pPr>
        <w:pBdr>
          <w:top w:val="nil"/>
          <w:left w:val="nil"/>
          <w:bottom w:val="nil"/>
          <w:right w:val="nil"/>
          <w:between w:val="nil"/>
        </w:pBdr>
        <w:spacing w:before="120"/>
        <w:rPr>
          <w:b/>
        </w:rPr>
      </w:pPr>
      <w:r>
        <w:rPr>
          <w:b/>
          <w:noProof/>
        </w:rPr>
        <w:lastRenderedPageBreak/>
        <w:drawing>
          <wp:inline distT="0" distB="0" distL="0" distR="0" wp14:anchorId="2DA843F1" wp14:editId="43DBF6B4">
            <wp:extent cx="5943600" cy="51454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145405"/>
                    </a:xfrm>
                    <a:prstGeom prst="rect">
                      <a:avLst/>
                    </a:prstGeom>
                  </pic:spPr>
                </pic:pic>
              </a:graphicData>
            </a:graphic>
          </wp:inline>
        </w:drawing>
      </w:r>
    </w:p>
    <w:p w14:paraId="267D202D" w14:textId="10EB6C13" w:rsidR="003D38BA" w:rsidRDefault="007C7ABA">
      <w:pPr>
        <w:pBdr>
          <w:top w:val="nil"/>
          <w:left w:val="nil"/>
          <w:bottom w:val="nil"/>
          <w:right w:val="nil"/>
          <w:between w:val="nil"/>
        </w:pBdr>
        <w:spacing w:before="120"/>
      </w:pPr>
      <w:r>
        <w:rPr>
          <w:b/>
        </w:rPr>
        <w:t xml:space="preserve">Figure S2. Mid-century country-level productivity losses </w:t>
      </w:r>
      <w:r w:rsidR="00AD499E">
        <w:rPr>
          <w:b/>
        </w:rPr>
        <w:t>associated with</w:t>
      </w:r>
      <w:r>
        <w:rPr>
          <w:b/>
        </w:rPr>
        <w:t xml:space="preserve"> humid heat and air pollution</w:t>
      </w:r>
      <w:r w:rsidR="00AD499E">
        <w:rPr>
          <w:b/>
        </w:rPr>
        <w:t xml:space="preserve"> exposure</w:t>
      </w:r>
      <w:r>
        <w:t>. As in Figure S1, but circles on each country show annual country-level productivity losses (2017 PPP$) mid-century (2050-2054 mean) under SSP3-7.0 with 1°C of warming</w:t>
      </w:r>
      <w:r w:rsidR="00C16B52">
        <w:t>, both in absolute 2017 PPP$ (a) and in terms of each country’s 2017 Gross Domestic Product (GDP, b)</w:t>
      </w:r>
      <w:r>
        <w:t>.</w:t>
      </w:r>
      <w:r w:rsidR="00D43CFE">
        <w:t xml:space="preserve"> Losses </w:t>
      </w:r>
      <w:r w:rsidR="00F96F72">
        <w:t>associated with</w:t>
      </w:r>
      <w:r w:rsidR="00D43CFE">
        <w:t xml:space="preserve"> heat</w:t>
      </w:r>
      <w:r w:rsidR="00F96F72">
        <w:t xml:space="preserve"> exposure</w:t>
      </w:r>
      <w:r w:rsidR="00D43CFE">
        <w:t xml:space="preserve"> are calculated using the exposure response function from Kjellstrom et al., 2018 using hourly ERA5 data combined with CMIP6 patterns of warming to project changes at 1°C warming. Labor losses for air pollution are calculated from CMIP6 PM</w:t>
      </w:r>
      <w:r w:rsidR="00D43CFE" w:rsidRPr="00D43CFE">
        <w:rPr>
          <w:vertAlign w:val="subscript"/>
        </w:rPr>
        <w:t xml:space="preserve">2.5 </w:t>
      </w:r>
      <w:r w:rsidR="00D43CFE">
        <w:t>projections for 2050-2054.</w:t>
      </w:r>
    </w:p>
    <w:p w14:paraId="294825C2" w14:textId="77777777" w:rsidR="003D38BA" w:rsidRDefault="003D38BA">
      <w:pPr>
        <w:pBdr>
          <w:top w:val="nil"/>
          <w:left w:val="nil"/>
          <w:bottom w:val="nil"/>
          <w:right w:val="nil"/>
          <w:between w:val="nil"/>
        </w:pBdr>
        <w:spacing w:before="120"/>
      </w:pPr>
    </w:p>
    <w:p w14:paraId="4FDD3AEC" w14:textId="77777777" w:rsidR="003D38BA" w:rsidRDefault="003D38BA"/>
    <w:p w14:paraId="752A5975" w14:textId="77777777" w:rsidR="003D38BA" w:rsidRDefault="003D38BA"/>
    <w:p w14:paraId="74B6C2A7" w14:textId="77777777" w:rsidR="003D38BA" w:rsidRDefault="007C7ABA">
      <w:r>
        <w:rPr>
          <w:noProof/>
        </w:rPr>
        <w:lastRenderedPageBreak/>
        <w:drawing>
          <wp:inline distT="0" distB="0" distL="0" distR="0" wp14:anchorId="5E337B5F" wp14:editId="7810E4F8">
            <wp:extent cx="5943600" cy="3222625"/>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3222625"/>
                    </a:xfrm>
                    <a:prstGeom prst="rect">
                      <a:avLst/>
                    </a:prstGeom>
                    <a:ln/>
                  </pic:spPr>
                </pic:pic>
              </a:graphicData>
            </a:graphic>
          </wp:inline>
        </w:drawing>
      </w:r>
    </w:p>
    <w:p w14:paraId="22568944" w14:textId="77777777" w:rsidR="003D38BA" w:rsidRDefault="003D38BA">
      <w:pPr>
        <w:rPr>
          <w:b/>
        </w:rPr>
      </w:pPr>
    </w:p>
    <w:p w14:paraId="6CDCAE46" w14:textId="1611CB1C" w:rsidR="003D38BA" w:rsidRPr="008406A0" w:rsidRDefault="007C7ABA">
      <w:r>
        <w:rPr>
          <w:b/>
        </w:rPr>
        <w:t>Figure S3. Present PM</w:t>
      </w:r>
      <w:r w:rsidRPr="008406A0">
        <w:rPr>
          <w:b/>
          <w:vertAlign w:val="subscript"/>
        </w:rPr>
        <w:t xml:space="preserve">2.5 </w:t>
      </w:r>
      <w:r>
        <w:rPr>
          <w:b/>
        </w:rPr>
        <w:t>concentration in CMIP6 models</w:t>
      </w:r>
      <w:r>
        <w:t>. Mean 2015-2019 near-surface PM</w:t>
      </w:r>
      <w:r w:rsidRPr="008406A0">
        <w:rPr>
          <w:vertAlign w:val="subscript"/>
        </w:rPr>
        <w:t xml:space="preserve">2.5 </w:t>
      </w:r>
      <w:r>
        <w:t>concentration in the SSP1-2.6 experiment. Upper panels show individual CMIP6 models used in analysis, with</w:t>
      </w:r>
      <w:r w:rsidR="008406A0">
        <w:t xml:space="preserve"> the</w:t>
      </w:r>
      <w:r>
        <w:t xml:space="preserve"> multi-model mean </w:t>
      </w:r>
      <w:r w:rsidR="008406A0">
        <w:t>PM</w:t>
      </w:r>
      <w:r w:rsidR="008406A0" w:rsidRPr="008406A0">
        <w:rPr>
          <w:vertAlign w:val="subscript"/>
        </w:rPr>
        <w:t xml:space="preserve">2.5 </w:t>
      </w:r>
      <w:r w:rsidR="008406A0">
        <w:t>shown in the</w:t>
      </w:r>
      <w:r>
        <w:t xml:space="preserve"> bottom </w:t>
      </w:r>
      <w:r w:rsidRPr="008406A0">
        <w:t xml:space="preserve">center. </w:t>
      </w:r>
      <w:r w:rsidR="008406A0">
        <w:t>PM</w:t>
      </w:r>
      <w:r w:rsidR="008406A0" w:rsidRPr="008406A0">
        <w:rPr>
          <w:vertAlign w:val="subscript"/>
        </w:rPr>
        <w:t xml:space="preserve">2.5 </w:t>
      </w:r>
      <w:r w:rsidR="00EB6EBD">
        <w:t xml:space="preserve">definition in </w:t>
      </w:r>
      <w:r w:rsidR="008406A0">
        <w:t>Methods</w:t>
      </w:r>
      <w:r w:rsidRPr="008406A0">
        <w:t>.</w:t>
      </w:r>
      <w:r w:rsidRPr="008406A0">
        <w:br w:type="page"/>
      </w:r>
    </w:p>
    <w:p w14:paraId="69169296" w14:textId="1883C63E" w:rsidR="003D38BA" w:rsidRDefault="00D82B17">
      <w:pPr>
        <w:spacing w:before="120"/>
        <w:rPr>
          <w:b/>
        </w:rPr>
      </w:pPr>
      <w:r>
        <w:rPr>
          <w:b/>
          <w:noProof/>
        </w:rPr>
        <w:lastRenderedPageBreak/>
        <w:drawing>
          <wp:inline distT="0" distB="0" distL="0" distR="0" wp14:anchorId="1258FD76" wp14:editId="2EBED6FF">
            <wp:extent cx="5943600" cy="6487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487160"/>
                    </a:xfrm>
                    <a:prstGeom prst="rect">
                      <a:avLst/>
                    </a:prstGeom>
                  </pic:spPr>
                </pic:pic>
              </a:graphicData>
            </a:graphic>
          </wp:inline>
        </w:drawing>
      </w:r>
    </w:p>
    <w:p w14:paraId="220278B5" w14:textId="4692B4C1" w:rsidR="003D38BA" w:rsidRDefault="007C7ABA">
      <w:pPr>
        <w:spacing w:before="120"/>
      </w:pPr>
      <w:r>
        <w:rPr>
          <w:b/>
        </w:rPr>
        <w:t>Figure S4. Country-level labor losses associated with heat and air pollution</w:t>
      </w:r>
      <w:r>
        <w:t>. Time series showing country-level sums of potential labor losses associated with exposure to heat (lines) and air pollution (dots) under SSP1-2.6 (red) and SSP3-7.0 (blue</w:t>
      </w:r>
      <w:r w:rsidR="00F96F72">
        <w:t>)</w:t>
      </w:r>
      <w:r>
        <w:t>. Thin lines and small dots show the individual CMIP6 model results, and thick lines and large dots show the multi-model median results.</w:t>
      </w:r>
      <w:r>
        <w:br w:type="page"/>
      </w:r>
    </w:p>
    <w:p w14:paraId="53DD8707" w14:textId="22A157D2" w:rsidR="003D38BA" w:rsidRDefault="00674B2F">
      <w:pPr>
        <w:spacing w:before="120"/>
        <w:rPr>
          <w:b/>
        </w:rPr>
      </w:pPr>
      <w:r>
        <w:rPr>
          <w:b/>
          <w:noProof/>
        </w:rPr>
        <w:lastRenderedPageBreak/>
        <w:drawing>
          <wp:inline distT="0" distB="0" distL="0" distR="0" wp14:anchorId="22B2E018" wp14:editId="3D1DCB6F">
            <wp:extent cx="5943600" cy="63836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6383655"/>
                    </a:xfrm>
                    <a:prstGeom prst="rect">
                      <a:avLst/>
                    </a:prstGeom>
                  </pic:spPr>
                </pic:pic>
              </a:graphicData>
            </a:graphic>
          </wp:inline>
        </w:drawing>
      </w:r>
    </w:p>
    <w:p w14:paraId="7491F81F" w14:textId="367B2073" w:rsidR="003D38BA" w:rsidRDefault="007C7ABA">
      <w:pPr>
        <w:spacing w:before="120"/>
      </w:pPr>
      <w:r>
        <w:rPr>
          <w:b/>
        </w:rPr>
        <w:t>Figure S5. Avoided country-level labor losses associated with heat and air pollution</w:t>
      </w:r>
      <w:r>
        <w:t>. Time series showing avoided country-level potential labor losses associated with avoided exposure to heat (lines) and air pollution (dots). Avoided losses are calculated as the difference between losses in CMIP6 SSP1-2.6 and SSP3-7.0. Thin lines and small dots show the individual CMIP6 model results, and thick lines and large dots show the multi-model median results.</w:t>
      </w:r>
      <w:r>
        <w:br w:type="page"/>
      </w:r>
    </w:p>
    <w:p w14:paraId="1EE8C2A3" w14:textId="3EA3477E" w:rsidR="003D38BA" w:rsidRDefault="00674B2F">
      <w:pPr>
        <w:spacing w:before="120"/>
        <w:rPr>
          <w:b/>
        </w:rPr>
      </w:pPr>
      <w:r>
        <w:rPr>
          <w:b/>
          <w:noProof/>
        </w:rPr>
        <w:lastRenderedPageBreak/>
        <w:drawing>
          <wp:inline distT="0" distB="0" distL="0" distR="0" wp14:anchorId="18FA8D5C" wp14:editId="7FB11714">
            <wp:extent cx="5943600" cy="63474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347460"/>
                    </a:xfrm>
                    <a:prstGeom prst="rect">
                      <a:avLst/>
                    </a:prstGeom>
                  </pic:spPr>
                </pic:pic>
              </a:graphicData>
            </a:graphic>
          </wp:inline>
        </w:drawing>
      </w:r>
    </w:p>
    <w:p w14:paraId="627FA6FA" w14:textId="6E1ED354" w:rsidR="003D38BA" w:rsidRDefault="007C7ABA">
      <w:pPr>
        <w:spacing w:before="120"/>
      </w:pPr>
      <w:r>
        <w:rPr>
          <w:b/>
        </w:rPr>
        <w:t>Figure S6. Avoided country-level productivity losses associated with heat and air pollution</w:t>
      </w:r>
      <w:r>
        <w:t xml:space="preserve">. Time series showing avoided country-level potential productivity losses (2017 PPP$) associated </w:t>
      </w:r>
      <w:r w:rsidR="00F96F72">
        <w:t>with</w:t>
      </w:r>
      <w:r>
        <w:t xml:space="preserve"> avoided exposure to heat (lines) and air pollution (dots). Avoided losses are calculated as the difference between losses in CMIP6 SSP1-2.6 and SSP3-7.0. Thin lines and small dots show the individual CMIP6 model results, and thick lines and large dots show the multi-model median results.</w:t>
      </w:r>
      <w:r>
        <w:br w:type="page"/>
      </w:r>
    </w:p>
    <w:p w14:paraId="5635B4C3" w14:textId="77777777" w:rsidR="003D38BA" w:rsidRDefault="007C7ABA">
      <w:pPr>
        <w:rPr>
          <w:b/>
        </w:rPr>
      </w:pPr>
      <w:r>
        <w:rPr>
          <w:b/>
          <w:noProof/>
        </w:rPr>
        <w:lastRenderedPageBreak/>
        <w:drawing>
          <wp:inline distT="114300" distB="114300" distL="114300" distR="114300" wp14:anchorId="330E3157" wp14:editId="4287A0B6">
            <wp:extent cx="5943600" cy="374650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5943600" cy="3746500"/>
                    </a:xfrm>
                    <a:prstGeom prst="rect">
                      <a:avLst/>
                    </a:prstGeom>
                    <a:ln/>
                  </pic:spPr>
                </pic:pic>
              </a:graphicData>
            </a:graphic>
          </wp:inline>
        </w:drawing>
      </w:r>
      <w:r>
        <w:rPr>
          <w:b/>
          <w:noProof/>
        </w:rPr>
        <w:drawing>
          <wp:inline distT="114300" distB="114300" distL="114300" distR="114300" wp14:anchorId="682D323E" wp14:editId="28ED6358">
            <wp:extent cx="5943600" cy="11684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943600" cy="1168400"/>
                    </a:xfrm>
                    <a:prstGeom prst="rect">
                      <a:avLst/>
                    </a:prstGeom>
                    <a:ln/>
                  </pic:spPr>
                </pic:pic>
              </a:graphicData>
            </a:graphic>
          </wp:inline>
        </w:drawing>
      </w:r>
    </w:p>
    <w:p w14:paraId="656484EA" w14:textId="48A50B85" w:rsidR="00BD6B90" w:rsidRDefault="007C7ABA">
      <w:r>
        <w:rPr>
          <w:b/>
        </w:rPr>
        <w:t>Figure S6. Light, medium, and heavy intensity labor productivity losses associated with heat exposure, currently and with global warming</w:t>
      </w:r>
      <w:r>
        <w:t>. Annual totals of light (left column), medium (center column), and heavy (right column) intensity labor (hours/person/year, with a theoretical maximum of 4,380 lost work hours/year, or 12 hours/day and 365 days/year of work) calculated from Kjellstrom et al. 2018 humid heat exposure response function and hourly sWBGT calculated from ERA5 data for the present as well as for global temperature changes (‘Global ΔT’) of +1°C, +2°C, and +3°C relative to the present. For future warming, patterns of CMIP6 simplified Wet Bulb Globe Temperatures (sWBGT) warming patterns are used (Parsons et al., 2021). For the present, annual sums of labor lost (2015-2019) are calculated from the hourly sWBGT ERA5 data, the average over the 2015-2019 time period is shown</w:t>
      </w:r>
      <w:r w:rsidR="00F96F72">
        <w:t xml:space="preserve"> (Methods)</w:t>
      </w:r>
      <w:r>
        <w:t>.</w:t>
      </w:r>
    </w:p>
    <w:p w14:paraId="7EB7BB64" w14:textId="77777777" w:rsidR="00BD6B90" w:rsidRDefault="00BD6B90">
      <w:r>
        <w:br w:type="page"/>
      </w:r>
    </w:p>
    <w:p w14:paraId="699CDAF8" w14:textId="77777777" w:rsidR="00BD6B90" w:rsidRDefault="00BD6B90" w:rsidP="00BD6B90">
      <w:pPr>
        <w:pBdr>
          <w:top w:val="nil"/>
          <w:left w:val="nil"/>
          <w:bottom w:val="nil"/>
          <w:right w:val="nil"/>
          <w:between w:val="nil"/>
        </w:pBdr>
        <w:spacing w:before="120"/>
        <w:rPr>
          <w:b/>
        </w:rPr>
      </w:pPr>
      <w:r>
        <w:rPr>
          <w:b/>
          <w:noProof/>
        </w:rPr>
        <w:lastRenderedPageBreak/>
        <w:drawing>
          <wp:inline distT="0" distB="0" distL="0" distR="0" wp14:anchorId="4BA1388F" wp14:editId="0303AC3B">
            <wp:extent cx="5943600" cy="22078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207895"/>
                    </a:xfrm>
                    <a:prstGeom prst="rect">
                      <a:avLst/>
                    </a:prstGeom>
                  </pic:spPr>
                </pic:pic>
              </a:graphicData>
            </a:graphic>
          </wp:inline>
        </w:drawing>
      </w:r>
    </w:p>
    <w:p w14:paraId="019B94B8" w14:textId="41894ECF" w:rsidR="003D38BA" w:rsidRDefault="00BD6B90" w:rsidP="00BD6B90">
      <w:r w:rsidRPr="00770C81">
        <w:rPr>
          <w:b/>
        </w:rPr>
        <w:t xml:space="preserve">Figure </w:t>
      </w:r>
      <w:r>
        <w:rPr>
          <w:b/>
        </w:rPr>
        <w:t>S7</w:t>
      </w:r>
      <w:r w:rsidRPr="00770C81">
        <w:rPr>
          <w:b/>
        </w:rPr>
        <w:t>. Global avoided</w:t>
      </w:r>
      <w:r>
        <w:rPr>
          <w:b/>
        </w:rPr>
        <w:t xml:space="preserve"> labor</w:t>
      </w:r>
      <w:r w:rsidRPr="00770C81">
        <w:rPr>
          <w:b/>
        </w:rPr>
        <w:t xml:space="preserve"> productivity losses from air pollution and heat</w:t>
      </w:r>
      <w:r>
        <w:rPr>
          <w:b/>
        </w:rPr>
        <w:t xml:space="preserve"> using a 7% annual discount rate</w:t>
      </w:r>
      <w:r w:rsidRPr="00770C81">
        <w:t>.</w:t>
      </w:r>
      <w:r w:rsidRPr="00770C81">
        <w:br/>
      </w:r>
      <w:r>
        <w:t xml:space="preserve">Time series showing avoided cumulative productivity losses discounted at an annual 7% rate (a), and combined annual productivity and marginal investments losses discounted at an annual 7% rate. </w:t>
      </w:r>
      <w:r w:rsidRPr="00770C81">
        <w:t xml:space="preserve">Avoided </w:t>
      </w:r>
      <w:r w:rsidRPr="005909D6">
        <w:t>losses are due to avoided labor losses associated with heat exposure (lines) and air pollution exposure (dots) under</w:t>
      </w:r>
      <w:r>
        <w:t xml:space="preserve"> Shared Socioeconomic Pathways (SSPs)</w:t>
      </w:r>
      <w:r w:rsidRPr="005909D6">
        <w:t xml:space="preserve"> SSP1-2.6 vs SSP3-7.0. Thin lines and small dots show the individual </w:t>
      </w:r>
      <w:r>
        <w:t>Coupled Model Intercomparison Project Phase 6 (</w:t>
      </w:r>
      <w:r w:rsidRPr="00902A59">
        <w:t>CMIP6</w:t>
      </w:r>
      <w:r>
        <w:t xml:space="preserve">) </w:t>
      </w:r>
      <w:r w:rsidRPr="005909D6">
        <w:t>model results, and thick lines and large dots show the multi-model median results. The grey triangles (b) show the combined avoided global productivity (2017 PPP$) losses from avoided heat and PM</w:t>
      </w:r>
      <w:r w:rsidRPr="005909D6">
        <w:rPr>
          <w:vertAlign w:val="subscript"/>
        </w:rPr>
        <w:t>2.5</w:t>
      </w:r>
      <w:r w:rsidRPr="005909D6">
        <w:t xml:space="preserve"> exposure under SSP1-2.6 vs SSP3-7.0, and the green shading outlines the annual estimated </w:t>
      </w:r>
      <w:r>
        <w:t xml:space="preserve">marginal </w:t>
      </w:r>
      <w:r w:rsidRPr="005909D6">
        <w:t xml:space="preserve">investments to transform the energy system to </w:t>
      </w:r>
      <w:r>
        <w:t>limit warming to 2°C</w:t>
      </w:r>
      <w:r w:rsidRPr="005909D6">
        <w:t>, with the dashed green line showing the</w:t>
      </w:r>
      <w:r>
        <w:t xml:space="preserve"> mean</w:t>
      </w:r>
      <w:r w:rsidRPr="005909D6">
        <w:t xml:space="preserve"> estimate in McCollum et al.</w:t>
      </w:r>
      <w:r w:rsidRPr="005909D6">
        <w:fldChar w:fldCharType="begin"/>
      </w:r>
      <w:r>
        <w:instrText xml:space="preserve"> ADDIN EN.CITE &lt;EndNote&gt;&lt;Cite&gt;&lt;Author&gt;McCollum&lt;/Author&gt;&lt;Year&gt;2018&lt;/Year&gt;&lt;RecNum&gt;1882&lt;/RecNum&gt;&lt;DisplayText&gt;&lt;style face="superscript"&gt;25&lt;/style&gt;&lt;/DisplayText&gt;&lt;record&gt;&lt;rec-number&gt;1882&lt;/rec-number&gt;&lt;foreign-keys&gt;&lt;key app="EN" db-id="2rtzv0a06erttie2exmpd0ravrd02seaf0dd" timestamp="1644425831" guid="9015a24f-a398-46e6-8a3d-72f778ad1f87"&gt;1882&lt;/key&gt;&lt;/foreign-keys&gt;&lt;ref-type name="Journal Article"&gt;17&lt;/ref-type&gt;&lt;contributors&gt;&lt;authors&gt;&lt;author&gt;McCollum, David L&lt;/author&gt;&lt;author&gt;Zhou, Wenji&lt;/author&gt;&lt;author&gt;Bertram, Christoph&lt;/author&gt;&lt;author&gt;De Boer, Harmen-Sytze&lt;/author&gt;&lt;author&gt;Bosetti, Valentina&lt;/author&gt;&lt;author&gt;Busch, Sebastian&lt;/author&gt;&lt;author&gt;Després, Jacques&lt;/author&gt;&lt;author&gt;Drouet, Laurent&lt;/author&gt;&lt;author&gt;Emmerling, Johannes&lt;/author&gt;&lt;author&gt;Fay, Marianne&lt;/author&gt;&lt;/authors&gt;&lt;/contributors&gt;&lt;titles&gt;&lt;title&gt;Energy investment needs for fulfilling the Paris Agreement and achieving the Sustainable Development Goals&lt;/title&gt;&lt;secondary-title&gt;Nature Energy&lt;/secondary-title&gt;&lt;/titles&gt;&lt;periodical&gt;&lt;full-title&gt;Nature Energy&lt;/full-title&gt;&lt;/periodical&gt;&lt;pages&gt;589-599&lt;/pages&gt;&lt;volume&gt;3&lt;/volume&gt;&lt;number&gt;7&lt;/number&gt;&lt;dates&gt;&lt;year&gt;2018&lt;/year&gt;&lt;/dates&gt;&lt;isbn&gt;2058-7546&lt;/isbn&gt;&lt;urls&gt;&lt;/urls&gt;&lt;/record&gt;&lt;/Cite&gt;&lt;/EndNote&gt;</w:instrText>
      </w:r>
      <w:r w:rsidRPr="005909D6">
        <w:fldChar w:fldCharType="separate"/>
      </w:r>
      <w:r w:rsidRPr="00654AF7">
        <w:rPr>
          <w:noProof/>
          <w:vertAlign w:val="superscript"/>
        </w:rPr>
        <w:t>25</w:t>
      </w:r>
      <w:r w:rsidRPr="005909D6">
        <w:fldChar w:fldCharType="end"/>
      </w:r>
      <w:r>
        <w:t xml:space="preserve"> also discounted at an annual 7% rate.</w:t>
      </w:r>
    </w:p>
    <w:p w14:paraId="1934D24F" w14:textId="77777777" w:rsidR="00B06264" w:rsidRDefault="00B06264">
      <w:pPr>
        <w:rPr>
          <w:b/>
        </w:rPr>
      </w:pPr>
      <w:r>
        <w:rPr>
          <w:b/>
        </w:rPr>
        <w:br w:type="page"/>
      </w:r>
    </w:p>
    <w:p w14:paraId="39E90386" w14:textId="3A32D19C" w:rsidR="003D38BA" w:rsidRDefault="00D82B17" w:rsidP="00EB6EBD">
      <w:pPr>
        <w:jc w:val="center"/>
      </w:pPr>
      <w:r>
        <w:rPr>
          <w:noProof/>
        </w:rPr>
        <w:lastRenderedPageBreak/>
        <w:drawing>
          <wp:inline distT="0" distB="0" distL="0" distR="0" wp14:anchorId="2E5B9E15" wp14:editId="29ECB961">
            <wp:extent cx="5943600" cy="22078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207895"/>
                    </a:xfrm>
                    <a:prstGeom prst="rect">
                      <a:avLst/>
                    </a:prstGeom>
                  </pic:spPr>
                </pic:pic>
              </a:graphicData>
            </a:graphic>
          </wp:inline>
        </w:drawing>
      </w:r>
    </w:p>
    <w:p w14:paraId="4AA01CCC" w14:textId="1B27235E" w:rsidR="005F2FC0" w:rsidRDefault="005F2FC0" w:rsidP="00EB6EBD">
      <w:pPr>
        <w:jc w:val="center"/>
      </w:pPr>
      <w:r>
        <w:rPr>
          <w:noProof/>
        </w:rPr>
        <w:drawing>
          <wp:inline distT="0" distB="0" distL="0" distR="0" wp14:anchorId="47848C50" wp14:editId="4144EEE3">
            <wp:extent cx="5943600" cy="22078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207895"/>
                    </a:xfrm>
                    <a:prstGeom prst="rect">
                      <a:avLst/>
                    </a:prstGeom>
                  </pic:spPr>
                </pic:pic>
              </a:graphicData>
            </a:graphic>
          </wp:inline>
        </w:drawing>
      </w:r>
    </w:p>
    <w:p w14:paraId="070F0D95" w14:textId="0C03CE55" w:rsidR="00097A32" w:rsidRDefault="00AD499E" w:rsidP="00AD499E">
      <w:r>
        <w:rPr>
          <w:b/>
        </w:rPr>
        <w:t>Figure S</w:t>
      </w:r>
      <w:r w:rsidR="00BD6B90">
        <w:rPr>
          <w:b/>
        </w:rPr>
        <w:t>8</w:t>
      </w:r>
      <w:r>
        <w:rPr>
          <w:b/>
        </w:rPr>
        <w:t xml:space="preserve">. Avoided labor productivity losses using Foster et al. 2021 exposure response function. </w:t>
      </w:r>
      <w:r>
        <w:t>Similar to Figure 4 in the main text, but in place of the Kjellstrom et al. 2018 heat exposure response function (ERF), here the Foster et al. (2021) ERF is used, which produces labor losses at humid heat as low as 18°C, whereas the Kjellstrom ERF does not begin to show labor losses until humid heat reaches at least ~23°C. Above a humid heat threshold of ~33°C, the Foster ERF begins to show lower productivity loss than the Kjellstrom ERF.</w:t>
      </w:r>
      <w:r w:rsidR="00097A32">
        <w:t xml:space="preserve"> </w:t>
      </w:r>
      <w:r w:rsidR="00D82B17" w:rsidRPr="00770C81">
        <w:t>Time series</w:t>
      </w:r>
      <w:r w:rsidR="00D82B17">
        <w:t xml:space="preserve"> (a)</w:t>
      </w:r>
      <w:r w:rsidR="00D82B17" w:rsidRPr="00770C81">
        <w:t xml:space="preserve"> show</w:t>
      </w:r>
      <w:r w:rsidR="00D82B17">
        <w:t>s</w:t>
      </w:r>
      <w:r w:rsidR="00D82B17" w:rsidRPr="00770C81">
        <w:t xml:space="preserve"> cumulative avoided global productivity (2017 PPP$) losses</w:t>
      </w:r>
      <w:r w:rsidR="00D82B17">
        <w:t xml:space="preserve"> from heat and air pollution separately</w:t>
      </w:r>
      <w:r w:rsidR="00D82B17" w:rsidRPr="00770C81">
        <w:t xml:space="preserve"> and </w:t>
      </w:r>
      <w:r w:rsidR="00D82B17">
        <w:t xml:space="preserve">(b) </w:t>
      </w:r>
      <w:r w:rsidR="00D82B17" w:rsidRPr="00770C81">
        <w:t>combined annual</w:t>
      </w:r>
      <w:r w:rsidR="00D82B17">
        <w:t xml:space="preserve"> avoided</w:t>
      </w:r>
      <w:r w:rsidR="00D82B17" w:rsidRPr="00770C81">
        <w:t xml:space="preserve"> productivity (2017 PPP$) losses from heat and air pollution</w:t>
      </w:r>
      <w:r w:rsidR="00D82B17">
        <w:t xml:space="preserve"> as well as estimated marginal costs of energy investments needed to limit warming to 2°C</w:t>
      </w:r>
      <w:r w:rsidR="00097A32" w:rsidRPr="005909D6">
        <w:t>, with the dashed green line showing the</w:t>
      </w:r>
      <w:r w:rsidR="00097A32">
        <w:t xml:space="preserve"> mean</w:t>
      </w:r>
      <w:r w:rsidR="00097A32" w:rsidRPr="005909D6">
        <w:t xml:space="preserve"> estimate</w:t>
      </w:r>
      <w:r w:rsidR="00D82B17">
        <w:t xml:space="preserve"> and the shading showing the range of estimates from</w:t>
      </w:r>
      <w:r w:rsidR="00097A32" w:rsidRPr="005909D6">
        <w:t xml:space="preserve"> McCollum et al.</w:t>
      </w:r>
      <w:r w:rsidR="00097A32" w:rsidRPr="005909D6">
        <w:fldChar w:fldCharType="begin"/>
      </w:r>
      <w:r w:rsidR="00097A32" w:rsidRPr="005909D6">
        <w:instrText xml:space="preserve"> ADDIN EN.CITE &lt;EndNote&gt;&lt;Cite&gt;&lt;Author&gt;McCollum&lt;/Author&gt;&lt;Year&gt;2018&lt;/Year&gt;&lt;RecNum&gt;1882&lt;/RecNum&gt;&lt;DisplayText&gt;&lt;style face="superscript"&gt;23&lt;/style&gt;&lt;/DisplayText&gt;&lt;record&gt;&lt;rec-number&gt;1882&lt;/rec-number&gt;&lt;foreign-keys&gt;&lt;key app="EN" db-id="2rtzv0a06erttie2exmpd0ravrd02seaf0dd" timestamp="1644425831" guid="9015a24f-a398-46e6-8a3d-72f778ad1f87"&gt;1882&lt;/key&gt;&lt;/foreign-keys&gt;&lt;ref-type name="Journal Article"&gt;17&lt;/ref-type&gt;&lt;contributors&gt;&lt;authors&gt;&lt;author&gt;McCollum, David L&lt;/author&gt;&lt;author&gt;Zhou, Wenji&lt;/author&gt;&lt;author&gt;Bertram, Christoph&lt;/author&gt;&lt;author&gt;De Boer, Harmen-Sytze&lt;/author&gt;&lt;author&gt;Bosetti, Valentina&lt;/author&gt;&lt;author&gt;Busch, Sebastian&lt;/author&gt;&lt;author&gt;Després, Jacques&lt;/author&gt;&lt;author&gt;Drouet, Laurent&lt;/author&gt;&lt;author&gt;Emmerling, Johannes&lt;/author&gt;&lt;author&gt;Fay, Marianne&lt;/author&gt;&lt;/authors&gt;&lt;/contributors&gt;&lt;titles&gt;&lt;title&gt;Energy investment needs for fulfilling the Paris Agreement and achieving the Sustainable Development Goals&lt;/title&gt;&lt;secondary-title&gt;Nature Energy&lt;/secondary-title&gt;&lt;/titles&gt;&lt;periodical&gt;&lt;full-title&gt;Nature Energy&lt;/full-title&gt;&lt;/periodical&gt;&lt;pages&gt;589-599&lt;/pages&gt;&lt;volume&gt;3&lt;/volume&gt;&lt;number&gt;7&lt;/number&gt;&lt;dates&gt;&lt;year&gt;2018&lt;/year&gt;&lt;/dates&gt;&lt;isbn&gt;2058-7546&lt;/isbn&gt;&lt;urls&gt;&lt;/urls&gt;&lt;/record&gt;&lt;/Cite&gt;&lt;/EndNote&gt;</w:instrText>
      </w:r>
      <w:r w:rsidR="00097A32" w:rsidRPr="005909D6">
        <w:fldChar w:fldCharType="separate"/>
      </w:r>
      <w:r w:rsidR="00097A32" w:rsidRPr="005909D6">
        <w:rPr>
          <w:noProof/>
          <w:vertAlign w:val="superscript"/>
        </w:rPr>
        <w:t>23</w:t>
      </w:r>
      <w:r w:rsidR="00097A32" w:rsidRPr="005909D6">
        <w:fldChar w:fldCharType="end"/>
      </w:r>
      <w:r w:rsidR="00097A32">
        <w:t>.</w:t>
      </w:r>
      <w:r w:rsidR="00097A32" w:rsidRPr="005909D6">
        <w:t xml:space="preserve"> </w:t>
      </w:r>
      <w:r w:rsidR="005F2FC0">
        <w:t>Time series (c) shows avoided losses and combined annual productivity and marginal investments (d) discounted at an annual 3% rate.</w:t>
      </w:r>
    </w:p>
    <w:p w14:paraId="5D499451" w14:textId="7713BCE6" w:rsidR="00AD499E" w:rsidRPr="00097A32" w:rsidRDefault="00097A32" w:rsidP="00AD499E">
      <w:r>
        <w:br w:type="page"/>
      </w:r>
    </w:p>
    <w:p w14:paraId="21FB645B" w14:textId="6C11EA6F" w:rsidR="00AD499E" w:rsidRDefault="00F553CF" w:rsidP="00977F3D">
      <w:pPr>
        <w:jc w:val="center"/>
      </w:pPr>
      <w:r>
        <w:rPr>
          <w:noProof/>
        </w:rPr>
        <w:lastRenderedPageBreak/>
        <w:drawing>
          <wp:inline distT="0" distB="0" distL="0" distR="0" wp14:anchorId="065B8BCE" wp14:editId="2A5B8A1F">
            <wp:extent cx="5222361" cy="25280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29567" cy="2531535"/>
                    </a:xfrm>
                    <a:prstGeom prst="rect">
                      <a:avLst/>
                    </a:prstGeom>
                  </pic:spPr>
                </pic:pic>
              </a:graphicData>
            </a:graphic>
          </wp:inline>
        </w:drawing>
      </w:r>
    </w:p>
    <w:p w14:paraId="3B390CDD" w14:textId="45B9AF84" w:rsidR="003D38BA" w:rsidRDefault="003D38BA" w:rsidP="00EB6EBD">
      <w:pPr>
        <w:jc w:val="center"/>
      </w:pPr>
    </w:p>
    <w:p w14:paraId="18F31EE0" w14:textId="77777777" w:rsidR="00743551" w:rsidRDefault="00743551" w:rsidP="00EB6EBD">
      <w:pPr>
        <w:jc w:val="center"/>
      </w:pPr>
    </w:p>
    <w:p w14:paraId="16AF4451" w14:textId="79E845C9" w:rsidR="003D38BA" w:rsidRDefault="00F553CF" w:rsidP="00EB6EBD">
      <w:pPr>
        <w:jc w:val="center"/>
      </w:pPr>
      <w:r>
        <w:rPr>
          <w:noProof/>
        </w:rPr>
        <w:drawing>
          <wp:inline distT="0" distB="0" distL="0" distR="0" wp14:anchorId="5ECA2D26" wp14:editId="564C2ED7">
            <wp:extent cx="4809507" cy="313954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45067" cy="3162753"/>
                    </a:xfrm>
                    <a:prstGeom prst="rect">
                      <a:avLst/>
                    </a:prstGeom>
                  </pic:spPr>
                </pic:pic>
              </a:graphicData>
            </a:graphic>
          </wp:inline>
        </w:drawing>
      </w:r>
    </w:p>
    <w:p w14:paraId="523BDAEA" w14:textId="77777777" w:rsidR="00743551" w:rsidRDefault="00743551" w:rsidP="00EB6EBD">
      <w:pPr>
        <w:jc w:val="center"/>
      </w:pPr>
    </w:p>
    <w:p w14:paraId="5FBD7148" w14:textId="11CFA767" w:rsidR="00B553A1" w:rsidRDefault="007C7ABA" w:rsidP="001A2589">
      <w:pPr>
        <w:pBdr>
          <w:top w:val="nil"/>
          <w:left w:val="nil"/>
          <w:bottom w:val="nil"/>
          <w:right w:val="nil"/>
          <w:between w:val="nil"/>
        </w:pBdr>
        <w:spacing w:before="120"/>
        <w:rPr>
          <w:b/>
        </w:rPr>
      </w:pPr>
      <w:r>
        <w:rPr>
          <w:b/>
        </w:rPr>
        <w:t>Figure S</w:t>
      </w:r>
      <w:r w:rsidR="00683DCF">
        <w:rPr>
          <w:b/>
        </w:rPr>
        <w:t>9</w:t>
      </w:r>
      <w:r>
        <w:rPr>
          <w:b/>
        </w:rPr>
        <w:t xml:space="preserve">. </w:t>
      </w:r>
      <w:r w:rsidR="00097A32">
        <w:rPr>
          <w:b/>
        </w:rPr>
        <w:t>P</w:t>
      </w:r>
      <w:r>
        <w:rPr>
          <w:b/>
        </w:rPr>
        <w:t>rojected time horizon when climate benefits outweigh air pollution benefits for labor</w:t>
      </w:r>
      <w:r w:rsidR="00AD499E" w:rsidRPr="00AD499E">
        <w:rPr>
          <w:b/>
        </w:rPr>
        <w:t xml:space="preserve"> </w:t>
      </w:r>
      <w:r w:rsidR="00AD499E">
        <w:rPr>
          <w:b/>
        </w:rPr>
        <w:t>using the Foster et al. 2021 exposure response function</w:t>
      </w:r>
      <w:r>
        <w:t>. Similar Figure 5 in the main text, but in place of the Kjellstrom et al. 2018 heat exposure response function (ERF), here the Foster et al. (2021) ERF is used</w:t>
      </w:r>
      <w:r w:rsidR="00097A32">
        <w:t xml:space="preserve">. </w:t>
      </w:r>
      <w:r>
        <w:t>Scatter plot (</w:t>
      </w:r>
      <w:r w:rsidR="0016474B">
        <w:t>a</w:t>
      </w:r>
      <w:r>
        <w:t>) shows latitude and year when each country is expected to show greater benefits from climate mitigation than air pollution, bar graph (</w:t>
      </w:r>
      <w:r w:rsidR="0016474B">
        <w:t>b</w:t>
      </w:r>
      <w:r>
        <w:t>) shows distribution of countries by latitude as a function of when each country is expected to show greater climate as opposed to air pollution benefits, and map</w:t>
      </w:r>
      <w:r w:rsidR="00097A32">
        <w:t xml:space="preserve"> (</w:t>
      </w:r>
      <w:r w:rsidR="0016474B">
        <w:t>c</w:t>
      </w:r>
      <w:r w:rsidR="00097A32">
        <w:t>)</w:t>
      </w:r>
      <w:r>
        <w:t xml:space="preserve"> shows the approximate year for each country in which climate benefits overtake air pollution benefits from emissions reductions, with darker colors indicating  more delayed climate relative to air pollution benefits.</w:t>
      </w:r>
    </w:p>
    <w:p w14:paraId="01505794" w14:textId="63A26699" w:rsidR="003F29A1" w:rsidRPr="00902A59" w:rsidRDefault="003F29A1" w:rsidP="001A2589">
      <w:pPr>
        <w:pBdr>
          <w:top w:val="nil"/>
          <w:left w:val="nil"/>
          <w:bottom w:val="nil"/>
          <w:right w:val="nil"/>
          <w:between w:val="nil"/>
        </w:pBdr>
        <w:spacing w:before="120"/>
      </w:pPr>
      <w:r>
        <w:br w:type="page"/>
      </w:r>
    </w:p>
    <w:p w14:paraId="031EF88A" w14:textId="77777777" w:rsidR="00EE6E4D" w:rsidRDefault="00EE6E4D" w:rsidP="00962686">
      <w:pPr>
        <w:rPr>
          <w:b/>
        </w:rPr>
      </w:pPr>
    </w:p>
    <w:p w14:paraId="5C5CD8F1" w14:textId="77777777" w:rsidR="0042076F" w:rsidRDefault="0042076F" w:rsidP="0042076F">
      <w:pPr>
        <w:jc w:val="center"/>
        <w:rPr>
          <w:b/>
        </w:rPr>
      </w:pPr>
      <w:r>
        <w:rPr>
          <w:b/>
          <w:noProof/>
        </w:rPr>
        <w:drawing>
          <wp:inline distT="0" distB="0" distL="0" distR="0" wp14:anchorId="5A6B1555" wp14:editId="4F178306">
            <wp:extent cx="4912659" cy="3200052"/>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32148" cy="3212747"/>
                    </a:xfrm>
                    <a:prstGeom prst="rect">
                      <a:avLst/>
                    </a:prstGeom>
                  </pic:spPr>
                </pic:pic>
              </a:graphicData>
            </a:graphic>
          </wp:inline>
        </w:drawing>
      </w:r>
    </w:p>
    <w:p w14:paraId="7CF7F270" w14:textId="77777777" w:rsidR="0042076F" w:rsidRDefault="0042076F" w:rsidP="00962686">
      <w:pPr>
        <w:rPr>
          <w:b/>
        </w:rPr>
      </w:pPr>
    </w:p>
    <w:p w14:paraId="2D294ECA" w14:textId="4ABE3615" w:rsidR="003F29A1" w:rsidRDefault="0042076F" w:rsidP="00962686">
      <w:r>
        <w:rPr>
          <w:b/>
          <w:noProof/>
        </w:rPr>
        <w:drawing>
          <wp:inline distT="0" distB="0" distL="0" distR="0" wp14:anchorId="34AA0BD4" wp14:editId="1168B61C">
            <wp:extent cx="5943600" cy="25584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558415"/>
                    </a:xfrm>
                    <a:prstGeom prst="rect">
                      <a:avLst/>
                    </a:prstGeom>
                  </pic:spPr>
                </pic:pic>
              </a:graphicData>
            </a:graphic>
          </wp:inline>
        </w:drawing>
      </w:r>
      <w:r w:rsidR="003F29A1" w:rsidRPr="00902A59">
        <w:rPr>
          <w:b/>
        </w:rPr>
        <w:t xml:space="preserve">Figure </w:t>
      </w:r>
      <w:r w:rsidR="003F29A1">
        <w:rPr>
          <w:b/>
        </w:rPr>
        <w:t>S</w:t>
      </w:r>
      <w:r w:rsidR="0002211E">
        <w:rPr>
          <w:b/>
        </w:rPr>
        <w:t>10</w:t>
      </w:r>
      <w:r w:rsidR="003F29A1" w:rsidRPr="00902A59">
        <w:rPr>
          <w:b/>
        </w:rPr>
        <w:t>.</w:t>
      </w:r>
      <w:r w:rsidR="003F29A1" w:rsidRPr="00902A59">
        <w:t xml:space="preserve"> </w:t>
      </w:r>
      <w:r w:rsidR="00962686">
        <w:t xml:space="preserve">Global, </w:t>
      </w:r>
      <w:r w:rsidR="00EE6E4D">
        <w:t xml:space="preserve">annual mean </w:t>
      </w:r>
      <w:r w:rsidR="00962686">
        <w:t>p</w:t>
      </w:r>
      <w:r w:rsidR="003F29A1" w:rsidRPr="00902A59">
        <w:t>opulation-weighted PM</w:t>
      </w:r>
      <w:r w:rsidR="003F29A1" w:rsidRPr="00902A59">
        <w:rPr>
          <w:vertAlign w:val="subscript"/>
        </w:rPr>
        <w:t>2.5</w:t>
      </w:r>
      <w:r w:rsidR="003F29A1" w:rsidRPr="00902A59">
        <w:t xml:space="preserve"> </w:t>
      </w:r>
      <w:r w:rsidR="00EE6E4D">
        <w:t xml:space="preserve">exposure </w:t>
      </w:r>
      <w:r w:rsidR="00EE6E4D" w:rsidRPr="00902A59">
        <w:t>(</w:t>
      </w:r>
      <w:r w:rsidR="00EE6E4D">
        <w:t>a</w:t>
      </w:r>
      <w:r w:rsidR="00EE6E4D" w:rsidRPr="00902A59">
        <w:t>)</w:t>
      </w:r>
      <w:r>
        <w:t xml:space="preserve">, </w:t>
      </w:r>
      <w:r w:rsidR="00EE6E4D">
        <w:t xml:space="preserve">global, annual days of labor loss associated with annual </w:t>
      </w:r>
      <w:r w:rsidR="00EE6E4D" w:rsidRPr="00902A59">
        <w:t>PM</w:t>
      </w:r>
      <w:r w:rsidR="00EE6E4D" w:rsidRPr="00902A59">
        <w:rPr>
          <w:vertAlign w:val="subscript"/>
        </w:rPr>
        <w:t>2.5</w:t>
      </w:r>
      <w:r w:rsidR="00EE6E4D" w:rsidRPr="00902A59">
        <w:t xml:space="preserve"> </w:t>
      </w:r>
      <w:r w:rsidR="00EE6E4D">
        <w:t>exposure</w:t>
      </w:r>
      <w:r w:rsidR="00EE6E4D">
        <w:t xml:space="preserve"> (b) </w:t>
      </w:r>
      <w:r w:rsidR="00EE6E4D" w:rsidRPr="00902A59">
        <w:t xml:space="preserve">from </w:t>
      </w:r>
      <w:r w:rsidR="00EE6E4D">
        <w:t>‘</w:t>
      </w:r>
      <w:r w:rsidR="00EE6E4D" w:rsidRPr="00902A59">
        <w:t>model</w:t>
      </w:r>
      <w:r w:rsidR="00EE6E4D">
        <w:t xml:space="preserve"> </w:t>
      </w:r>
      <w:r w:rsidR="00EE6E4D" w:rsidRPr="00902A59">
        <w:t>+</w:t>
      </w:r>
      <w:r w:rsidR="00EE6E4D">
        <w:t xml:space="preserve"> </w:t>
      </w:r>
      <w:r w:rsidR="00EE6E4D" w:rsidRPr="00902A59">
        <w:t>satellite</w:t>
      </w:r>
      <w:r w:rsidR="00EE6E4D">
        <w:t>’</w:t>
      </w:r>
      <w:r w:rsidR="00EE6E4D" w:rsidRPr="00902A59">
        <w:t xml:space="preserve"> </w:t>
      </w:r>
      <w:r w:rsidR="00EE6E4D">
        <w:t>Aerosol Optical Depth (</w:t>
      </w:r>
      <w:r w:rsidR="00EE6E4D" w:rsidRPr="00902A59">
        <w:t>AOD</w:t>
      </w:r>
      <w:r w:rsidR="00EE6E4D">
        <w:t>)</w:t>
      </w:r>
      <w:r w:rsidR="00EE6E4D" w:rsidRPr="00902A59">
        <w:t xml:space="preserve"> estimates compared with the values in the Coupled Model Intercomparison, Phase 6 (CMIP6) models</w:t>
      </w:r>
      <w:r w:rsidR="003F29A1" w:rsidRPr="00902A59">
        <w:t xml:space="preserve"> used in the main text</w:t>
      </w:r>
      <w:r>
        <w:t>, and avoided labor losses in CMIP6 SSP3-7.0 vs CMIP6 SSP1-2.6 (c)</w:t>
      </w:r>
      <w:r w:rsidR="003F29A1" w:rsidRPr="00902A59">
        <w:t xml:space="preserve">. </w:t>
      </w:r>
      <w:r>
        <w:t xml:space="preserve">CMIP6 </w:t>
      </w:r>
      <w:r w:rsidRPr="00902A59">
        <w:t>PM</w:t>
      </w:r>
      <w:r w:rsidRPr="00902A59">
        <w:rPr>
          <w:vertAlign w:val="subscript"/>
        </w:rPr>
        <w:t>2.5</w:t>
      </w:r>
      <w:r>
        <w:t xml:space="preserve"> data</w:t>
      </w:r>
      <w:r w:rsidR="003F29A1" w:rsidRPr="00902A59">
        <w:t xml:space="preserve"> are unbiased</w:t>
      </w:r>
      <w:r>
        <w:t xml:space="preserve"> </w:t>
      </w:r>
      <w:r w:rsidR="0016474B">
        <w:t>(Methods)</w:t>
      </w:r>
      <w:r w:rsidR="003F29A1" w:rsidRPr="00902A59">
        <w:t>.</w:t>
      </w:r>
      <w:r w:rsidR="005A52EC">
        <w:t xml:space="preserve"> </w:t>
      </w:r>
      <w:r>
        <w:t>In (a)</w:t>
      </w:r>
      <w:r w:rsidR="005A52EC">
        <w:t xml:space="preserve">, CMIP6 SSP1-2.6 are shown with blue squares, CMIP6 SSP3-7.0 are shown with red squares, and the </w:t>
      </w:r>
      <w:r w:rsidR="00962686">
        <w:t>‘</w:t>
      </w:r>
      <w:r w:rsidR="005A52EC">
        <w:t>model</w:t>
      </w:r>
      <w:r w:rsidR="00962686">
        <w:t xml:space="preserve"> </w:t>
      </w:r>
      <w:r w:rsidR="005A52EC">
        <w:t>+</w:t>
      </w:r>
      <w:r w:rsidR="00962686">
        <w:t xml:space="preserve"> </w:t>
      </w:r>
      <w:r w:rsidR="005A52EC">
        <w:t>satellite</w:t>
      </w:r>
      <w:r w:rsidR="00962686">
        <w:t>’</w:t>
      </w:r>
      <w:r w:rsidR="005A52EC">
        <w:t xml:space="preserve">-based observations are shown with </w:t>
      </w:r>
      <w:r>
        <w:t>black</w:t>
      </w:r>
      <w:r w:rsidR="005A52EC">
        <w:t xml:space="preserve"> symbols.</w:t>
      </w:r>
      <w:r w:rsidR="00962686">
        <w:t xml:space="preserve"> Observations and model data </w:t>
      </w:r>
      <w:r w:rsidR="00C51C05">
        <w:t xml:space="preserve">use average annual ambient </w:t>
      </w:r>
      <w:r w:rsidR="00C51C05" w:rsidRPr="00902A59">
        <w:t>PM</w:t>
      </w:r>
      <w:r w:rsidR="00C51C05" w:rsidRPr="00902A59">
        <w:rPr>
          <w:vertAlign w:val="subscript"/>
        </w:rPr>
        <w:t>2.5</w:t>
      </w:r>
      <w:r w:rsidR="00C51C05">
        <w:t xml:space="preserve"> </w:t>
      </w:r>
      <w:r w:rsidR="00962686">
        <w:t xml:space="preserve">from the 2015-2019 time period, with the exception of the </w:t>
      </w:r>
      <w:proofErr w:type="spellStart"/>
      <w:r w:rsidR="00962686">
        <w:t>Shaddick</w:t>
      </w:r>
      <w:proofErr w:type="spellEnd"/>
      <w:r w:rsidR="00962686">
        <w:t xml:space="preserve"> data, which is shown as an average of 2014-2016 </w:t>
      </w:r>
      <w:r w:rsidR="00C51C05">
        <w:t>time period</w:t>
      </w:r>
      <w:r w:rsidR="00962686">
        <w:t>.</w:t>
      </w:r>
      <w:r w:rsidR="00C51C05">
        <w:t xml:space="preserve"> Note that with the exception of the MRI and UKESM models, both the SSP1-2.6 and SSP3-7.0 global mean exposure values fall within the range of observation-based estimates in the lower panel.</w:t>
      </w:r>
    </w:p>
    <w:p w14:paraId="40EB315F" w14:textId="77777777" w:rsidR="003D38BA" w:rsidRDefault="007C7ABA">
      <w:pPr>
        <w:pBdr>
          <w:top w:val="nil"/>
          <w:left w:val="nil"/>
          <w:bottom w:val="nil"/>
          <w:right w:val="nil"/>
          <w:between w:val="nil"/>
        </w:pBdr>
        <w:spacing w:before="120"/>
      </w:pPr>
      <w:r>
        <w:br w:type="page"/>
      </w:r>
    </w:p>
    <w:p w14:paraId="19D1DEC8" w14:textId="77777777" w:rsidR="003D38BA" w:rsidRDefault="007C7ABA">
      <w:pPr>
        <w:pBdr>
          <w:top w:val="nil"/>
          <w:left w:val="nil"/>
          <w:bottom w:val="nil"/>
          <w:right w:val="nil"/>
          <w:between w:val="nil"/>
        </w:pBdr>
        <w:spacing w:before="120"/>
      </w:pPr>
      <w:r>
        <w:rPr>
          <w:b/>
        </w:rPr>
        <w:lastRenderedPageBreak/>
        <w:t>Table S1.</w:t>
      </w:r>
      <w:r>
        <w:t xml:space="preserve"> CMIP6 models with necessary data to calculate global-mean temperatures and PM</w:t>
      </w:r>
      <w:r>
        <w:rPr>
          <w:vertAlign w:val="subscript"/>
        </w:rPr>
        <w:t>2.5</w:t>
      </w:r>
      <w:r>
        <w:t>.</w:t>
      </w:r>
    </w:p>
    <w:p w14:paraId="235C6D42" w14:textId="77777777" w:rsidR="003D38BA" w:rsidRDefault="003D38BA">
      <w:pPr>
        <w:pBdr>
          <w:top w:val="nil"/>
          <w:left w:val="nil"/>
          <w:bottom w:val="nil"/>
          <w:right w:val="nil"/>
          <w:between w:val="nil"/>
        </w:pBdr>
        <w:spacing w:before="120"/>
      </w:pPr>
    </w:p>
    <w:tbl>
      <w:tblPr>
        <w:tblStyle w:val="a"/>
        <w:tblW w:w="4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2235"/>
      </w:tblGrid>
      <w:tr w:rsidR="003D38BA" w14:paraId="1B14CFAB" w14:textId="77777777">
        <w:tc>
          <w:tcPr>
            <w:tcW w:w="2265" w:type="dxa"/>
            <w:shd w:val="clear" w:color="auto" w:fill="auto"/>
            <w:tcMar>
              <w:top w:w="100" w:type="dxa"/>
              <w:left w:w="100" w:type="dxa"/>
              <w:bottom w:w="100" w:type="dxa"/>
              <w:right w:w="100" w:type="dxa"/>
            </w:tcMar>
          </w:tcPr>
          <w:p w14:paraId="2BD84536" w14:textId="77777777" w:rsidR="003D38BA" w:rsidRDefault="007C7ABA">
            <w:pPr>
              <w:widowControl w:val="0"/>
              <w:pBdr>
                <w:top w:val="nil"/>
                <w:left w:val="nil"/>
                <w:bottom w:val="nil"/>
                <w:right w:val="nil"/>
                <w:between w:val="nil"/>
              </w:pBdr>
              <w:rPr>
                <w:b/>
              </w:rPr>
            </w:pPr>
            <w:r>
              <w:rPr>
                <w:b/>
              </w:rPr>
              <w:t>CMIP6 Model</w:t>
            </w:r>
          </w:p>
        </w:tc>
        <w:tc>
          <w:tcPr>
            <w:tcW w:w="2235" w:type="dxa"/>
            <w:shd w:val="clear" w:color="auto" w:fill="auto"/>
            <w:tcMar>
              <w:top w:w="100" w:type="dxa"/>
              <w:left w:w="100" w:type="dxa"/>
              <w:bottom w:w="100" w:type="dxa"/>
              <w:right w:w="100" w:type="dxa"/>
            </w:tcMar>
          </w:tcPr>
          <w:p w14:paraId="22E3DFFE" w14:textId="77777777" w:rsidR="003D38BA" w:rsidRDefault="007C7ABA">
            <w:pPr>
              <w:widowControl w:val="0"/>
              <w:pBdr>
                <w:top w:val="nil"/>
                <w:left w:val="nil"/>
                <w:bottom w:val="nil"/>
                <w:right w:val="nil"/>
                <w:between w:val="nil"/>
              </w:pBdr>
              <w:rPr>
                <w:b/>
              </w:rPr>
            </w:pPr>
            <w:r>
              <w:rPr>
                <w:b/>
              </w:rPr>
              <w:t xml:space="preserve">Variant or Ensemble Member </w:t>
            </w:r>
          </w:p>
        </w:tc>
      </w:tr>
      <w:tr w:rsidR="003D38BA" w14:paraId="7194657A" w14:textId="77777777">
        <w:tc>
          <w:tcPr>
            <w:tcW w:w="2265" w:type="dxa"/>
            <w:shd w:val="clear" w:color="auto" w:fill="auto"/>
            <w:tcMar>
              <w:top w:w="100" w:type="dxa"/>
              <w:left w:w="100" w:type="dxa"/>
              <w:bottom w:w="100" w:type="dxa"/>
              <w:right w:w="100" w:type="dxa"/>
            </w:tcMar>
          </w:tcPr>
          <w:p w14:paraId="086F9609" w14:textId="77777777" w:rsidR="003D38BA" w:rsidRDefault="007C7ABA">
            <w:r>
              <w:rPr>
                <w:highlight w:val="white"/>
              </w:rPr>
              <w:t>GFDL-ESM4</w:t>
            </w:r>
          </w:p>
        </w:tc>
        <w:tc>
          <w:tcPr>
            <w:tcW w:w="2235" w:type="dxa"/>
            <w:shd w:val="clear" w:color="auto" w:fill="auto"/>
            <w:tcMar>
              <w:top w:w="100" w:type="dxa"/>
              <w:left w:w="100" w:type="dxa"/>
              <w:bottom w:w="100" w:type="dxa"/>
              <w:right w:w="100" w:type="dxa"/>
            </w:tcMar>
          </w:tcPr>
          <w:p w14:paraId="3BDB929D" w14:textId="77777777" w:rsidR="003D38BA" w:rsidRDefault="007C7ABA">
            <w:r>
              <w:t>r1i1p1f1</w:t>
            </w:r>
          </w:p>
        </w:tc>
      </w:tr>
      <w:tr w:rsidR="003D38BA" w14:paraId="2AC1831E" w14:textId="77777777">
        <w:tc>
          <w:tcPr>
            <w:tcW w:w="2265" w:type="dxa"/>
            <w:shd w:val="clear" w:color="auto" w:fill="auto"/>
            <w:tcMar>
              <w:top w:w="100" w:type="dxa"/>
              <w:left w:w="100" w:type="dxa"/>
              <w:bottom w:w="100" w:type="dxa"/>
              <w:right w:w="100" w:type="dxa"/>
            </w:tcMar>
          </w:tcPr>
          <w:p w14:paraId="6505EE5B" w14:textId="77777777" w:rsidR="003D38BA" w:rsidRDefault="007C7ABA">
            <w:r>
              <w:rPr>
                <w:highlight w:val="white"/>
              </w:rPr>
              <w:t>GISS-E2-1-G</w:t>
            </w:r>
          </w:p>
        </w:tc>
        <w:tc>
          <w:tcPr>
            <w:tcW w:w="2235" w:type="dxa"/>
            <w:shd w:val="clear" w:color="auto" w:fill="auto"/>
            <w:tcMar>
              <w:top w:w="100" w:type="dxa"/>
              <w:left w:w="100" w:type="dxa"/>
              <w:bottom w:w="100" w:type="dxa"/>
              <w:right w:w="100" w:type="dxa"/>
            </w:tcMar>
          </w:tcPr>
          <w:p w14:paraId="2F960EC6" w14:textId="77777777" w:rsidR="003D38BA" w:rsidRDefault="007C7ABA">
            <w:r>
              <w:t>r1i1p3f1</w:t>
            </w:r>
          </w:p>
        </w:tc>
      </w:tr>
      <w:tr w:rsidR="003D38BA" w14:paraId="4FF31BBD" w14:textId="77777777">
        <w:tc>
          <w:tcPr>
            <w:tcW w:w="2265" w:type="dxa"/>
            <w:shd w:val="clear" w:color="auto" w:fill="auto"/>
            <w:tcMar>
              <w:top w:w="100" w:type="dxa"/>
              <w:left w:w="100" w:type="dxa"/>
              <w:bottom w:w="100" w:type="dxa"/>
              <w:right w:w="100" w:type="dxa"/>
            </w:tcMar>
          </w:tcPr>
          <w:p w14:paraId="5CCFF0C9" w14:textId="77777777" w:rsidR="003D38BA" w:rsidRDefault="007C7ABA">
            <w:r>
              <w:rPr>
                <w:highlight w:val="white"/>
              </w:rPr>
              <w:t>MIROC-ES2L</w:t>
            </w:r>
          </w:p>
        </w:tc>
        <w:tc>
          <w:tcPr>
            <w:tcW w:w="2235" w:type="dxa"/>
            <w:shd w:val="clear" w:color="auto" w:fill="auto"/>
            <w:tcMar>
              <w:top w:w="100" w:type="dxa"/>
              <w:left w:w="100" w:type="dxa"/>
              <w:bottom w:w="100" w:type="dxa"/>
              <w:right w:w="100" w:type="dxa"/>
            </w:tcMar>
          </w:tcPr>
          <w:p w14:paraId="30553586" w14:textId="77777777" w:rsidR="003D38BA" w:rsidRDefault="007C7ABA">
            <w:r>
              <w:t>r1i1p1f2</w:t>
            </w:r>
          </w:p>
        </w:tc>
      </w:tr>
      <w:tr w:rsidR="003D38BA" w14:paraId="62F95BAA" w14:textId="77777777">
        <w:tc>
          <w:tcPr>
            <w:tcW w:w="2265" w:type="dxa"/>
            <w:shd w:val="clear" w:color="auto" w:fill="auto"/>
            <w:tcMar>
              <w:top w:w="100" w:type="dxa"/>
              <w:left w:w="100" w:type="dxa"/>
              <w:bottom w:w="100" w:type="dxa"/>
              <w:right w:w="100" w:type="dxa"/>
            </w:tcMar>
          </w:tcPr>
          <w:p w14:paraId="3C7BF521" w14:textId="77777777" w:rsidR="003D38BA" w:rsidRDefault="007C7ABA">
            <w:r>
              <w:rPr>
                <w:highlight w:val="white"/>
              </w:rPr>
              <w:t>MRI-ESM2-0</w:t>
            </w:r>
          </w:p>
        </w:tc>
        <w:tc>
          <w:tcPr>
            <w:tcW w:w="2235" w:type="dxa"/>
            <w:shd w:val="clear" w:color="auto" w:fill="auto"/>
            <w:tcMar>
              <w:top w:w="100" w:type="dxa"/>
              <w:left w:w="100" w:type="dxa"/>
              <w:bottom w:w="100" w:type="dxa"/>
              <w:right w:w="100" w:type="dxa"/>
            </w:tcMar>
          </w:tcPr>
          <w:p w14:paraId="7A77DA29" w14:textId="77777777" w:rsidR="003D38BA" w:rsidRDefault="007C7ABA">
            <w:r>
              <w:t>r1i1p1f1</w:t>
            </w:r>
          </w:p>
        </w:tc>
      </w:tr>
      <w:tr w:rsidR="003D38BA" w14:paraId="4FE19375" w14:textId="77777777">
        <w:tc>
          <w:tcPr>
            <w:tcW w:w="2265" w:type="dxa"/>
            <w:shd w:val="clear" w:color="auto" w:fill="auto"/>
            <w:tcMar>
              <w:top w:w="100" w:type="dxa"/>
              <w:left w:w="100" w:type="dxa"/>
              <w:bottom w:w="100" w:type="dxa"/>
              <w:right w:w="100" w:type="dxa"/>
            </w:tcMar>
          </w:tcPr>
          <w:p w14:paraId="133E83DE" w14:textId="77777777" w:rsidR="003D38BA" w:rsidRDefault="007C7ABA">
            <w:r>
              <w:rPr>
                <w:highlight w:val="white"/>
              </w:rPr>
              <w:t>NorESM2-LM</w:t>
            </w:r>
          </w:p>
        </w:tc>
        <w:tc>
          <w:tcPr>
            <w:tcW w:w="2235" w:type="dxa"/>
            <w:shd w:val="clear" w:color="auto" w:fill="auto"/>
            <w:tcMar>
              <w:top w:w="100" w:type="dxa"/>
              <w:left w:w="100" w:type="dxa"/>
              <w:bottom w:w="100" w:type="dxa"/>
              <w:right w:w="100" w:type="dxa"/>
            </w:tcMar>
          </w:tcPr>
          <w:p w14:paraId="60559FD5" w14:textId="77777777" w:rsidR="003D38BA" w:rsidRDefault="007C7ABA">
            <w:r>
              <w:t>r1i1p1f1</w:t>
            </w:r>
          </w:p>
        </w:tc>
      </w:tr>
      <w:tr w:rsidR="003D38BA" w14:paraId="6CDFA31B" w14:textId="77777777">
        <w:tc>
          <w:tcPr>
            <w:tcW w:w="2265" w:type="dxa"/>
            <w:shd w:val="clear" w:color="auto" w:fill="auto"/>
            <w:tcMar>
              <w:top w:w="100" w:type="dxa"/>
              <w:left w:w="100" w:type="dxa"/>
              <w:bottom w:w="100" w:type="dxa"/>
              <w:right w:w="100" w:type="dxa"/>
            </w:tcMar>
          </w:tcPr>
          <w:p w14:paraId="1BE2CA9F" w14:textId="77777777" w:rsidR="003D38BA" w:rsidRDefault="007C7ABA">
            <w:r>
              <w:rPr>
                <w:highlight w:val="white"/>
              </w:rPr>
              <w:t>UKESM1-0-LL</w:t>
            </w:r>
          </w:p>
        </w:tc>
        <w:tc>
          <w:tcPr>
            <w:tcW w:w="2235" w:type="dxa"/>
            <w:shd w:val="clear" w:color="auto" w:fill="auto"/>
            <w:tcMar>
              <w:top w:w="100" w:type="dxa"/>
              <w:left w:w="100" w:type="dxa"/>
              <w:bottom w:w="100" w:type="dxa"/>
              <w:right w:w="100" w:type="dxa"/>
            </w:tcMar>
          </w:tcPr>
          <w:p w14:paraId="6683E471" w14:textId="77777777" w:rsidR="003D38BA" w:rsidRDefault="007C7ABA">
            <w:r>
              <w:t>r1i1p1f2</w:t>
            </w:r>
          </w:p>
        </w:tc>
      </w:tr>
    </w:tbl>
    <w:p w14:paraId="5A813DC4" w14:textId="22299D6F" w:rsidR="003D38BA" w:rsidRDefault="003D38BA"/>
    <w:p w14:paraId="31896AB7" w14:textId="77777777" w:rsidR="000002C8" w:rsidRDefault="000002C8"/>
    <w:p w14:paraId="5F5C1972" w14:textId="77BC1FA9" w:rsidR="000002C8" w:rsidRDefault="000002C8" w:rsidP="000002C8">
      <w:pPr>
        <w:pBdr>
          <w:top w:val="nil"/>
          <w:left w:val="nil"/>
          <w:bottom w:val="nil"/>
          <w:right w:val="nil"/>
          <w:between w:val="nil"/>
        </w:pBdr>
        <w:spacing w:before="120"/>
      </w:pPr>
      <w:r>
        <w:rPr>
          <w:b/>
        </w:rPr>
        <w:t>Table S2.</w:t>
      </w:r>
      <w:r>
        <w:t xml:space="preserve"> Labor intensity and values used to calculate loss fraction from heat exposure.</w:t>
      </w:r>
    </w:p>
    <w:p w14:paraId="41D5F9A2" w14:textId="48D68BA6" w:rsidR="000002C8" w:rsidRDefault="000002C8"/>
    <w:tbl>
      <w:tblPr>
        <w:tblW w:w="4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0"/>
        <w:gridCol w:w="1545"/>
        <w:gridCol w:w="1530"/>
      </w:tblGrid>
      <w:tr w:rsidR="000002C8" w:rsidRPr="00902A59" w14:paraId="2BB98068" w14:textId="77777777" w:rsidTr="000002C8">
        <w:trPr>
          <w:trHeight w:val="165"/>
        </w:trPr>
        <w:tc>
          <w:tcPr>
            <w:tcW w:w="1890" w:type="dxa"/>
            <w:tcMar>
              <w:top w:w="0" w:type="dxa"/>
              <w:left w:w="80" w:type="dxa"/>
              <w:bottom w:w="0" w:type="dxa"/>
              <w:right w:w="80" w:type="dxa"/>
            </w:tcMar>
          </w:tcPr>
          <w:p w14:paraId="5E07547F" w14:textId="77777777" w:rsidR="000002C8" w:rsidRPr="00902A59" w:rsidRDefault="000002C8" w:rsidP="005A4D6B">
            <w:pPr>
              <w:keepNext/>
              <w:spacing w:line="276" w:lineRule="auto"/>
            </w:pPr>
            <w:r w:rsidRPr="00902A59">
              <w:t xml:space="preserve">Labor Intensity </w:t>
            </w:r>
          </w:p>
        </w:tc>
        <w:tc>
          <w:tcPr>
            <w:tcW w:w="1545" w:type="dxa"/>
            <w:tcMar>
              <w:top w:w="0" w:type="dxa"/>
              <w:left w:w="80" w:type="dxa"/>
              <w:bottom w:w="0" w:type="dxa"/>
              <w:right w:w="80" w:type="dxa"/>
            </w:tcMar>
          </w:tcPr>
          <w:p w14:paraId="5A4174E3" w14:textId="77777777" w:rsidR="000002C8" w:rsidRPr="00902A59" w:rsidRDefault="000002C8" w:rsidP="005A4D6B">
            <w:pPr>
              <w:keepNext/>
              <w:spacing w:line="276" w:lineRule="auto"/>
            </w:pPr>
            <w:proofErr w:type="spellStart"/>
            <w:r w:rsidRPr="00902A59">
              <w:t>WBGTaver</w:t>
            </w:r>
            <w:proofErr w:type="spellEnd"/>
            <w:r w:rsidRPr="00902A59">
              <w:t xml:space="preserve"> </w:t>
            </w:r>
          </w:p>
        </w:tc>
        <w:tc>
          <w:tcPr>
            <w:tcW w:w="1530" w:type="dxa"/>
            <w:tcMar>
              <w:top w:w="0" w:type="dxa"/>
              <w:left w:w="80" w:type="dxa"/>
              <w:bottom w:w="0" w:type="dxa"/>
              <w:right w:w="80" w:type="dxa"/>
            </w:tcMar>
          </w:tcPr>
          <w:p w14:paraId="1C2DFFC2" w14:textId="77777777" w:rsidR="000002C8" w:rsidRPr="00902A59" w:rsidRDefault="000002C8" w:rsidP="005A4D6B">
            <w:pPr>
              <w:keepNext/>
              <w:spacing w:line="276" w:lineRule="auto"/>
            </w:pPr>
            <w:r w:rsidRPr="00902A59">
              <w:t xml:space="preserve">WBGTSD </w:t>
            </w:r>
          </w:p>
        </w:tc>
      </w:tr>
      <w:tr w:rsidR="000002C8" w:rsidRPr="00902A59" w14:paraId="7F147C78" w14:textId="77777777" w:rsidTr="000002C8">
        <w:trPr>
          <w:trHeight w:val="165"/>
        </w:trPr>
        <w:tc>
          <w:tcPr>
            <w:tcW w:w="1890" w:type="dxa"/>
            <w:tcMar>
              <w:top w:w="0" w:type="dxa"/>
              <w:left w:w="80" w:type="dxa"/>
              <w:bottom w:w="0" w:type="dxa"/>
              <w:right w:w="80" w:type="dxa"/>
            </w:tcMar>
          </w:tcPr>
          <w:p w14:paraId="067FE1D6" w14:textId="77777777" w:rsidR="000002C8" w:rsidRPr="00902A59" w:rsidRDefault="000002C8" w:rsidP="005A4D6B">
            <w:pPr>
              <w:keepNext/>
              <w:spacing w:line="276" w:lineRule="auto"/>
            </w:pPr>
            <w:r>
              <w:t xml:space="preserve">Light: </w:t>
            </w:r>
            <w:r w:rsidRPr="00902A59">
              <w:t xml:space="preserve">200 </w:t>
            </w:r>
            <w:r>
              <w:t>W</w:t>
            </w:r>
            <w:r w:rsidRPr="00902A59">
              <w:t xml:space="preserve"> </w:t>
            </w:r>
          </w:p>
        </w:tc>
        <w:tc>
          <w:tcPr>
            <w:tcW w:w="1545" w:type="dxa"/>
            <w:tcMar>
              <w:top w:w="0" w:type="dxa"/>
              <w:left w:w="80" w:type="dxa"/>
              <w:bottom w:w="0" w:type="dxa"/>
              <w:right w:w="80" w:type="dxa"/>
            </w:tcMar>
          </w:tcPr>
          <w:p w14:paraId="7307903A" w14:textId="77777777" w:rsidR="000002C8" w:rsidRPr="00902A59" w:rsidRDefault="000002C8" w:rsidP="005A4D6B">
            <w:pPr>
              <w:keepNext/>
              <w:spacing w:line="276" w:lineRule="auto"/>
            </w:pPr>
            <w:r w:rsidRPr="00902A59">
              <w:t xml:space="preserve">35.533 </w:t>
            </w:r>
          </w:p>
        </w:tc>
        <w:tc>
          <w:tcPr>
            <w:tcW w:w="1530" w:type="dxa"/>
            <w:tcMar>
              <w:top w:w="0" w:type="dxa"/>
              <w:left w:w="80" w:type="dxa"/>
              <w:bottom w:w="0" w:type="dxa"/>
              <w:right w:w="80" w:type="dxa"/>
            </w:tcMar>
          </w:tcPr>
          <w:p w14:paraId="0434F7D6" w14:textId="77777777" w:rsidR="000002C8" w:rsidRPr="00902A59" w:rsidRDefault="000002C8" w:rsidP="005A4D6B">
            <w:pPr>
              <w:keepNext/>
              <w:spacing w:line="276" w:lineRule="auto"/>
            </w:pPr>
            <w:r w:rsidRPr="00902A59">
              <w:t xml:space="preserve">3.948 </w:t>
            </w:r>
          </w:p>
        </w:tc>
      </w:tr>
      <w:tr w:rsidR="000002C8" w:rsidRPr="00902A59" w14:paraId="373D741E" w14:textId="77777777" w:rsidTr="000002C8">
        <w:trPr>
          <w:trHeight w:val="165"/>
        </w:trPr>
        <w:tc>
          <w:tcPr>
            <w:tcW w:w="1890" w:type="dxa"/>
            <w:tcMar>
              <w:top w:w="0" w:type="dxa"/>
              <w:left w:w="80" w:type="dxa"/>
              <w:bottom w:w="0" w:type="dxa"/>
              <w:right w:w="80" w:type="dxa"/>
            </w:tcMar>
          </w:tcPr>
          <w:p w14:paraId="4FF7FC7B" w14:textId="77777777" w:rsidR="000002C8" w:rsidRPr="00902A59" w:rsidRDefault="000002C8" w:rsidP="005A4D6B">
            <w:pPr>
              <w:keepNext/>
              <w:spacing w:line="276" w:lineRule="auto"/>
            </w:pPr>
            <w:r>
              <w:t xml:space="preserve">Medium: </w:t>
            </w:r>
            <w:r w:rsidRPr="00902A59">
              <w:t xml:space="preserve">300 W </w:t>
            </w:r>
          </w:p>
        </w:tc>
        <w:tc>
          <w:tcPr>
            <w:tcW w:w="1545" w:type="dxa"/>
            <w:tcMar>
              <w:top w:w="0" w:type="dxa"/>
              <w:left w:w="80" w:type="dxa"/>
              <w:bottom w:w="0" w:type="dxa"/>
              <w:right w:w="80" w:type="dxa"/>
            </w:tcMar>
          </w:tcPr>
          <w:p w14:paraId="779DE24E" w14:textId="77777777" w:rsidR="000002C8" w:rsidRPr="00902A59" w:rsidRDefault="000002C8" w:rsidP="005A4D6B">
            <w:pPr>
              <w:keepNext/>
              <w:spacing w:line="276" w:lineRule="auto"/>
            </w:pPr>
            <w:r w:rsidRPr="00902A59">
              <w:t xml:space="preserve">33.492 </w:t>
            </w:r>
          </w:p>
        </w:tc>
        <w:tc>
          <w:tcPr>
            <w:tcW w:w="1530" w:type="dxa"/>
            <w:tcMar>
              <w:top w:w="0" w:type="dxa"/>
              <w:left w:w="80" w:type="dxa"/>
              <w:bottom w:w="0" w:type="dxa"/>
              <w:right w:w="80" w:type="dxa"/>
            </w:tcMar>
          </w:tcPr>
          <w:p w14:paraId="7EFFD28D" w14:textId="77777777" w:rsidR="000002C8" w:rsidRPr="00902A59" w:rsidRDefault="000002C8" w:rsidP="005A4D6B">
            <w:pPr>
              <w:keepNext/>
              <w:spacing w:line="276" w:lineRule="auto"/>
            </w:pPr>
            <w:r w:rsidRPr="00902A59">
              <w:t xml:space="preserve">3.948 </w:t>
            </w:r>
          </w:p>
        </w:tc>
      </w:tr>
      <w:tr w:rsidR="000002C8" w:rsidRPr="00902A59" w14:paraId="4FFFC4B1" w14:textId="77777777" w:rsidTr="000002C8">
        <w:trPr>
          <w:trHeight w:val="165"/>
        </w:trPr>
        <w:tc>
          <w:tcPr>
            <w:tcW w:w="1890" w:type="dxa"/>
            <w:tcMar>
              <w:top w:w="0" w:type="dxa"/>
              <w:left w:w="80" w:type="dxa"/>
              <w:bottom w:w="0" w:type="dxa"/>
              <w:right w:w="80" w:type="dxa"/>
            </w:tcMar>
          </w:tcPr>
          <w:p w14:paraId="4B9C7758" w14:textId="77777777" w:rsidR="000002C8" w:rsidRPr="00902A59" w:rsidRDefault="000002C8" w:rsidP="005A4D6B">
            <w:pPr>
              <w:keepNext/>
              <w:spacing w:line="276" w:lineRule="auto"/>
            </w:pPr>
            <w:r>
              <w:t xml:space="preserve">Heavy: </w:t>
            </w:r>
            <w:r w:rsidRPr="00902A59">
              <w:t xml:space="preserve">400 W </w:t>
            </w:r>
          </w:p>
        </w:tc>
        <w:tc>
          <w:tcPr>
            <w:tcW w:w="1545" w:type="dxa"/>
            <w:tcMar>
              <w:top w:w="0" w:type="dxa"/>
              <w:left w:w="80" w:type="dxa"/>
              <w:bottom w:w="0" w:type="dxa"/>
              <w:right w:w="80" w:type="dxa"/>
            </w:tcMar>
          </w:tcPr>
          <w:p w14:paraId="4C9B39A5" w14:textId="77777777" w:rsidR="000002C8" w:rsidRPr="00902A59" w:rsidRDefault="000002C8" w:rsidP="005A4D6B">
            <w:pPr>
              <w:keepNext/>
              <w:spacing w:line="276" w:lineRule="auto"/>
            </w:pPr>
            <w:r w:rsidRPr="00902A59">
              <w:t xml:space="preserve">32.465 </w:t>
            </w:r>
          </w:p>
        </w:tc>
        <w:tc>
          <w:tcPr>
            <w:tcW w:w="1530" w:type="dxa"/>
            <w:tcMar>
              <w:top w:w="0" w:type="dxa"/>
              <w:left w:w="80" w:type="dxa"/>
              <w:bottom w:w="0" w:type="dxa"/>
              <w:right w:w="80" w:type="dxa"/>
            </w:tcMar>
          </w:tcPr>
          <w:p w14:paraId="79FF3E23" w14:textId="77777777" w:rsidR="000002C8" w:rsidRPr="00902A59" w:rsidRDefault="000002C8" w:rsidP="005A4D6B">
            <w:pPr>
              <w:keepNext/>
              <w:spacing w:line="276" w:lineRule="auto"/>
            </w:pPr>
            <w:r w:rsidRPr="00902A59">
              <w:t xml:space="preserve">4.1607 </w:t>
            </w:r>
          </w:p>
        </w:tc>
      </w:tr>
    </w:tbl>
    <w:p w14:paraId="69B84A4D" w14:textId="77777777" w:rsidR="000002C8" w:rsidRDefault="000002C8"/>
    <w:p w14:paraId="2B2B64E4" w14:textId="77777777" w:rsidR="003D38BA" w:rsidRDefault="003D38BA"/>
    <w:sectPr w:rsidR="003D38B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BA"/>
    <w:rsid w:val="000002C8"/>
    <w:rsid w:val="0002211E"/>
    <w:rsid w:val="00097A32"/>
    <w:rsid w:val="000E5F89"/>
    <w:rsid w:val="0012328E"/>
    <w:rsid w:val="00152EB7"/>
    <w:rsid w:val="0016474B"/>
    <w:rsid w:val="00172E80"/>
    <w:rsid w:val="001A2589"/>
    <w:rsid w:val="002058FA"/>
    <w:rsid w:val="00267D5D"/>
    <w:rsid w:val="00277F2B"/>
    <w:rsid w:val="003274A6"/>
    <w:rsid w:val="00385CCA"/>
    <w:rsid w:val="0039736C"/>
    <w:rsid w:val="003A0B8A"/>
    <w:rsid w:val="003D38BA"/>
    <w:rsid w:val="003F29A1"/>
    <w:rsid w:val="0042076F"/>
    <w:rsid w:val="004B1D47"/>
    <w:rsid w:val="005A52EC"/>
    <w:rsid w:val="005F2FC0"/>
    <w:rsid w:val="00670FD5"/>
    <w:rsid w:val="00674B2F"/>
    <w:rsid w:val="00683DCF"/>
    <w:rsid w:val="006D5F1A"/>
    <w:rsid w:val="00743551"/>
    <w:rsid w:val="007503AF"/>
    <w:rsid w:val="00770DF9"/>
    <w:rsid w:val="00780849"/>
    <w:rsid w:val="007C7ABA"/>
    <w:rsid w:val="008406A0"/>
    <w:rsid w:val="00854352"/>
    <w:rsid w:val="0089634B"/>
    <w:rsid w:val="008A23B0"/>
    <w:rsid w:val="00962686"/>
    <w:rsid w:val="00977F3D"/>
    <w:rsid w:val="009855EB"/>
    <w:rsid w:val="0099404C"/>
    <w:rsid w:val="009A4045"/>
    <w:rsid w:val="00A14488"/>
    <w:rsid w:val="00A87448"/>
    <w:rsid w:val="00AD499E"/>
    <w:rsid w:val="00B06264"/>
    <w:rsid w:val="00B553A1"/>
    <w:rsid w:val="00B874B2"/>
    <w:rsid w:val="00B957F6"/>
    <w:rsid w:val="00BD2B9D"/>
    <w:rsid w:val="00BD6B90"/>
    <w:rsid w:val="00C16B52"/>
    <w:rsid w:val="00C3249F"/>
    <w:rsid w:val="00C51C05"/>
    <w:rsid w:val="00CD1F26"/>
    <w:rsid w:val="00D43CFE"/>
    <w:rsid w:val="00D70673"/>
    <w:rsid w:val="00D77B68"/>
    <w:rsid w:val="00D82B17"/>
    <w:rsid w:val="00EB6EBD"/>
    <w:rsid w:val="00EE6E4D"/>
    <w:rsid w:val="00F553CF"/>
    <w:rsid w:val="00F96F72"/>
    <w:rsid w:val="00FB1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9239"/>
  <w15:docId w15:val="{1B72503A-D004-8A41-B6D3-1365613C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274A6"/>
    <w:rPr>
      <w:b/>
      <w:bCs/>
    </w:rPr>
  </w:style>
  <w:style w:type="character" w:customStyle="1" w:styleId="CommentSubjectChar">
    <w:name w:val="Comment Subject Char"/>
    <w:basedOn w:val="CommentTextChar"/>
    <w:link w:val="CommentSubject"/>
    <w:uiPriority w:val="99"/>
    <w:semiHidden/>
    <w:rsid w:val="003274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luke.parsons@duke.edu"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x6/E+21rMfkM5uLzvuk/IKq1Xw==">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13</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Parsons, Ph.D.</dc:creator>
  <cp:lastModifiedBy>Luke Parsons, Ph.D.</cp:lastModifiedBy>
  <cp:revision>14</cp:revision>
  <dcterms:created xsi:type="dcterms:W3CDTF">2022-04-28T21:19:00Z</dcterms:created>
  <dcterms:modified xsi:type="dcterms:W3CDTF">2022-05-09T18:04:00Z</dcterms:modified>
</cp:coreProperties>
</file>