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480" w:lineRule="auto"/>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Supporting Information</w:t>
      </w:r>
    </w:p>
    <w:p w:rsidR="00000000" w:rsidDel="00000000" w:rsidP="00000000" w:rsidRDefault="00000000" w:rsidRPr="00000000" w14:paraId="00000002">
      <w:pPr>
        <w:spacing w:after="240" w:before="240" w:line="480" w:lineRule="auto"/>
        <w:jc w:val="both"/>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Cancer Regulator EGFR</w:t>
      </w:r>
      <w:r w:rsidDel="00000000" w:rsidR="00000000" w:rsidRPr="00000000">
        <w:rPr>
          <w:rFonts w:ascii="MS Mincho" w:cs="MS Mincho" w:eastAsia="MS Mincho" w:hAnsi="MS Mincho"/>
          <w:b w:val="1"/>
          <w:sz w:val="32"/>
          <w:szCs w:val="32"/>
          <w:rtl w:val="0"/>
        </w:rPr>
        <w:t xml:space="preserve">‑</w:t>
      </w:r>
      <w:r w:rsidDel="00000000" w:rsidR="00000000" w:rsidRPr="00000000">
        <w:rPr>
          <w:rFonts w:ascii="Times New Roman" w:cs="Times New Roman" w:eastAsia="Times New Roman" w:hAnsi="Times New Roman"/>
          <w:b w:val="1"/>
          <w:sz w:val="32"/>
          <w:szCs w:val="32"/>
          <w:rtl w:val="0"/>
        </w:rPr>
        <w:t xml:space="preserve">ErbB4 Heterodimer is Stabilized Through Glycans at the Dimeric Interface</w:t>
      </w:r>
    </w:p>
    <w:p w:rsidR="00000000" w:rsidDel="00000000" w:rsidP="00000000" w:rsidRDefault="00000000" w:rsidRPr="00000000" w14:paraId="00000003">
      <w:pPr>
        <w:spacing w:after="240" w:before="24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Zahra Motamedi</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Mehri Shahsavari</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Hassan Rajabi-Maham</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and</w:t>
      </w:r>
      <w:r w:rsidDel="00000000" w:rsidR="00000000" w:rsidRPr="00000000">
        <w:rPr>
          <w:rFonts w:ascii="Times New Roman" w:cs="Times New Roman" w:eastAsia="Times New Roman" w:hAnsi="Times New Roman"/>
          <w:sz w:val="24"/>
          <w:szCs w:val="24"/>
          <w:vertAlign w:val="superscript"/>
          <w:rtl w:val="0"/>
        </w:rPr>
        <w:t xml:space="preserve">  </w:t>
      </w:r>
      <w:r w:rsidDel="00000000" w:rsidR="00000000" w:rsidRPr="00000000">
        <w:rPr>
          <w:rFonts w:ascii="Times New Roman" w:cs="Times New Roman" w:eastAsia="Times New Roman" w:hAnsi="Times New Roman"/>
          <w:sz w:val="24"/>
          <w:szCs w:val="24"/>
          <w:rtl w:val="0"/>
        </w:rPr>
        <w:t xml:space="preserve">Maryam Azimzadeh Irani</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4">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vertAlign w:val="superscript"/>
          <w:rtl w:val="0"/>
        </w:rPr>
        <w:t xml:space="preserve">1</w:t>
      </w:r>
      <w:r w:rsidDel="00000000" w:rsidR="00000000" w:rsidRPr="00000000">
        <w:rPr>
          <w:rFonts w:ascii="Times New Roman" w:cs="Times New Roman" w:eastAsia="Times New Roman" w:hAnsi="Times New Roman"/>
          <w:rtl w:val="0"/>
        </w:rPr>
        <w:t xml:space="preserve">Faculty of Life Sciences and Biotechnology, Shahid Beheshti University, Tehran, Iran.</w:t>
      </w:r>
    </w:p>
    <w:p w:rsidR="00000000" w:rsidDel="00000000" w:rsidP="00000000" w:rsidRDefault="00000000" w:rsidRPr="00000000" w14:paraId="00000005">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6">
      <w:pPr>
        <w:spacing w:after="24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*Corresponding author:</w:t>
      </w:r>
    </w:p>
    <w:p w:rsidR="00000000" w:rsidDel="00000000" w:rsidP="00000000" w:rsidRDefault="00000000" w:rsidRPr="00000000" w14:paraId="00000007">
      <w:pPr>
        <w:spacing w:after="24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E-mail: m_azimzadeh@sbu.ac.ir</w:t>
      </w:r>
    </w:p>
    <w:p w:rsidR="00000000" w:rsidDel="00000000" w:rsidP="00000000" w:rsidRDefault="00000000" w:rsidRPr="00000000" w14:paraId="00000008">
      <w:pPr>
        <w:spacing w:after="24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Address: Faculty of Life Sciences and Biotechnology, Shahid Beheshti University, Tehran, Iran. Post Code: 1983969411.</w:t>
      </w:r>
    </w:p>
    <w:p w:rsidR="00000000" w:rsidDel="00000000" w:rsidP="00000000" w:rsidRDefault="00000000" w:rsidRPr="00000000" w14:paraId="00000009">
      <w:pPr>
        <w:spacing w:after="24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Tel: +98-21-29901</w:t>
      </w:r>
    </w:p>
    <w:p w:rsidR="00000000" w:rsidDel="00000000" w:rsidP="00000000" w:rsidRDefault="00000000" w:rsidRPr="00000000" w14:paraId="0000000A">
      <w:pPr>
        <w:spacing w:after="24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Fax: +98- 21-22431919</w:t>
      </w:r>
    </w:p>
    <w:p w:rsidR="00000000" w:rsidDel="00000000" w:rsidP="00000000" w:rsidRDefault="00000000" w:rsidRPr="00000000" w14:paraId="0000000B">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0C">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0D">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0E">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0F">
      <w:pPr>
        <w:jc w:val="both"/>
        <w:rPr/>
      </w:pPr>
      <w:r w:rsidDel="00000000" w:rsidR="00000000" w:rsidRPr="00000000">
        <w:rPr>
          <w:rtl w:val="0"/>
        </w:rPr>
      </w:r>
    </w:p>
    <w:p w:rsidR="00000000" w:rsidDel="00000000" w:rsidP="00000000" w:rsidRDefault="00000000" w:rsidRPr="00000000" w14:paraId="00000010">
      <w:pPr>
        <w:jc w:val="both"/>
        <w:rPr/>
      </w:pPr>
      <w:r w:rsidDel="00000000" w:rsidR="00000000" w:rsidRPr="00000000">
        <w:rPr>
          <w:rtl w:val="0"/>
        </w:rPr>
      </w:r>
    </w:p>
    <w:p w:rsidR="00000000" w:rsidDel="00000000" w:rsidP="00000000" w:rsidRDefault="00000000" w:rsidRPr="00000000" w14:paraId="00000011">
      <w:pPr>
        <w:jc w:val="both"/>
        <w:rPr/>
      </w:pPr>
      <w:r w:rsidDel="00000000" w:rsidR="00000000" w:rsidRPr="00000000">
        <w:rPr>
          <w:rtl w:val="0"/>
        </w:rPr>
      </w:r>
    </w:p>
    <w:p w:rsidR="00000000" w:rsidDel="00000000" w:rsidP="00000000" w:rsidRDefault="00000000" w:rsidRPr="00000000" w14:paraId="00000012">
      <w:pPr>
        <w:jc w:val="both"/>
        <w:rPr/>
      </w:pPr>
      <w:r w:rsidDel="00000000" w:rsidR="00000000" w:rsidRPr="00000000">
        <w:rPr>
          <w:rtl w:val="0"/>
        </w:rPr>
      </w:r>
    </w:p>
    <w:p w:rsidR="00000000" w:rsidDel="00000000" w:rsidP="00000000" w:rsidRDefault="00000000" w:rsidRPr="00000000" w14:paraId="00000013">
      <w:pPr>
        <w:jc w:val="both"/>
        <w:rPr/>
      </w:pPr>
      <w:r w:rsidDel="00000000" w:rsidR="00000000" w:rsidRPr="00000000">
        <w:rPr>
          <w:rtl w:val="0"/>
        </w:rPr>
      </w:r>
    </w:p>
    <w:p w:rsidR="00000000" w:rsidDel="00000000" w:rsidP="00000000" w:rsidRDefault="00000000" w:rsidRPr="00000000" w14:paraId="00000014">
      <w:pPr>
        <w:jc w:val="both"/>
        <w:rPr/>
      </w:pPr>
      <w:r w:rsidDel="00000000" w:rsidR="00000000" w:rsidRPr="00000000">
        <w:rPr>
          <w:rtl w:val="0"/>
        </w:rPr>
      </w:r>
    </w:p>
    <w:p w:rsidR="00000000" w:rsidDel="00000000" w:rsidP="00000000" w:rsidRDefault="00000000" w:rsidRPr="00000000" w14:paraId="00000015">
      <w:pPr>
        <w:jc w:val="both"/>
        <w:rPr/>
      </w:pPr>
      <w:r w:rsidDel="00000000" w:rsidR="00000000" w:rsidRPr="00000000">
        <w:rPr>
          <w:rtl w:val="0"/>
        </w:rPr>
      </w:r>
    </w:p>
    <w:p w:rsidR="00000000" w:rsidDel="00000000" w:rsidP="00000000" w:rsidRDefault="00000000" w:rsidRPr="00000000" w14:paraId="00000016">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tbl>
      <w:tblPr>
        <w:tblStyle w:val="Table1"/>
        <w:bidiVisual w:val="1"/>
        <w:tblW w:w="8940.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650"/>
        <w:gridCol w:w="4290"/>
        <w:tblGridChange w:id="0">
          <w:tblGrid>
            <w:gridCol w:w="4650"/>
            <w:gridCol w:w="4290"/>
          </w:tblGrid>
        </w:tblGridChange>
      </w:tblGrid>
      <w:tr>
        <w:trPr>
          <w:cantSplit w:val="0"/>
          <w:trHeight w:val="650" w:hRule="atLeast"/>
          <w:tblHeader w:val="0"/>
        </w:trPr>
        <w:tc>
          <w:tcPr>
            <w:gridSpan w:val="2"/>
            <w:tcBorders>
              <w:top w:color="000000" w:space="0" w:sz="18" w:val="single"/>
              <w:left w:color="000000" w:space="0" w:sz="18" w:val="single"/>
              <w:bottom w:color="000000" w:space="0" w:sz="8" w:val="single"/>
              <w:right w:color="000000" w:space="0" w:sz="18" w:val="single"/>
            </w:tcBorders>
            <w:shd w:fill="a5a5a5" w:val="clear"/>
            <w:tcMar>
              <w:top w:w="100.0" w:type="dxa"/>
              <w:left w:w="100.0" w:type="dxa"/>
              <w:bottom w:w="100.0" w:type="dxa"/>
              <w:right w:w="100.0" w:type="dxa"/>
            </w:tcMar>
            <w:vAlign w:val="top"/>
          </w:tcPr>
          <w:p w:rsidR="00000000" w:rsidDel="00000000" w:rsidP="00000000" w:rsidRDefault="00000000" w:rsidRPr="00000000" w14:paraId="00000017">
            <w:pPr>
              <w:spacing w:after="240" w:before="24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Glycosylation sites in Heterodimer EGFR-ErbB4</w:t>
            </w:r>
          </w:p>
        </w:tc>
      </w:tr>
      <w:tr>
        <w:trPr>
          <w:cantSplit w:val="0"/>
          <w:trHeight w:val="635" w:hRule="atLeast"/>
          <w:tblHeader w:val="0"/>
        </w:trPr>
        <w:tc>
          <w:tcPr>
            <w:tcBorders>
              <w:top w:color="000000" w:space="0" w:sz="0" w:val="nil"/>
              <w:left w:color="000000" w:space="0" w:sz="8" w:val="single"/>
              <w:bottom w:color="000000" w:space="0" w:sz="8" w:val="single"/>
              <w:right w:color="000000" w:space="0" w:sz="18" w:val="single"/>
            </w:tcBorders>
            <w:shd w:fill="dbdbdb" w:val="clear"/>
            <w:tcMar>
              <w:top w:w="100.0" w:type="dxa"/>
              <w:left w:w="100.0" w:type="dxa"/>
              <w:bottom w:w="100.0" w:type="dxa"/>
              <w:right w:w="100.0" w:type="dxa"/>
            </w:tcMar>
            <w:vAlign w:val="top"/>
          </w:tcPr>
          <w:p w:rsidR="00000000" w:rsidDel="00000000" w:rsidP="00000000" w:rsidRDefault="00000000" w:rsidRPr="00000000" w14:paraId="00000019">
            <w:pPr>
              <w:spacing w:after="240" w:before="24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EGFR</w:t>
            </w:r>
          </w:p>
        </w:tc>
        <w:tc>
          <w:tcPr>
            <w:tcBorders>
              <w:top w:color="000000" w:space="0" w:sz="0" w:val="nil"/>
              <w:left w:color="000000" w:space="0" w:sz="18" w:val="single"/>
              <w:bottom w:color="000000" w:space="0" w:sz="8" w:val="single"/>
              <w:right w:color="000000" w:space="0" w:sz="0" w:val="nil"/>
            </w:tcBorders>
            <w:shd w:fill="dbdbdb" w:val="clear"/>
            <w:tcMar>
              <w:top w:w="100.0" w:type="dxa"/>
              <w:left w:w="100.0" w:type="dxa"/>
              <w:bottom w:w="100.0" w:type="dxa"/>
              <w:right w:w="100.0" w:type="dxa"/>
            </w:tcMar>
            <w:vAlign w:val="top"/>
          </w:tcPr>
          <w:p w:rsidR="00000000" w:rsidDel="00000000" w:rsidP="00000000" w:rsidRDefault="00000000" w:rsidRPr="00000000" w14:paraId="0000001A">
            <w:pPr>
              <w:spacing w:after="240" w:before="24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ErbB4</w:t>
            </w:r>
          </w:p>
        </w:tc>
      </w:tr>
      <w:tr>
        <w:trPr>
          <w:cantSplit w:val="0"/>
          <w:trHeight w:val="1310" w:hRule="atLeast"/>
          <w:tblHeader w:val="0"/>
        </w:trPr>
        <w:tc>
          <w:tcPr>
            <w:tcBorders>
              <w:top w:color="000000" w:space="0" w:sz="0" w:val="nil"/>
              <w:left w:color="000000" w:space="0" w:sz="8" w:val="single"/>
              <w:bottom w:color="000000" w:space="0" w:sz="18" w:val="single"/>
              <w:right w:color="000000" w:space="0" w:sz="18" w:val="single"/>
            </w:tcBorders>
            <w:shd w:fill="dbdbdb" w:val="clear"/>
            <w:tcMar>
              <w:top w:w="100.0" w:type="dxa"/>
              <w:left w:w="100.0" w:type="dxa"/>
              <w:bottom w:w="100.0" w:type="dxa"/>
              <w:right w:w="100.0" w:type="dxa"/>
            </w:tcMar>
            <w:vAlign w:val="top"/>
          </w:tcPr>
          <w:p w:rsidR="00000000" w:rsidDel="00000000" w:rsidP="00000000" w:rsidRDefault="00000000" w:rsidRPr="00000000" w14:paraId="0000001B">
            <w:pPr>
              <w:spacing w:after="240" w:before="24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ASN 104, ASN 151, ASN172, ASN337, ASN 389, ASN 420, ASN 504, ASN 544, ASN 579, ASN599</w:t>
            </w:r>
          </w:p>
        </w:tc>
        <w:tc>
          <w:tcPr>
            <w:tcBorders>
              <w:top w:color="000000" w:space="0" w:sz="0" w:val="nil"/>
              <w:left w:color="000000" w:space="0" w:sz="18" w:val="single"/>
              <w:bottom w:color="000000" w:space="0" w:sz="18" w:val="single"/>
              <w:right w:color="000000" w:space="0" w:sz="0" w:val="nil"/>
            </w:tcBorders>
            <w:shd w:fill="dbdbdb" w:val="clear"/>
            <w:tcMar>
              <w:top w:w="100.0" w:type="dxa"/>
              <w:left w:w="100.0" w:type="dxa"/>
              <w:bottom w:w="100.0" w:type="dxa"/>
              <w:right w:w="100.0" w:type="dxa"/>
            </w:tcMar>
            <w:vAlign w:val="top"/>
          </w:tcPr>
          <w:p w:rsidR="00000000" w:rsidDel="00000000" w:rsidP="00000000" w:rsidRDefault="00000000" w:rsidRPr="00000000" w14:paraId="0000001C">
            <w:pPr>
              <w:spacing w:after="240" w:before="24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ASN113, ASN149, ASN333, ASN385, ASN448, ASN470, ASN523, ASN595</w:t>
            </w:r>
          </w:p>
        </w:tc>
      </w:tr>
    </w:tbl>
    <w:p w:rsidR="00000000" w:rsidDel="00000000" w:rsidP="00000000" w:rsidRDefault="00000000" w:rsidRPr="00000000" w14:paraId="0000001D">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1E">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1F">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Table S.1. </w:t>
      </w:r>
      <w:r w:rsidDel="00000000" w:rsidR="00000000" w:rsidRPr="00000000">
        <w:rPr>
          <w:rFonts w:ascii="Times New Roman" w:cs="Times New Roman" w:eastAsia="Times New Roman" w:hAnsi="Times New Roman"/>
          <w:rtl w:val="0"/>
        </w:rPr>
        <w:t xml:space="preserve">The glycosylated Aspargines in the EGFR-ErbB4 heterodimer.</w:t>
      </w:r>
    </w:p>
    <w:p w:rsidR="00000000" w:rsidDel="00000000" w:rsidP="00000000" w:rsidRDefault="00000000" w:rsidRPr="00000000" w14:paraId="00000020">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21">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22">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23">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24">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25">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26">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27">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28">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29">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2A">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b w:val="1"/>
        </w:rPr>
        <w:drawing>
          <wp:inline distB="114300" distT="114300" distL="114300" distR="114300">
            <wp:extent cx="4703778" cy="4096839"/>
            <wp:effectExtent b="0" l="0" r="0" t="0"/>
            <wp:docPr id="6" name="image10.png"/>
            <a:graphic>
              <a:graphicData uri="http://schemas.openxmlformats.org/drawingml/2006/picture">
                <pic:pic>
                  <pic:nvPicPr>
                    <pic:cNvPr id="0" name="image10.png"/>
                    <pic:cNvPicPr preferRelativeResize="0"/>
                  </pic:nvPicPr>
                  <pic:blipFill>
                    <a:blip r:embed="rId6"/>
                    <a:srcRect b="0" l="24893" r="10576" t="0"/>
                    <a:stretch>
                      <a:fillRect/>
                    </a:stretch>
                  </pic:blipFill>
                  <pic:spPr>
                    <a:xfrm>
                      <a:off x="0" y="0"/>
                      <a:ext cx="4703778" cy="4096839"/>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2C">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2D">
      <w:pPr>
        <w:spacing w:after="240" w:before="240" w:line="48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rtl w:val="0"/>
        </w:rPr>
        <w:t xml:space="preserve">Figure S.1. </w:t>
      </w:r>
      <w:r w:rsidDel="00000000" w:rsidR="00000000" w:rsidRPr="00000000">
        <w:rPr>
          <w:rFonts w:ascii="Times New Roman" w:cs="Times New Roman" w:eastAsia="Times New Roman" w:hAnsi="Times New Roman"/>
          <w:highlight w:val="white"/>
          <w:rtl w:val="0"/>
        </w:rPr>
        <w:t xml:space="preserve">The schematic </w:t>
      </w:r>
      <w:r w:rsidDel="00000000" w:rsidR="00000000" w:rsidRPr="00000000">
        <w:rPr>
          <w:rFonts w:ascii="Times New Roman" w:cs="Times New Roman" w:eastAsia="Times New Roman" w:hAnsi="Times New Roman"/>
          <w:highlight w:val="white"/>
          <w:rtl w:val="0"/>
        </w:rPr>
        <w:t xml:space="preserve">architecture of the ErbB proteins. The ErbB receptors consist of an </w:t>
      </w:r>
      <w:r w:rsidDel="00000000" w:rsidR="00000000" w:rsidRPr="00000000">
        <w:rPr>
          <w:rFonts w:ascii="Times New Roman" w:cs="Times New Roman" w:eastAsia="Times New Roman" w:hAnsi="Times New Roman"/>
          <w:highlight w:val="white"/>
          <w:rtl w:val="0"/>
        </w:rPr>
        <w:t xml:space="preserve">extracellular domain which includes subdomains I to IV, </w:t>
      </w:r>
      <w:r w:rsidDel="00000000" w:rsidR="00000000" w:rsidRPr="00000000">
        <w:rPr>
          <w:rFonts w:ascii="Times New Roman" w:cs="Times New Roman" w:eastAsia="Times New Roman" w:hAnsi="Times New Roman"/>
          <w:highlight w:val="white"/>
          <w:rtl w:val="0"/>
        </w:rPr>
        <w:t xml:space="preserve"> a transmembrane domain, and an intracellular tyrosine kinase domain. </w:t>
      </w:r>
      <w:r w:rsidDel="00000000" w:rsidR="00000000" w:rsidRPr="00000000">
        <w:rPr>
          <w:rtl w:val="0"/>
        </w:rPr>
      </w:r>
    </w:p>
    <w:p w:rsidR="00000000" w:rsidDel="00000000" w:rsidP="00000000" w:rsidRDefault="00000000" w:rsidRPr="00000000" w14:paraId="0000002E">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3e3d40"/>
          <w:sz w:val="24"/>
          <w:szCs w:val="24"/>
          <w:rtl w:val="0"/>
        </w:rPr>
        <w:t xml:space="preserve"> </w:t>
      </w:r>
      <w:r w:rsidDel="00000000" w:rsidR="00000000" w:rsidRPr="00000000">
        <w:rPr>
          <w:rtl w:val="0"/>
        </w:rPr>
      </w:r>
    </w:p>
    <w:p w:rsidR="00000000" w:rsidDel="00000000" w:rsidP="00000000" w:rsidRDefault="00000000" w:rsidRPr="00000000" w14:paraId="0000002F">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30">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31">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32">
      <w:pPr>
        <w:spacing w:after="240" w:befor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b w:val="1"/>
        </w:rPr>
        <w:drawing>
          <wp:inline distB="114300" distT="114300" distL="114300" distR="114300">
            <wp:extent cx="4870419" cy="4119563"/>
            <wp:effectExtent b="0" l="0" r="0" t="0"/>
            <wp:docPr id="4" name="image5.png"/>
            <a:graphic>
              <a:graphicData uri="http://schemas.openxmlformats.org/drawingml/2006/picture">
                <pic:pic>
                  <pic:nvPicPr>
                    <pic:cNvPr id="0" name="image5.png"/>
                    <pic:cNvPicPr preferRelativeResize="0"/>
                  </pic:nvPicPr>
                  <pic:blipFill>
                    <a:blip r:embed="rId7"/>
                    <a:srcRect b="0" l="15498" r="19177" t="1709"/>
                    <a:stretch>
                      <a:fillRect/>
                    </a:stretch>
                  </pic:blipFill>
                  <pic:spPr>
                    <a:xfrm>
                      <a:off x="0" y="0"/>
                      <a:ext cx="4870419" cy="4119563"/>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spacing w:after="240" w:before="240" w:line="48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Table S.2. </w:t>
      </w:r>
      <w:r w:rsidDel="00000000" w:rsidR="00000000" w:rsidRPr="00000000">
        <w:rPr>
          <w:rFonts w:ascii="Times New Roman" w:cs="Times New Roman" w:eastAsia="Times New Roman" w:hAnsi="Times New Roman"/>
          <w:rtl w:val="0"/>
        </w:rPr>
        <w:t xml:space="preserve">The Haddock results for EGFR-ed-ErbB4-ed docking. Outputs of the top cluster from all three sets of dockings are listed. RMSD values are reported with A units and the VDW and Electrostatic energies are reported by kcal/mol units.</w:t>
      </w:r>
    </w:p>
    <w:p w:rsidR="00000000" w:rsidDel="00000000" w:rsidP="00000000" w:rsidRDefault="00000000" w:rsidRPr="00000000" w14:paraId="00000034">
      <w:pPr>
        <w:spacing w:after="240" w:before="240" w:lineRule="auto"/>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5">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36">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37">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38">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39">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3A">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3B">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3C">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3D">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b w:val="1"/>
        </w:rPr>
        <w:drawing>
          <wp:inline distB="114300" distT="114300" distL="114300" distR="114300">
            <wp:extent cx="5943600" cy="3340100"/>
            <wp:effectExtent b="0" l="0" r="0" t="0"/>
            <wp:docPr id="7"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5943600" cy="3340100"/>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3F">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40">
      <w:pPr>
        <w:spacing w:after="240" w:before="240" w:line="48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Figure S.2. </w:t>
      </w:r>
      <w:r w:rsidDel="00000000" w:rsidR="00000000" w:rsidRPr="00000000">
        <w:rPr>
          <w:rFonts w:ascii="Times New Roman" w:cs="Times New Roman" w:eastAsia="Times New Roman" w:hAnsi="Times New Roman"/>
          <w:rtl w:val="0"/>
        </w:rPr>
        <w:t xml:space="preserve">Oligosaccharide glycans attached to EGFR-ErbB4 heterodimer. </w:t>
      </w:r>
      <w:r w:rsidDel="00000000" w:rsidR="00000000" w:rsidRPr="00000000">
        <w:rPr>
          <w:rFonts w:ascii="Times New Roman" w:cs="Times New Roman" w:eastAsia="Times New Roman" w:hAnsi="Times New Roman"/>
          <w:b w:val="1"/>
          <w:rtl w:val="0"/>
        </w:rPr>
        <w:t xml:space="preserve">(A)</w:t>
      </w:r>
      <w:r w:rsidDel="00000000" w:rsidR="00000000" w:rsidRPr="00000000">
        <w:rPr>
          <w:rFonts w:ascii="Times New Roman" w:cs="Times New Roman" w:eastAsia="Times New Roman" w:hAnsi="Times New Roman"/>
          <w:rtl w:val="0"/>
        </w:rPr>
        <w:t xml:space="preserve"> Glycans that are attached to EGFR and </w:t>
      </w:r>
      <w:r w:rsidDel="00000000" w:rsidR="00000000" w:rsidRPr="00000000">
        <w:rPr>
          <w:rFonts w:ascii="Times New Roman" w:cs="Times New Roman" w:eastAsia="Times New Roman" w:hAnsi="Times New Roman"/>
          <w:b w:val="1"/>
          <w:rtl w:val="0"/>
        </w:rPr>
        <w:t xml:space="preserve">(B)</w:t>
      </w:r>
      <w:r w:rsidDel="00000000" w:rsidR="00000000" w:rsidRPr="00000000">
        <w:rPr>
          <w:rFonts w:ascii="Times New Roman" w:cs="Times New Roman" w:eastAsia="Times New Roman" w:hAnsi="Times New Roman"/>
          <w:rtl w:val="0"/>
        </w:rPr>
        <w:t xml:space="preserve"> ErbB4 receptors are shown with atom name sticks. Details of the monosaccharide units and the glycosidic linkages are schematically shown in </w:t>
      </w:r>
      <w:r w:rsidDel="00000000" w:rsidR="00000000" w:rsidRPr="00000000">
        <w:rPr>
          <w:rFonts w:ascii="Times New Roman" w:cs="Times New Roman" w:eastAsia="Times New Roman" w:hAnsi="Times New Roman"/>
          <w:b w:val="1"/>
          <w:rtl w:val="0"/>
        </w:rPr>
        <w:t xml:space="preserve">(C)</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41">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42">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43">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44">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45">
      <w:pPr>
        <w:spacing w:after="240" w:before="24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6">
      <w:pPr>
        <w:spacing w:after="240" w:before="24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7">
      <w:pPr>
        <w:spacing w:after="240" w:before="24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8">
      <w:pPr>
        <w:spacing w:after="240" w:before="24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9">
      <w:pPr>
        <w:spacing w:after="240" w:before="24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A">
      <w:pPr>
        <w:spacing w:after="240" w:before="24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B">
      <w:pPr>
        <w:spacing w:after="240" w:before="24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C">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b w:val="1"/>
        </w:rPr>
        <w:drawing>
          <wp:inline distB="114300" distT="114300" distL="114300" distR="114300">
            <wp:extent cx="5943600" cy="3343275"/>
            <wp:effectExtent b="0" l="0" r="0" t="0"/>
            <wp:docPr id="9" name="image9.png"/>
            <a:graphic>
              <a:graphicData uri="http://schemas.openxmlformats.org/drawingml/2006/picture">
                <pic:pic>
                  <pic:nvPicPr>
                    <pic:cNvPr id="0" name="image9.png"/>
                    <pic:cNvPicPr preferRelativeResize="0"/>
                  </pic:nvPicPr>
                  <pic:blipFill>
                    <a:blip r:embed="rId9"/>
                    <a:srcRect b="0" l="0" r="0" t="0"/>
                    <a:stretch>
                      <a:fillRect/>
                    </a:stretch>
                  </pic:blipFill>
                  <pic:spPr>
                    <a:xfrm>
                      <a:off x="0" y="0"/>
                      <a:ext cx="5943600" cy="3343275"/>
                    </a:xfrm>
                    <a:prstGeom prst="rect"/>
                    <a:ln/>
                  </pic:spPr>
                </pic:pic>
              </a:graphicData>
            </a:graphic>
          </wp:inline>
        </w:drawing>
      </w:r>
      <w:r w:rsidDel="00000000" w:rsidR="00000000" w:rsidRPr="00000000">
        <w:rPr>
          <w:rtl w:val="0"/>
        </w:rPr>
      </w:r>
    </w:p>
    <w:p w:rsidR="00000000" w:rsidDel="00000000" w:rsidP="00000000" w:rsidRDefault="00000000" w:rsidRPr="00000000" w14:paraId="0000004D">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b w:val="1"/>
        </w:rPr>
        <w:drawing>
          <wp:inline distB="114300" distT="114300" distL="114300" distR="114300">
            <wp:extent cx="5943600" cy="3343275"/>
            <wp:effectExtent b="0" l="0" r="0" t="0"/>
            <wp:docPr id="2"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5943600" cy="3343275"/>
                    </a:xfrm>
                    <a:prstGeom prst="rect"/>
                    <a:ln/>
                  </pic:spPr>
                </pic:pic>
              </a:graphicData>
            </a:graphic>
          </wp:inline>
        </w:drawing>
      </w:r>
      <w:r w:rsidDel="00000000" w:rsidR="00000000" w:rsidRPr="00000000">
        <w:rPr>
          <w:rtl w:val="0"/>
        </w:rPr>
      </w:r>
    </w:p>
    <w:p w:rsidR="00000000" w:rsidDel="00000000" w:rsidP="00000000" w:rsidRDefault="00000000" w:rsidRPr="00000000" w14:paraId="0000004E">
      <w:pPr>
        <w:spacing w:after="240" w:before="240" w:lineRule="auto"/>
        <w:jc w:val="both"/>
        <w:rPr>
          <w:rFonts w:ascii="Times New Roman" w:cs="Times New Roman" w:eastAsia="Times New Roman" w:hAnsi="Times New Roman"/>
          <w:sz w:val="2"/>
          <w:szCs w:val="2"/>
          <w:highlight w:val="black"/>
        </w:rPr>
      </w:pPr>
      <w:r w:rsidDel="00000000" w:rsidR="00000000" w:rsidRPr="00000000">
        <w:rPr>
          <w:rFonts w:ascii="Times New Roman" w:cs="Times New Roman" w:eastAsia="Times New Roman" w:hAnsi="Times New Roman"/>
          <w:sz w:val="2"/>
          <w:szCs w:val="2"/>
          <w:highlight w:val="black"/>
          <w:rtl w:val="0"/>
        </w:rPr>
        <w:t xml:space="preserve"> </w:t>
      </w:r>
    </w:p>
    <w:p w:rsidR="00000000" w:rsidDel="00000000" w:rsidP="00000000" w:rsidRDefault="00000000" w:rsidRPr="00000000" w14:paraId="0000004F">
      <w:pPr>
        <w:spacing w:after="240" w:before="240" w:line="48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Figure S.3. </w:t>
      </w:r>
      <w:r w:rsidDel="00000000" w:rsidR="00000000" w:rsidRPr="00000000">
        <w:rPr>
          <w:rFonts w:ascii="Times New Roman" w:cs="Times New Roman" w:eastAsia="Times New Roman" w:hAnsi="Times New Roman"/>
          <w:rtl w:val="0"/>
        </w:rPr>
        <w:t xml:space="preserve">Secondary structure composition of the EGFR, gEGFR, ErbB4 and gErbB4 extracellular domains calculated over 50ns of the first replicate simulation.</w:t>
      </w:r>
    </w:p>
    <w:p w:rsidR="00000000" w:rsidDel="00000000" w:rsidP="00000000" w:rsidRDefault="00000000" w:rsidRPr="00000000" w14:paraId="00000050">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b w:val="1"/>
        </w:rPr>
        <w:drawing>
          <wp:inline distB="114300" distT="114300" distL="114300" distR="114300">
            <wp:extent cx="5943600" cy="3343275"/>
            <wp:effectExtent b="0" l="0" r="0" t="0"/>
            <wp:docPr id="10"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5943600" cy="3343275"/>
                    </a:xfrm>
                    <a:prstGeom prst="rect"/>
                    <a:ln/>
                  </pic:spPr>
                </pic:pic>
              </a:graphicData>
            </a:graphic>
          </wp:inline>
        </w:drawing>
      </w:r>
      <w:r w:rsidDel="00000000" w:rsidR="00000000" w:rsidRPr="00000000">
        <w:rPr>
          <w:rFonts w:ascii="Times New Roman" w:cs="Times New Roman" w:eastAsia="Times New Roman" w:hAnsi="Times New Roman"/>
          <w:b w:val="1"/>
        </w:rPr>
        <w:drawing>
          <wp:inline distB="114300" distT="114300" distL="114300" distR="114300">
            <wp:extent cx="5943600" cy="3343275"/>
            <wp:effectExtent b="0" l="0" r="0" t="0"/>
            <wp:docPr id="1" name="image7.png"/>
            <a:graphic>
              <a:graphicData uri="http://schemas.openxmlformats.org/drawingml/2006/picture">
                <pic:pic>
                  <pic:nvPicPr>
                    <pic:cNvPr id="0" name="image7.png"/>
                    <pic:cNvPicPr preferRelativeResize="0"/>
                  </pic:nvPicPr>
                  <pic:blipFill>
                    <a:blip r:embed="rId12"/>
                    <a:srcRect b="0" l="0" r="0" t="0"/>
                    <a:stretch>
                      <a:fillRect/>
                    </a:stretch>
                  </pic:blipFill>
                  <pic:spPr>
                    <a:xfrm>
                      <a:off x="0" y="0"/>
                      <a:ext cx="5943600" cy="3343275"/>
                    </a:xfrm>
                    <a:prstGeom prst="rect"/>
                    <a:ln/>
                  </pic:spPr>
                </pic:pic>
              </a:graphicData>
            </a:graphic>
          </wp:inline>
        </w:drawing>
      </w:r>
      <w:r w:rsidDel="00000000" w:rsidR="00000000" w:rsidRPr="00000000">
        <w:rPr>
          <w:rtl w:val="0"/>
        </w:rPr>
      </w:r>
    </w:p>
    <w:p w:rsidR="00000000" w:rsidDel="00000000" w:rsidP="00000000" w:rsidRDefault="00000000" w:rsidRPr="00000000" w14:paraId="00000051">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52">
      <w:pPr>
        <w:spacing w:after="240" w:before="240" w:line="48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Figure S.4. </w:t>
      </w:r>
      <w:r w:rsidDel="00000000" w:rsidR="00000000" w:rsidRPr="00000000">
        <w:rPr>
          <w:rFonts w:ascii="Times New Roman" w:cs="Times New Roman" w:eastAsia="Times New Roman" w:hAnsi="Times New Roman"/>
          <w:rtl w:val="0"/>
        </w:rPr>
        <w:t xml:space="preserve">Secondary structure composition of the EGFR, gEGFR, ErbB4 and gErbB4 extracellular domains calculated over 50ns of the second replicate simulation.</w:t>
      </w:r>
      <w:r w:rsidDel="00000000" w:rsidR="00000000" w:rsidRPr="00000000">
        <w:rPr>
          <w:rtl w:val="0"/>
        </w:rPr>
      </w:r>
    </w:p>
    <w:p w:rsidR="00000000" w:rsidDel="00000000" w:rsidP="00000000" w:rsidRDefault="00000000" w:rsidRPr="00000000" w14:paraId="00000053">
      <w:pPr>
        <w:spacing w:after="240" w:before="24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4">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b w:val="1"/>
        </w:rPr>
        <w:drawing>
          <wp:inline distB="114300" distT="114300" distL="114300" distR="114300">
            <wp:extent cx="5943600" cy="3343275"/>
            <wp:effectExtent b="0" l="0" r="0" t="0"/>
            <wp:docPr id="5" name="image4.png"/>
            <a:graphic>
              <a:graphicData uri="http://schemas.openxmlformats.org/drawingml/2006/picture">
                <pic:pic>
                  <pic:nvPicPr>
                    <pic:cNvPr id="0" name="image4.png"/>
                    <pic:cNvPicPr preferRelativeResize="0"/>
                  </pic:nvPicPr>
                  <pic:blipFill>
                    <a:blip r:embed="rId13"/>
                    <a:srcRect b="0" l="0" r="0" t="0"/>
                    <a:stretch>
                      <a:fillRect/>
                    </a:stretch>
                  </pic:blipFill>
                  <pic:spPr>
                    <a:xfrm>
                      <a:off x="0" y="0"/>
                      <a:ext cx="5943600" cy="3343275"/>
                    </a:xfrm>
                    <a:prstGeom prst="rect"/>
                    <a:ln/>
                  </pic:spPr>
                </pic:pic>
              </a:graphicData>
            </a:graphic>
          </wp:inline>
        </w:drawing>
      </w:r>
      <w:r w:rsidDel="00000000" w:rsidR="00000000" w:rsidRPr="00000000">
        <w:rPr>
          <w:rFonts w:ascii="Times New Roman" w:cs="Times New Roman" w:eastAsia="Times New Roman" w:hAnsi="Times New Roman"/>
          <w:b w:val="1"/>
        </w:rPr>
        <w:drawing>
          <wp:inline distB="114300" distT="114300" distL="114300" distR="114300">
            <wp:extent cx="5943600" cy="3343275"/>
            <wp:effectExtent b="0" l="0" r="0" t="0"/>
            <wp:docPr id="3"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5943600" cy="3343275"/>
                    </a:xfrm>
                    <a:prstGeom prst="rect"/>
                    <a:ln/>
                  </pic:spPr>
                </pic:pic>
              </a:graphicData>
            </a:graphic>
          </wp:inline>
        </w:drawing>
      </w:r>
      <w:r w:rsidDel="00000000" w:rsidR="00000000" w:rsidRPr="00000000">
        <w:rPr>
          <w:rtl w:val="0"/>
        </w:rPr>
      </w:r>
    </w:p>
    <w:p w:rsidR="00000000" w:rsidDel="00000000" w:rsidP="00000000" w:rsidRDefault="00000000" w:rsidRPr="00000000" w14:paraId="00000055">
      <w:pPr>
        <w:spacing w:after="240" w:before="240" w:line="48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Figure S.5.</w:t>
      </w:r>
      <w:r w:rsidDel="00000000" w:rsidR="00000000" w:rsidRPr="00000000">
        <w:rPr>
          <w:rFonts w:ascii="Times New Roman" w:cs="Times New Roman" w:eastAsia="Times New Roman" w:hAnsi="Times New Roman"/>
          <w:rtl w:val="0"/>
        </w:rPr>
        <w:t xml:space="preserve">Secondary structure composition of the EGFR, gEGFR, ErbB4 and gErbB4 extracellular domains calculated over 50ns of the third replicate simulation.</w:t>
      </w:r>
      <w:r w:rsidDel="00000000" w:rsidR="00000000" w:rsidRPr="00000000">
        <w:rPr>
          <w:rtl w:val="0"/>
        </w:rPr>
      </w:r>
    </w:p>
    <w:p w:rsidR="00000000" w:rsidDel="00000000" w:rsidP="00000000" w:rsidRDefault="00000000" w:rsidRPr="00000000" w14:paraId="00000056">
      <w:pPr>
        <w:spacing w:after="240" w:before="24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7">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b w:val="1"/>
        </w:rPr>
        <w:drawing>
          <wp:inline distB="114300" distT="114300" distL="114300" distR="114300">
            <wp:extent cx="5943600" cy="3340100"/>
            <wp:effectExtent b="0" l="0" r="0" t="0"/>
            <wp:docPr id="8" name="image8.png"/>
            <a:graphic>
              <a:graphicData uri="http://schemas.openxmlformats.org/drawingml/2006/picture">
                <pic:pic>
                  <pic:nvPicPr>
                    <pic:cNvPr id="0" name="image8.png"/>
                    <pic:cNvPicPr preferRelativeResize="0"/>
                  </pic:nvPicPr>
                  <pic:blipFill>
                    <a:blip r:embed="rId15"/>
                    <a:srcRect b="0" l="0" r="0" t="0"/>
                    <a:stretch>
                      <a:fillRect/>
                    </a:stretch>
                  </pic:blipFill>
                  <pic:spPr>
                    <a:xfrm>
                      <a:off x="0" y="0"/>
                      <a:ext cx="5943600" cy="3340100"/>
                    </a:xfrm>
                    <a:prstGeom prst="rect"/>
                    <a:ln/>
                  </pic:spPr>
                </pic:pic>
              </a:graphicData>
            </a:graphic>
          </wp:inline>
        </w:drawing>
      </w:r>
      <w:r w:rsidDel="00000000" w:rsidR="00000000" w:rsidRPr="00000000">
        <w:rPr>
          <w:rtl w:val="0"/>
        </w:rPr>
      </w:r>
    </w:p>
    <w:p w:rsidR="00000000" w:rsidDel="00000000" w:rsidP="00000000" w:rsidRDefault="00000000" w:rsidRPr="00000000" w14:paraId="00000058">
      <w:pPr>
        <w:spacing w:after="240" w:before="240" w:line="48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Figure S.6. </w:t>
      </w:r>
      <w:r w:rsidDel="00000000" w:rsidR="00000000" w:rsidRPr="00000000">
        <w:rPr>
          <w:rFonts w:ascii="Times New Roman" w:cs="Times New Roman" w:eastAsia="Times New Roman" w:hAnsi="Times New Roman"/>
          <w:rtl w:val="0"/>
        </w:rPr>
        <w:t xml:space="preserve">The distance plots between Cα atoms of the amino acid pairs in the hydrophobic core of the dII dimeric interface of the glycosylated and unglycosylated heterodimer. Calculated over 50ns of one replicate simulation for both glycosylated and unglycosylated systems. Blue and red plots present the unglycosylated and glycosylated systems respectively. (A) The distance plots between Tyr 246 of EGFR and Tyr 259 of ErbB4. (B)  The distance plots between Tyr 251 of EGFR  and Tyr 259 of ErbB4. (C)  The distance plots between Phe 263 of EGFR and Tyr 242 of ErbB4. (D)  The distance plots between Tyr 242 of EGFR and Phe 247 of ErbB4. </w:t>
      </w:r>
    </w:p>
    <w:p w:rsidR="00000000" w:rsidDel="00000000" w:rsidP="00000000" w:rsidRDefault="00000000" w:rsidRPr="00000000" w14:paraId="00000059">
      <w:pPr>
        <w:spacing w:after="240" w:before="24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A">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5B">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5C">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5D">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5E">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5F">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60">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61">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62">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63">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64">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65">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66">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67">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68">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69">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6A">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6B">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6C">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6D">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6E">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6F">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70">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71">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72">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73">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74">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75">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76">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77">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78">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79">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7A">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7B">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7C">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7D">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7E">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7F">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80">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81">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82">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83">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84">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85">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86">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87">
      <w:pPr>
        <w:jc w:val="both"/>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MS Mincho"/>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0" Type="http://schemas.openxmlformats.org/officeDocument/2006/relationships/image" Target="media/image1.png"/><Relationship Id="rId13" Type="http://schemas.openxmlformats.org/officeDocument/2006/relationships/image" Target="media/image4.png"/><Relationship Id="rId12"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2.png"/><Relationship Id="rId5" Type="http://schemas.openxmlformats.org/officeDocument/2006/relationships/styles" Target="styles.xml"/><Relationship Id="rId6" Type="http://schemas.openxmlformats.org/officeDocument/2006/relationships/image" Target="media/image10.png"/><Relationship Id="rId7" Type="http://schemas.openxmlformats.org/officeDocument/2006/relationships/image" Target="media/image5.png"/><Relationship Id="rId8"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