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DF783" w14:textId="523F2239" w:rsidR="00FC6507" w:rsidRPr="001002B2" w:rsidRDefault="0010697D" w:rsidP="001002B2">
      <w:pPr>
        <w:spacing w:line="276" w:lineRule="auto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Supporting information</w:t>
      </w:r>
    </w:p>
    <w:p w14:paraId="156FE6A5" w14:textId="50D3DA50" w:rsidR="003C49C7" w:rsidRPr="001002B2" w:rsidRDefault="003C49C7" w:rsidP="001002B2">
      <w:pPr>
        <w:spacing w:line="276" w:lineRule="auto"/>
        <w:jc w:val="both"/>
        <w:rPr>
          <w:rFonts w:ascii="Palatino Linotype" w:hAnsi="Palatino Linotype" w:cstheme="majorHAnsi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 w:cstheme="majorHAnsi"/>
          <w:b/>
          <w:bCs/>
          <w:sz w:val="24"/>
          <w:szCs w:val="24"/>
          <w:lang w:val="en-US"/>
        </w:rPr>
        <w:t xml:space="preserve">Autonomous Electrochemical System for Ammonia Oxidation Reaction Measurements at the International Space Station </w:t>
      </w:r>
    </w:p>
    <w:p w14:paraId="10C3D299" w14:textId="0633871E" w:rsidR="003C49C7" w:rsidRPr="001002B2" w:rsidRDefault="003C49C7" w:rsidP="001002B2">
      <w:pPr>
        <w:spacing w:line="276" w:lineRule="auto"/>
        <w:rPr>
          <w:rFonts w:ascii="Palatino Linotype" w:hAnsi="Palatino Linotype" w:cs="Calibri Light"/>
          <w:sz w:val="24"/>
          <w:szCs w:val="24"/>
        </w:rPr>
      </w:pPr>
      <w:r w:rsidRPr="001002B2">
        <w:rPr>
          <w:rFonts w:ascii="Palatino Linotype" w:hAnsi="Palatino Linotype" w:cs="Calibri Light"/>
          <w:sz w:val="24"/>
          <w:szCs w:val="24"/>
        </w:rPr>
        <w:t>Camila Morales-Navas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1</w:t>
      </w:r>
      <w:r w:rsidRPr="001002B2">
        <w:rPr>
          <w:rFonts w:ascii="Palatino Linotype" w:hAnsi="Palatino Linotype" w:cs="Calibri Light"/>
          <w:sz w:val="24"/>
          <w:szCs w:val="24"/>
        </w:rPr>
        <w:t>*, Roberto A. Martínez-Rodríguez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1,2</w:t>
      </w:r>
      <w:r w:rsidRPr="001002B2">
        <w:rPr>
          <w:rFonts w:ascii="Palatino Linotype" w:hAnsi="Palatino Linotype" w:cs="Calibri Light"/>
          <w:sz w:val="24"/>
          <w:szCs w:val="24"/>
        </w:rPr>
        <w:t>, Francisco J. Vidal-Iglesias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2</w:t>
      </w:r>
      <w:r w:rsidRPr="001002B2">
        <w:rPr>
          <w:rFonts w:ascii="Palatino Linotype" w:hAnsi="Palatino Linotype" w:cs="Calibri Light"/>
          <w:sz w:val="24"/>
          <w:szCs w:val="24"/>
        </w:rPr>
        <w:t>, Armando Peña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3</w:t>
      </w:r>
      <w:r w:rsidRPr="001002B2">
        <w:rPr>
          <w:rFonts w:ascii="Palatino Linotype" w:hAnsi="Palatino Linotype" w:cs="Calibri Light"/>
          <w:sz w:val="24"/>
          <w:szCs w:val="24"/>
        </w:rPr>
        <w:t>, Joesene Soto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1</w:t>
      </w:r>
      <w:r w:rsidRPr="001002B2">
        <w:rPr>
          <w:rFonts w:ascii="Palatino Linotype" w:hAnsi="Palatino Linotype" w:cs="Calibri Light"/>
          <w:sz w:val="24"/>
          <w:szCs w:val="24"/>
        </w:rPr>
        <w:t>, Pedro Trinidad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1</w:t>
      </w:r>
      <w:r w:rsidRPr="001002B2">
        <w:rPr>
          <w:rFonts w:ascii="Palatino Linotype" w:hAnsi="Palatino Linotype" w:cs="Calibri Light"/>
          <w:sz w:val="24"/>
          <w:szCs w:val="24"/>
        </w:rPr>
        <w:t>, José Solla-Gullón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2</w:t>
      </w:r>
      <w:r w:rsidRPr="001002B2">
        <w:rPr>
          <w:rFonts w:ascii="Palatino Linotype" w:hAnsi="Palatino Linotype" w:cs="Calibri Light"/>
          <w:sz w:val="24"/>
          <w:szCs w:val="24"/>
        </w:rPr>
        <w:t>, Toshko Tzvetkov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4</w:t>
      </w:r>
      <w:r w:rsidRPr="001002B2">
        <w:rPr>
          <w:rFonts w:ascii="Palatino Linotype" w:hAnsi="Palatino Linotype" w:cs="Calibri Light"/>
          <w:sz w:val="24"/>
          <w:szCs w:val="24"/>
        </w:rPr>
        <w:t xml:space="preserve">, </w:t>
      </w:r>
      <w:r w:rsidRPr="001002B2">
        <w:rPr>
          <w:rFonts w:ascii="Palatino Linotype" w:hAnsi="Palatino Linotype" w:cs="Calibri"/>
          <w:color w:val="000000"/>
          <w:sz w:val="24"/>
          <w:szCs w:val="24"/>
          <w:shd w:val="clear" w:color="auto" w:fill="FFFFFF"/>
          <w:lang w:val="en-PR"/>
        </w:rPr>
        <w:t>Jonathan Doan</w:t>
      </w:r>
      <w:r w:rsidRPr="001002B2">
        <w:rPr>
          <w:rFonts w:ascii="Palatino Linotype" w:hAnsi="Palatino Linotype"/>
          <w:sz w:val="24"/>
          <w:szCs w:val="24"/>
          <w:vertAlign w:val="superscript"/>
        </w:rPr>
        <w:t>4</w:t>
      </w:r>
      <w:r w:rsidRPr="001002B2">
        <w:rPr>
          <w:rFonts w:ascii="Palatino Linotype" w:hAnsi="Palatino Linotype"/>
          <w:sz w:val="24"/>
          <w:szCs w:val="24"/>
        </w:rPr>
        <w:t xml:space="preserve">, </w:t>
      </w:r>
      <w:r w:rsidRPr="001002B2">
        <w:rPr>
          <w:rFonts w:ascii="Palatino Linotype" w:hAnsi="Palatino Linotype" w:cs="Calibri Light"/>
          <w:sz w:val="24"/>
          <w:szCs w:val="24"/>
        </w:rPr>
        <w:t>Eugene S. Smotkin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4,5</w:t>
      </w:r>
      <w:r w:rsidRPr="001002B2">
        <w:rPr>
          <w:rFonts w:ascii="Palatino Linotype" w:hAnsi="Palatino Linotype" w:cs="Calibri Light"/>
          <w:sz w:val="24"/>
          <w:szCs w:val="24"/>
        </w:rPr>
        <w:t>, Eduardo Nicolau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1</w:t>
      </w:r>
      <w:r w:rsidRPr="001002B2">
        <w:rPr>
          <w:rFonts w:ascii="Palatino Linotype" w:hAnsi="Palatino Linotype" w:cs="Calibri Light"/>
          <w:sz w:val="24"/>
          <w:szCs w:val="24"/>
        </w:rPr>
        <w:t>, Juan M. Feliu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2</w:t>
      </w:r>
      <w:r w:rsidRPr="001002B2">
        <w:rPr>
          <w:rFonts w:ascii="Palatino Linotype" w:hAnsi="Palatino Linotype" w:cs="Calibri Light"/>
          <w:sz w:val="24"/>
          <w:szCs w:val="24"/>
        </w:rPr>
        <w:t>, and Carlos R. Cabrera</w:t>
      </w:r>
      <w:r w:rsidRPr="001002B2">
        <w:rPr>
          <w:rFonts w:ascii="Palatino Linotype" w:hAnsi="Palatino Linotype" w:cs="Calibri Light"/>
          <w:sz w:val="24"/>
          <w:szCs w:val="24"/>
          <w:vertAlign w:val="superscript"/>
        </w:rPr>
        <w:t>1,3</w:t>
      </w:r>
      <w:r w:rsidRPr="001002B2">
        <w:rPr>
          <w:rFonts w:ascii="Palatino Linotype" w:hAnsi="Palatino Linotype" w:cs="Calibri Light"/>
          <w:sz w:val="24"/>
          <w:szCs w:val="24"/>
        </w:rPr>
        <w:t>*</w:t>
      </w:r>
    </w:p>
    <w:p w14:paraId="4372FE8A" w14:textId="77777777" w:rsidR="003C49C7" w:rsidRPr="001002B2" w:rsidRDefault="003C49C7" w:rsidP="001002B2">
      <w:pPr>
        <w:spacing w:after="0" w:line="276" w:lineRule="auto"/>
        <w:jc w:val="both"/>
        <w:rPr>
          <w:rFonts w:ascii="Palatino Linotype" w:hAnsi="Palatino Linotype" w:cs="Calibri Light"/>
          <w:sz w:val="24"/>
          <w:szCs w:val="24"/>
          <w:lang w:val="en-US"/>
        </w:rPr>
      </w:pPr>
      <w:r w:rsidRPr="001002B2">
        <w:rPr>
          <w:rFonts w:ascii="Palatino Linotype" w:hAnsi="Palatino Linotype" w:cs="Calibri Light"/>
          <w:sz w:val="24"/>
          <w:szCs w:val="24"/>
          <w:vertAlign w:val="superscript"/>
          <w:lang w:val="en-US"/>
        </w:rPr>
        <w:t>1</w:t>
      </w:r>
      <w:r w:rsidRPr="001002B2">
        <w:rPr>
          <w:rFonts w:ascii="Palatino Linotype" w:hAnsi="Palatino Linotype" w:cs="Calibri Light"/>
          <w:sz w:val="24"/>
          <w:szCs w:val="24"/>
          <w:lang w:val="en-US"/>
        </w:rPr>
        <w:t>Department of Chemistry, University of Puerto Rico, Río Piedras Campus</w:t>
      </w:r>
      <w:r w:rsidRPr="001002B2">
        <w:rPr>
          <w:rFonts w:ascii="Palatino Linotype" w:hAnsi="Palatino Linotype" w:cs="Calibri Light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,</w:t>
      </w:r>
      <w:r w:rsidRPr="001002B2">
        <w:rPr>
          <w:rFonts w:ascii="Palatino Linotype" w:hAnsi="Palatino Linotype" w:cs="Calibri Light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1002B2">
        <w:rPr>
          <w:rFonts w:ascii="Palatino Linotype" w:hAnsi="Palatino Linotype" w:cs="Calibri Light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San Juan, Puerto Rico 00925-2537</w:t>
      </w:r>
    </w:p>
    <w:p w14:paraId="2D9BDA00" w14:textId="77777777" w:rsidR="003C49C7" w:rsidRPr="001002B2" w:rsidRDefault="003C49C7" w:rsidP="001002B2">
      <w:pPr>
        <w:spacing w:after="0" w:line="276" w:lineRule="auto"/>
        <w:jc w:val="both"/>
        <w:rPr>
          <w:rFonts w:ascii="Palatino Linotype" w:hAnsi="Palatino Linotype" w:cs="Calibri Light"/>
          <w:sz w:val="24"/>
          <w:szCs w:val="24"/>
          <w:lang w:val="en-US"/>
        </w:rPr>
      </w:pPr>
      <w:r w:rsidRPr="001002B2">
        <w:rPr>
          <w:rFonts w:ascii="Palatino Linotype" w:hAnsi="Palatino Linotype" w:cs="Calibri Light"/>
          <w:sz w:val="24"/>
          <w:szCs w:val="24"/>
          <w:vertAlign w:val="superscript"/>
          <w:lang w:val="en-US"/>
        </w:rPr>
        <w:t>2</w:t>
      </w:r>
      <w:r w:rsidRPr="001002B2">
        <w:rPr>
          <w:rFonts w:ascii="Palatino Linotype" w:hAnsi="Palatino Linotype" w:cs="Calibri Light"/>
          <w:sz w:val="24"/>
          <w:szCs w:val="24"/>
          <w:lang w:val="en-US"/>
        </w:rPr>
        <w:t>Institute of Electrochemistry, University of Alicante Ap. 99, 03080 Alicante, Spain</w:t>
      </w:r>
    </w:p>
    <w:p w14:paraId="4F06F656" w14:textId="77777777" w:rsidR="003C49C7" w:rsidRPr="001002B2" w:rsidRDefault="003C49C7" w:rsidP="001002B2">
      <w:pPr>
        <w:spacing w:after="0" w:line="276" w:lineRule="auto"/>
        <w:jc w:val="both"/>
        <w:rPr>
          <w:rFonts w:ascii="Palatino Linotype" w:hAnsi="Palatino Linotype" w:cs="Calibri Light"/>
          <w:sz w:val="24"/>
          <w:szCs w:val="24"/>
          <w:lang w:val="en-US"/>
        </w:rPr>
      </w:pPr>
      <w:r w:rsidRPr="001002B2">
        <w:rPr>
          <w:rFonts w:ascii="Palatino Linotype" w:hAnsi="Palatino Linotype" w:cs="Calibri Light"/>
          <w:sz w:val="24"/>
          <w:szCs w:val="24"/>
          <w:vertAlign w:val="superscript"/>
          <w:lang w:val="en-US"/>
        </w:rPr>
        <w:t>3</w:t>
      </w:r>
      <w:r w:rsidRPr="001002B2">
        <w:rPr>
          <w:rFonts w:ascii="Palatino Linotype" w:hAnsi="Palatino Linotype" w:cs="Calibri Light"/>
          <w:sz w:val="24"/>
          <w:szCs w:val="24"/>
          <w:lang w:val="en-US"/>
        </w:rPr>
        <w:t>Department of Chemistry and Biochemistry, University of Texas at El Paso, El Paso, Texas 79968</w:t>
      </w:r>
    </w:p>
    <w:p w14:paraId="59250DE5" w14:textId="77777777" w:rsidR="003C49C7" w:rsidRPr="001002B2" w:rsidRDefault="003C49C7" w:rsidP="001002B2">
      <w:pPr>
        <w:spacing w:after="0"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 w:cs="Calibri Light"/>
          <w:sz w:val="24"/>
          <w:szCs w:val="24"/>
          <w:vertAlign w:val="superscript"/>
          <w:lang w:val="en-US"/>
        </w:rPr>
        <w:t>4</w:t>
      </w:r>
      <w:r w:rsidRPr="001002B2">
        <w:rPr>
          <w:rFonts w:ascii="Palatino Linotype" w:hAnsi="Palatino Linotype" w:cs="Calibri Light"/>
          <w:sz w:val="24"/>
          <w:szCs w:val="24"/>
          <w:lang w:val="en-US"/>
        </w:rPr>
        <w:t>NuVant Systems, Inc., 130 N. West Street Crown Point, Indiana 46307</w:t>
      </w:r>
    </w:p>
    <w:p w14:paraId="0691C444" w14:textId="2E679BA4" w:rsidR="00FC6507" w:rsidRDefault="003C49C7" w:rsidP="0034689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Palatino Linotype" w:hAnsi="Palatino Linotype" w:cs="Calibri Light"/>
        </w:rPr>
      </w:pPr>
      <w:r w:rsidRPr="001002B2">
        <w:rPr>
          <w:rFonts w:ascii="Palatino Linotype" w:hAnsi="Palatino Linotype" w:cs="Calibri Light"/>
          <w:vertAlign w:val="superscript"/>
        </w:rPr>
        <w:t>5</w:t>
      </w:r>
      <w:r w:rsidRPr="001002B2">
        <w:rPr>
          <w:rFonts w:ascii="Palatino Linotype" w:hAnsi="Palatino Linotype" w:cs="Calibri Light"/>
        </w:rPr>
        <w:t>Department of Chemistry and Chemical Biology, Northeastern University, 360 Huntington Ave., Boston, Massachusetts 02115</w:t>
      </w:r>
    </w:p>
    <w:p w14:paraId="57CABB71" w14:textId="77777777" w:rsidR="00346898" w:rsidRPr="00346898" w:rsidRDefault="00346898" w:rsidP="0034689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Palatino Linotype" w:hAnsi="Palatino Linotype" w:cs="Calibri Light"/>
        </w:rPr>
      </w:pPr>
    </w:p>
    <w:p w14:paraId="285CB9CF" w14:textId="08CC470B" w:rsidR="00DD385D" w:rsidRPr="001002B2" w:rsidRDefault="00622431" w:rsidP="001002B2">
      <w:pPr>
        <w:pStyle w:val="ListParagraph"/>
        <w:numPr>
          <w:ilvl w:val="0"/>
          <w:numId w:val="1"/>
        </w:numPr>
        <w:spacing w:line="276" w:lineRule="auto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Platinum synthesis</w:t>
      </w:r>
    </w:p>
    <w:p w14:paraId="1494DFEA" w14:textId="39C67DC0" w:rsidR="00622431" w:rsidRPr="001002B2" w:rsidRDefault="00622431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sz w:val="24"/>
          <w:szCs w:val="24"/>
          <w:lang w:val="en-US"/>
        </w:rPr>
        <w:t xml:space="preserve">Catalysts were synthesized in the laboratory. In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particular,platinum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nanocubes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were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ynthesized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by the water in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oilemulsion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method presented by Martinez-Rodriguez et al. 11 g of Brij30 and 2.1 mL of chloroplatinic acid 0.1M were added to 38.29 g of n-heptane in a container and the mixture was well mixed. Brij30 is a nonionic surfactant used to disperse the chloroplatinic acid particles by steric stabilization. This step was followed by the addition of 0.079g of sodium borohydride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toreduce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the dispersed platinum precursor. The reaction took place for 20 minutes. After it was finished, acetone was added to induce the precipitation of the platinum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nanocubes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>.</w:t>
      </w:r>
      <w:r w:rsidR="00C96288" w:rsidRPr="001002B2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Once precipitated the particles were rinsed with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acetone,methanol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and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nanopure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water. Cubic particles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formationwas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induced by adding HCl during the reduction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process</w:t>
      </w:r>
      <w:r w:rsidR="00C96288" w:rsidRPr="001002B2">
        <w:rPr>
          <w:rFonts w:ascii="Palatino Linotype" w:hAnsi="Palatino Linotype"/>
          <w:sz w:val="24"/>
          <w:szCs w:val="24"/>
          <w:lang w:val="en-US"/>
        </w:rPr>
        <w:t>.</w:t>
      </w:r>
      <w:r w:rsidRPr="001002B2">
        <w:rPr>
          <w:rFonts w:ascii="Palatino Linotype" w:hAnsi="Palatino Linotype"/>
          <w:sz w:val="24"/>
          <w:szCs w:val="24"/>
          <w:lang w:val="en-US"/>
        </w:rPr>
        <w:t>The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method for making the platinum supported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onVulcan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™ nanoparticles is as follows: platinum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nanoparticleswere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reduced with sodium borohydride by the method</w:t>
      </w:r>
      <w:r w:rsidR="00DE58E1" w:rsidRPr="001002B2">
        <w:rPr>
          <w:rFonts w:ascii="Palatino Linotype" w:hAnsi="Palatino Linotype"/>
          <w:sz w:val="24"/>
          <w:szCs w:val="24"/>
          <w:lang w:val="en-US"/>
        </w:rPr>
        <w:t xml:space="preserve"> previously explained, then added 39 mL of a solution of 5mg/L of Vulcan™ in n-Heptane, to make a catalyst with </w:t>
      </w:r>
      <w:proofErr w:type="spellStart"/>
      <w:r w:rsidR="00DE58E1" w:rsidRPr="001002B2">
        <w:rPr>
          <w:rFonts w:ascii="Palatino Linotype" w:hAnsi="Palatino Linotype"/>
          <w:sz w:val="24"/>
          <w:szCs w:val="24"/>
          <w:lang w:val="en-US"/>
        </w:rPr>
        <w:t>aPt</w:t>
      </w:r>
      <w:proofErr w:type="spellEnd"/>
      <w:r w:rsidR="00DE58E1" w:rsidRPr="001002B2">
        <w:rPr>
          <w:rFonts w:ascii="Palatino Linotype" w:hAnsi="Palatino Linotype"/>
          <w:sz w:val="24"/>
          <w:szCs w:val="24"/>
          <w:lang w:val="en-US"/>
        </w:rPr>
        <w:t>/Vulcan™ ratio of 20:80. The solution was mixed for 30minutes.The platinum loading of the Pt in Vulcan™ catalysts was</w:t>
      </w:r>
      <w:r w:rsidR="00C96288" w:rsidRPr="001002B2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="0079234F" w:rsidRPr="001002B2">
        <w:rPr>
          <w:rFonts w:ascii="Palatino Linotype" w:hAnsi="Palatino Linotype"/>
          <w:sz w:val="24"/>
          <w:szCs w:val="24"/>
          <w:lang w:val="en-US"/>
        </w:rPr>
        <w:t xml:space="preserve">ca. </w:t>
      </w:r>
      <w:r w:rsidR="00DE58E1" w:rsidRPr="001002B2">
        <w:rPr>
          <w:rFonts w:ascii="Palatino Linotype" w:hAnsi="Palatino Linotype"/>
          <w:sz w:val="24"/>
          <w:szCs w:val="24"/>
          <w:lang w:val="en-US"/>
        </w:rPr>
        <w:t>20% Pt as determined by thermogravimetric analysis.</w:t>
      </w:r>
    </w:p>
    <w:p w14:paraId="42CBB05A" w14:textId="77777777" w:rsidR="0010697D" w:rsidRPr="001002B2" w:rsidRDefault="0010697D" w:rsidP="001002B2">
      <w:pPr>
        <w:numPr>
          <w:ilvl w:val="0"/>
          <w:numId w:val="1"/>
        </w:numPr>
        <w:spacing w:line="276" w:lineRule="auto"/>
        <w:rPr>
          <w:rFonts w:ascii="Palatino Linotype" w:hAnsi="Palatino Linotype"/>
          <w:b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sz w:val="24"/>
          <w:szCs w:val="24"/>
          <w:lang w:val="en-US"/>
        </w:rPr>
        <w:lastRenderedPageBreak/>
        <w:t xml:space="preserve">Pt </w:t>
      </w:r>
      <w:proofErr w:type="spellStart"/>
      <w:r w:rsidRPr="001002B2">
        <w:rPr>
          <w:rFonts w:ascii="Palatino Linotype" w:hAnsi="Palatino Linotype"/>
          <w:b/>
          <w:sz w:val="24"/>
          <w:szCs w:val="24"/>
          <w:lang w:val="en-US"/>
        </w:rPr>
        <w:t>Nanocube</w:t>
      </w:r>
      <w:proofErr w:type="spellEnd"/>
      <w:r w:rsidRPr="001002B2">
        <w:rPr>
          <w:rFonts w:ascii="Palatino Linotype" w:hAnsi="Palatino Linotype"/>
          <w:b/>
          <w:sz w:val="24"/>
          <w:szCs w:val="24"/>
          <w:lang w:val="en-US"/>
        </w:rPr>
        <w:t xml:space="preserve"> Sample Characterization</w:t>
      </w:r>
    </w:p>
    <w:p w14:paraId="1B39560C" w14:textId="7D20DAA3" w:rsidR="0010697D" w:rsidRPr="001002B2" w:rsidRDefault="0010697D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sz w:val="24"/>
          <w:szCs w:val="24"/>
          <w:lang w:val="en-US"/>
        </w:rPr>
        <w:t xml:space="preserve">The samples chosen were cubic shaped platinum nanoparticles and cubic shaped platinum deposit over Vulcan XC 72R carbon support in a mass ratio 20:80 from the same synthesis. Transmission electron microscopy (TEM) was done to have an insight about the shape, size and distribution rate of the particles.  The instrument used was a JEOL, JEM-2010 working at 200kV </w:t>
      </w:r>
      <w:r w:rsidR="00703553" w:rsidRPr="001002B2">
        <w:rPr>
          <w:rFonts w:ascii="Palatino Linotype" w:hAnsi="Palatino Linotype"/>
          <w:sz w:val="24"/>
          <w:szCs w:val="24"/>
          <w:lang w:val="en-US"/>
        </w:rPr>
        <w:t>and</w:t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 120kV. The catalyst was dispersed in isopropanol solution and sonicated for 30s. A small drop of catalyst was deposit in a cooper grid covered by Formvar. More than 200 particles from different places of the grid were analyzed to prepare a particle size histogram (see Figure </w:t>
      </w:r>
      <w:r w:rsidR="00703553" w:rsidRPr="001002B2">
        <w:rPr>
          <w:rFonts w:ascii="Palatino Linotype" w:hAnsi="Palatino Linotype"/>
          <w:sz w:val="24"/>
          <w:szCs w:val="24"/>
          <w:lang w:val="en-US"/>
        </w:rPr>
        <w:t>1</w:t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). </w:t>
      </w:r>
    </w:p>
    <w:p w14:paraId="7706B2CE" w14:textId="40B868F2" w:rsidR="0010697D" w:rsidRPr="001002B2" w:rsidRDefault="002E519E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EEEE64" wp14:editId="54BB64F5">
                <wp:simplePos x="0" y="0"/>
                <wp:positionH relativeFrom="column">
                  <wp:posOffset>2351314</wp:posOffset>
                </wp:positionH>
                <wp:positionV relativeFrom="paragraph">
                  <wp:posOffset>110648</wp:posOffset>
                </wp:positionV>
                <wp:extent cx="914400" cy="255578"/>
                <wp:effectExtent l="0" t="0" r="1016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BF325" w14:textId="3D02C6D7" w:rsidR="002E519E" w:rsidRPr="002E519E" w:rsidRDefault="002E519E" w:rsidP="002E519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EEE6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85.15pt;margin-top:8.7pt;width:1in;height:20.1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" fillcolor="white [3201]" strokeweight=".5pt">
                <v:textbox>
                  <w:txbxContent>
                    <w:p w14:paraId="381BF325" w14:textId="3D02C6D7" w:rsidR="002E519E" w:rsidRPr="002E519E" w:rsidRDefault="002E519E" w:rsidP="002E519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002B2">
        <w:rPr>
          <w:rFonts w:ascii="Palatino Linotype" w:hAnsi="Palatino Linotype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231A5" wp14:editId="5F32817E">
                <wp:simplePos x="0" y="0"/>
                <wp:positionH relativeFrom="column">
                  <wp:posOffset>-489</wp:posOffset>
                </wp:positionH>
                <wp:positionV relativeFrom="paragraph">
                  <wp:posOffset>542290</wp:posOffset>
                </wp:positionV>
                <wp:extent cx="914400" cy="255578"/>
                <wp:effectExtent l="0" t="0" r="1016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BA527" w14:textId="3A344C4F" w:rsidR="002E519E" w:rsidRPr="002E519E" w:rsidRDefault="002E519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31A5" id="Text Box 12" o:spid="_x0000_s1027" type="#_x0000_t202" style="position:absolute;margin-left:-.05pt;margin-top:42.7pt;width:1in;height:20.1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" fillcolor="white [3201]" strokeweight=".5pt">
                <v:textbox>
                  <w:txbxContent>
                    <w:p w14:paraId="774BA527" w14:textId="3A344C4F" w:rsidR="002E519E" w:rsidRPr="002E519E" w:rsidRDefault="002E519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0697D" w:rsidRPr="001002B2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 wp14:anchorId="65C18792" wp14:editId="3EB18E9A">
            <wp:extent cx="2148254" cy="2148254"/>
            <wp:effectExtent l="0" t="0" r="10795" b="10795"/>
            <wp:docPr id="74" name="Imagen 74" descr="C:\Datos-JSOLLA\DATOS\Artículos\Articulo Publicados\108-Artículo Zagal (J Solid State Electrochemistry)\Figure 1 Zagal\Cubos 20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atos-JSOLLA\DATOS\Artículos\Articulo Publicados\108-Artículo Zagal (J Solid State Electrochemistry)\Figure 1 Zagal\Cubos 20-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24" cy="214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97D" w:rsidRPr="001002B2">
        <w:rPr>
          <w:rFonts w:ascii="Palatino Linotype" w:hAnsi="Palatino Linotype"/>
          <w:sz w:val="24"/>
          <w:szCs w:val="24"/>
          <w:lang w:val="en-US"/>
        </w:rPr>
        <w:t xml:space="preserve">    </w:t>
      </w:r>
      <w:r w:rsidR="0010697D" w:rsidRPr="001002B2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 wp14:anchorId="2266FC77" wp14:editId="0083BF41">
            <wp:extent cx="2151561" cy="2151561"/>
            <wp:effectExtent l="0" t="0" r="0" b="0"/>
            <wp:docPr id="75" name="Imagen 75" descr="C:\Datos-JSOLLA\DATOS\Artículos\Articulo Publicados\108-Artículo Zagal (J Solid State Electrochemistry)\Figure 1 Zagal\Cubos 100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atos-JSOLLA\DATOS\Artículos\Articulo Publicados\108-Artículo Zagal (J Solid State Electrochemistry)\Figure 1 Zagal\Cubos 100-001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02" cy="21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A836C" w14:textId="7D9EEB72" w:rsidR="0010697D" w:rsidRPr="001002B2" w:rsidRDefault="002E519E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838BC6" wp14:editId="130432AB">
                <wp:simplePos x="0" y="0"/>
                <wp:positionH relativeFrom="column">
                  <wp:posOffset>2771598</wp:posOffset>
                </wp:positionH>
                <wp:positionV relativeFrom="paragraph">
                  <wp:posOffset>20648</wp:posOffset>
                </wp:positionV>
                <wp:extent cx="914400" cy="255270"/>
                <wp:effectExtent l="0" t="0" r="1016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1ED9C" w14:textId="7FAAF053" w:rsidR="002E519E" w:rsidRPr="002E519E" w:rsidRDefault="002E519E" w:rsidP="002E519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8BC6" id="Text Box 15" o:spid="_x0000_s1028" type="#_x0000_t202" style="position:absolute;margin-left:218.25pt;margin-top:1.65pt;width:1in;height:20.1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" fillcolor="white [3201]" strokeweight=".5pt">
                <v:textbox>
                  <w:txbxContent>
                    <w:p w14:paraId="40E1ED9C" w14:textId="7FAAF053" w:rsidR="002E519E" w:rsidRPr="002E519E" w:rsidRDefault="002E519E" w:rsidP="002E519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1002B2">
        <w:rPr>
          <w:rFonts w:ascii="Palatino Linotype" w:hAnsi="Palatino Linotype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CA38B" wp14:editId="600FA0E0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914400" cy="255270"/>
                <wp:effectExtent l="0" t="0" r="1016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92083" w14:textId="511EE55C" w:rsidR="002E519E" w:rsidRPr="002E519E" w:rsidRDefault="002E519E" w:rsidP="002E519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A38B" id="Text Box 14" o:spid="_x0000_s1029" type="#_x0000_t202" style="position:absolute;margin-left:0;margin-top:1.6pt;width:1in;height:20.1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" fillcolor="white [3201]" strokeweight=".5pt">
                <v:textbox>
                  <w:txbxContent>
                    <w:p w14:paraId="78592083" w14:textId="511EE55C" w:rsidR="002E519E" w:rsidRPr="002E519E" w:rsidRDefault="002E519E" w:rsidP="002E519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0697D" w:rsidRPr="001002B2"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 wp14:anchorId="6EE76607" wp14:editId="260E9059">
            <wp:extent cx="2120265" cy="1954823"/>
            <wp:effectExtent l="0" t="0" r="0" b="1270"/>
            <wp:docPr id="76" name="Imagen 76" descr="C:\Datos-JSOLLA\DATOS\Artículos\Articulo Publicados\108-Artículo Zagal (J Solid State Electrochemistry)\Figure 1 Zagal\Rob61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atos-JSOLLA\DATOS\Artículos\Articulo Publicados\108-Artículo Zagal (J Solid State Electrochemistry)\Figure 1 Zagal\Rob61-000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99" cy="195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97D" w:rsidRPr="001002B2">
        <w:rPr>
          <w:rFonts w:ascii="Palatino Linotype" w:hAnsi="Palatino Linotype"/>
          <w:sz w:val="24"/>
          <w:szCs w:val="24"/>
          <w:lang w:val="en-US"/>
        </w:rPr>
        <w:t xml:space="preserve">  </w:t>
      </w:r>
      <w:r w:rsidR="00321705" w:rsidRPr="00321705">
        <w:rPr>
          <w:rFonts w:ascii="Palatino Linotype" w:hAnsi="Palatino Linotype"/>
          <w:noProof/>
          <w:sz w:val="24"/>
          <w:szCs w:val="24"/>
          <w:lang w:val="en-US"/>
        </w:rPr>
        <w:object w:dxaOrig="5848" w:dyaOrig="4576" w14:anchorId="2EDCD7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93.75pt;height:151.75pt;mso-width-percent:0;mso-height-percent:0;mso-width-percent:0;mso-height-percent:0" o:ole="">
            <v:imagedata r:id="rId13" o:title=""/>
          </v:shape>
          <o:OLEObject Type="Embed" ProgID="Origin50.Graph" ShapeID="_x0000_i1025" DrawAspect="Content" ObjectID="_1713781987" r:id="rId14"/>
        </w:object>
      </w:r>
    </w:p>
    <w:p w14:paraId="7950B8A6" w14:textId="29AF6AFF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Figure </w:t>
      </w:r>
      <w:r w:rsidR="00703553" w:rsidRPr="001002B2">
        <w:rPr>
          <w:rFonts w:ascii="Palatino Linotype" w:hAnsi="Palatino Linotype"/>
          <w:b/>
          <w:bCs/>
          <w:sz w:val="24"/>
          <w:szCs w:val="24"/>
          <w:lang w:val="en-US"/>
        </w:rPr>
        <w:t>1</w:t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. (a) Sample: Pt cubes/V 20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wt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% (Vulcan XC-72R), (b) Pure Pt in water after cleaning, (c) Pt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nanocube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sample from the micro-emulsion, (d) TEM images with the corresponding histogram.</w:t>
      </w:r>
    </w:p>
    <w:p w14:paraId="190FA160" w14:textId="6A6B0A19" w:rsidR="00A332F0" w:rsidRPr="001002B2" w:rsidRDefault="00A332F0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276F5586" w14:textId="7530B37E" w:rsidR="003C49C7" w:rsidRPr="001002B2" w:rsidRDefault="003C49C7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6862E35B" w14:textId="77777777" w:rsidR="003C49C7" w:rsidRPr="001002B2" w:rsidRDefault="003C49C7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28C8A028" w14:textId="77777777" w:rsidR="0010697D" w:rsidRPr="001002B2" w:rsidRDefault="0010697D" w:rsidP="001002B2">
      <w:pPr>
        <w:numPr>
          <w:ilvl w:val="0"/>
          <w:numId w:val="1"/>
        </w:numPr>
        <w:spacing w:line="276" w:lineRule="auto"/>
        <w:rPr>
          <w:rFonts w:ascii="Palatino Linotype" w:hAnsi="Palatino Linotype"/>
          <w:b/>
          <w:sz w:val="24"/>
          <w:szCs w:val="24"/>
          <w:lang w:val="es-ES"/>
        </w:rPr>
      </w:pPr>
      <w:proofErr w:type="spellStart"/>
      <w:r w:rsidRPr="001002B2">
        <w:rPr>
          <w:rFonts w:ascii="Palatino Linotype" w:hAnsi="Palatino Linotype"/>
          <w:b/>
          <w:sz w:val="24"/>
          <w:szCs w:val="24"/>
          <w:lang w:val="es-ES"/>
        </w:rPr>
        <w:t>Thermogravimetric</w:t>
      </w:r>
      <w:proofErr w:type="spellEnd"/>
      <w:r w:rsidRPr="001002B2">
        <w:rPr>
          <w:rFonts w:ascii="Palatino Linotype" w:hAnsi="Palatino Linotype"/>
          <w:b/>
          <w:sz w:val="24"/>
          <w:szCs w:val="24"/>
          <w:lang w:val="es-ES"/>
        </w:rPr>
        <w:t xml:space="preserve"> </w:t>
      </w:r>
      <w:proofErr w:type="spellStart"/>
      <w:r w:rsidRPr="001002B2">
        <w:rPr>
          <w:rFonts w:ascii="Palatino Linotype" w:hAnsi="Palatino Linotype"/>
          <w:b/>
          <w:sz w:val="24"/>
          <w:szCs w:val="24"/>
          <w:lang w:val="es-ES"/>
        </w:rPr>
        <w:t>Analysis</w:t>
      </w:r>
      <w:proofErr w:type="spellEnd"/>
    </w:p>
    <w:p w14:paraId="33B4EF15" w14:textId="609F4579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sz w:val="24"/>
          <w:szCs w:val="24"/>
          <w:lang w:val="en-US"/>
        </w:rPr>
        <w:t>The platinum loading was evaluated by thermogravimetric analysis with a Mettler-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toledo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balance, TGA/SDTA851. The temperature range was 10 ˚C per minute from 25˚ to 850˚ in oxidative atmosphere of N</w:t>
      </w:r>
      <w:r w:rsidRPr="001002B2">
        <w:rPr>
          <w:rFonts w:ascii="Palatino Linotype" w:hAnsi="Palatino Linotype"/>
          <w:sz w:val="24"/>
          <w:szCs w:val="24"/>
          <w:vertAlign w:val="subscript"/>
          <w:lang w:val="en-US"/>
        </w:rPr>
        <w:t>2</w:t>
      </w:r>
      <w:r w:rsidR="006458DE" w:rsidRPr="001002B2">
        <w:rPr>
          <w:rFonts w:ascii="Palatino Linotype" w:hAnsi="Palatino Linotype"/>
          <w:sz w:val="24"/>
          <w:szCs w:val="24"/>
          <w:lang w:val="en-US"/>
        </w:rPr>
        <w:t>/</w:t>
      </w:r>
      <w:r w:rsidRPr="001002B2">
        <w:rPr>
          <w:rFonts w:ascii="Palatino Linotype" w:hAnsi="Palatino Linotype"/>
          <w:sz w:val="24"/>
          <w:szCs w:val="24"/>
          <w:lang w:val="en-US"/>
        </w:rPr>
        <w:t>O</w:t>
      </w:r>
      <w:r w:rsidRPr="001002B2">
        <w:rPr>
          <w:rFonts w:ascii="Palatino Linotype" w:hAnsi="Palatino Linotype"/>
          <w:sz w:val="24"/>
          <w:szCs w:val="24"/>
          <w:vertAlign w:val="subscript"/>
          <w:lang w:val="en-US"/>
        </w:rPr>
        <w:t>2</w:t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= 4:1. The experimental and nominal loading agreed, i.e. 20% (See Figure </w:t>
      </w:r>
      <w:r w:rsidR="006458DE" w:rsidRPr="001002B2">
        <w:rPr>
          <w:rFonts w:ascii="Palatino Linotype" w:hAnsi="Palatino Linotype"/>
          <w:sz w:val="24"/>
          <w:szCs w:val="24"/>
          <w:lang w:val="en-US"/>
        </w:rPr>
        <w:t>2</w:t>
      </w:r>
      <w:r w:rsidRPr="001002B2">
        <w:rPr>
          <w:rFonts w:ascii="Palatino Linotype" w:hAnsi="Palatino Linotype"/>
          <w:sz w:val="24"/>
          <w:szCs w:val="24"/>
          <w:lang w:val="en-US"/>
        </w:rPr>
        <w:t>).</w:t>
      </w:r>
    </w:p>
    <w:p w14:paraId="3F44B638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63D236A" wp14:editId="39C6E39C">
            <wp:simplePos x="0" y="0"/>
            <wp:positionH relativeFrom="column">
              <wp:posOffset>114300</wp:posOffset>
            </wp:positionH>
            <wp:positionV relativeFrom="paragraph">
              <wp:posOffset>109855</wp:posOffset>
            </wp:positionV>
            <wp:extent cx="3803650" cy="2972435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4" t="22615" r="25107" b="14861"/>
                    <a:stretch/>
                  </pic:blipFill>
                  <pic:spPr bwMode="auto">
                    <a:xfrm>
                      <a:off x="0" y="0"/>
                      <a:ext cx="3803650" cy="297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F6805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4C167450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1478FB81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0055408F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619A665E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7B561BBB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3172DFA1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1EF9DF5C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72FA84EA" w14:textId="77777777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0FCA0391" w14:textId="40E8752A" w:rsidR="0010697D" w:rsidRPr="001002B2" w:rsidRDefault="0010697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Figure </w:t>
      </w:r>
      <w:r w:rsidR="00703553" w:rsidRPr="001002B2">
        <w:rPr>
          <w:rFonts w:ascii="Palatino Linotype" w:hAnsi="Palatino Linotype"/>
          <w:b/>
          <w:bCs/>
          <w:sz w:val="24"/>
          <w:szCs w:val="24"/>
          <w:lang w:val="en-US"/>
        </w:rPr>
        <w:t>2</w:t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. Thermogravimetric Analysis (TGA) of Platinum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Nnaocubes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at Vulcan </w:t>
      </w:r>
      <w:r w:rsidR="0079234F" w:rsidRPr="001002B2">
        <w:rPr>
          <w:rFonts w:ascii="Palatino Linotype" w:hAnsi="Palatino Linotype"/>
          <w:sz w:val="24"/>
          <w:szCs w:val="24"/>
          <w:lang w:val="en-US"/>
        </w:rPr>
        <w:t xml:space="preserve">XC-72R </w:t>
      </w:r>
      <w:r w:rsidRPr="001002B2">
        <w:rPr>
          <w:rFonts w:ascii="Palatino Linotype" w:hAnsi="Palatino Linotype"/>
          <w:sz w:val="24"/>
          <w:szCs w:val="24"/>
          <w:lang w:val="en-US"/>
        </w:rPr>
        <w:t>sample.</w:t>
      </w:r>
    </w:p>
    <w:p w14:paraId="361FF35C" w14:textId="77777777" w:rsidR="0079234F" w:rsidRPr="001002B2" w:rsidRDefault="0079234F" w:rsidP="001002B2">
      <w:pPr>
        <w:spacing w:line="276" w:lineRule="auto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br w:type="page"/>
      </w:r>
    </w:p>
    <w:p w14:paraId="130B41C4" w14:textId="6F0BE368" w:rsidR="00EA476C" w:rsidRPr="001002B2" w:rsidRDefault="005B4DBE" w:rsidP="001002B2">
      <w:pPr>
        <w:pStyle w:val="ListParagraph"/>
        <w:numPr>
          <w:ilvl w:val="0"/>
          <w:numId w:val="1"/>
        </w:numPr>
        <w:spacing w:line="276" w:lineRule="auto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31C71136" wp14:editId="1435373E">
            <wp:simplePos x="0" y="0"/>
            <wp:positionH relativeFrom="margin">
              <wp:posOffset>390525</wp:posOffset>
            </wp:positionH>
            <wp:positionV relativeFrom="paragraph">
              <wp:posOffset>3905250</wp:posOffset>
            </wp:positionV>
            <wp:extent cx="5746364" cy="3322385"/>
            <wp:effectExtent l="0" t="0" r="698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64" cy="332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76C"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Temperature profile </w:t>
      </w:r>
      <w:r w:rsidR="009138E2" w:rsidRPr="001002B2">
        <w:rPr>
          <w:rFonts w:ascii="Palatino Linotype" w:hAnsi="Palatino Linotype"/>
          <w:b/>
          <w:bCs/>
          <w:sz w:val="24"/>
          <w:szCs w:val="24"/>
          <w:lang w:val="en-US"/>
        </w:rPr>
        <w:t>:</w:t>
      </w:r>
      <w:r w:rsidR="00D933ED"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  </w:t>
      </w:r>
    </w:p>
    <w:p w14:paraId="59ADDD0B" w14:textId="59F81A87" w:rsidR="00D933ED" w:rsidRPr="001002B2" w:rsidRDefault="00D933ED" w:rsidP="001002B2">
      <w:pPr>
        <w:spacing w:line="276" w:lineRule="auto"/>
        <w:ind w:left="360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sz w:val="24"/>
          <w:szCs w:val="24"/>
          <w:lang w:val="en-US"/>
        </w:rPr>
        <w:t xml:space="preserve">The 1st plot shows PCM cabin temperature in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degC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from Final Cargo Load until Hatch open.  The 2nd plot is a “zoomed in” section that focuses on capture day</w:t>
      </w:r>
    </w:p>
    <w:p w14:paraId="05D76AD3" w14:textId="77777777" w:rsidR="00A332F0" w:rsidRPr="001002B2" w:rsidRDefault="00A332F0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</w:p>
    <w:p w14:paraId="3B6A8DE8" w14:textId="10897EF0" w:rsidR="00B40E29" w:rsidRPr="001002B2" w:rsidRDefault="00D933ED" w:rsidP="001002B2">
      <w:pPr>
        <w:spacing w:line="276" w:lineRule="auto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19D834E" wp14:editId="2596B352">
            <wp:simplePos x="0" y="0"/>
            <wp:positionH relativeFrom="margin">
              <wp:align>right</wp:align>
            </wp:positionH>
            <wp:positionV relativeFrom="paragraph">
              <wp:posOffset>465455</wp:posOffset>
            </wp:positionV>
            <wp:extent cx="5784850" cy="3324225"/>
            <wp:effectExtent l="0" t="0" r="635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AFA9B" w14:textId="77777777" w:rsidR="00A332F0" w:rsidRPr="001002B2" w:rsidRDefault="00A332F0" w:rsidP="001002B2">
      <w:pPr>
        <w:spacing w:line="276" w:lineRule="auto"/>
        <w:ind w:left="360"/>
        <w:rPr>
          <w:rFonts w:ascii="Palatino Linotype" w:hAnsi="Palatino Linotype"/>
          <w:b/>
          <w:bCs/>
          <w:sz w:val="24"/>
          <w:szCs w:val="24"/>
          <w:lang w:val="en-US"/>
        </w:rPr>
      </w:pPr>
    </w:p>
    <w:p w14:paraId="26599F64" w14:textId="77777777" w:rsidR="00A332F0" w:rsidRPr="001002B2" w:rsidRDefault="00A332F0" w:rsidP="001002B2">
      <w:pPr>
        <w:spacing w:line="276" w:lineRule="auto"/>
        <w:ind w:left="360"/>
        <w:rPr>
          <w:rFonts w:ascii="Palatino Linotype" w:hAnsi="Palatino Linotype"/>
          <w:b/>
          <w:bCs/>
          <w:sz w:val="24"/>
          <w:szCs w:val="24"/>
          <w:lang w:val="en-US"/>
        </w:rPr>
      </w:pPr>
    </w:p>
    <w:p w14:paraId="78AA325B" w14:textId="77777777" w:rsidR="00A332F0" w:rsidRPr="001002B2" w:rsidRDefault="00A332F0" w:rsidP="001002B2">
      <w:pPr>
        <w:spacing w:line="276" w:lineRule="auto"/>
        <w:ind w:left="360"/>
        <w:rPr>
          <w:rFonts w:ascii="Palatino Linotype" w:hAnsi="Palatino Linotype"/>
          <w:b/>
          <w:bCs/>
          <w:sz w:val="24"/>
          <w:szCs w:val="24"/>
          <w:lang w:val="en-US"/>
        </w:rPr>
      </w:pPr>
    </w:p>
    <w:p w14:paraId="48443334" w14:textId="0FFE28DD" w:rsidR="00D933ED" w:rsidRPr="001002B2" w:rsidRDefault="00402200" w:rsidP="001002B2">
      <w:pPr>
        <w:spacing w:line="276" w:lineRule="auto"/>
        <w:ind w:left="360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161B8729" wp14:editId="4B43E90D">
            <wp:simplePos x="0" y="0"/>
            <wp:positionH relativeFrom="column">
              <wp:posOffset>-612775</wp:posOffset>
            </wp:positionH>
            <wp:positionV relativeFrom="paragraph">
              <wp:posOffset>249555</wp:posOffset>
            </wp:positionV>
            <wp:extent cx="3270885" cy="1105535"/>
            <wp:effectExtent l="0" t="0" r="571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2B2"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7C09BA3" wp14:editId="515E3E30">
            <wp:simplePos x="0" y="0"/>
            <wp:positionH relativeFrom="column">
              <wp:posOffset>2858400</wp:posOffset>
            </wp:positionH>
            <wp:positionV relativeFrom="paragraph">
              <wp:posOffset>210142</wp:posOffset>
            </wp:positionV>
            <wp:extent cx="968236" cy="109847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24" cy="110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2F0"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V. </w:t>
      </w:r>
      <w:r w:rsidR="009A1DF7"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Electrochemical Cell </w:t>
      </w:r>
      <w:proofErr w:type="spellStart"/>
      <w:r w:rsidR="009A1DF7" w:rsidRPr="001002B2">
        <w:rPr>
          <w:rFonts w:ascii="Palatino Linotype" w:hAnsi="Palatino Linotype"/>
          <w:b/>
          <w:bCs/>
          <w:sz w:val="24"/>
          <w:szCs w:val="24"/>
          <w:lang w:val="en-US"/>
        </w:rPr>
        <w:t>Arrey</w:t>
      </w:r>
      <w:proofErr w:type="spellEnd"/>
    </w:p>
    <w:p w14:paraId="248FC97D" w14:textId="660CB164" w:rsidR="00D933ED" w:rsidRPr="001002B2" w:rsidRDefault="00D933ED" w:rsidP="001002B2">
      <w:pPr>
        <w:spacing w:line="276" w:lineRule="auto"/>
        <w:rPr>
          <w:rFonts w:ascii="Palatino Linotype" w:hAnsi="Palatino Linotype"/>
          <w:b/>
          <w:bCs/>
          <w:sz w:val="24"/>
          <w:szCs w:val="24"/>
          <w:lang w:val="en-US"/>
        </w:rPr>
      </w:pPr>
    </w:p>
    <w:p w14:paraId="7FD6B875" w14:textId="5A627A1C" w:rsidR="00A332F0" w:rsidRPr="001002B2" w:rsidRDefault="00703553" w:rsidP="001002B2">
      <w:pPr>
        <w:pStyle w:val="ListParagraph"/>
        <w:spacing w:line="276" w:lineRule="auto"/>
        <w:ind w:left="1080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C: Counter Electrode</w:t>
      </w:r>
    </w:p>
    <w:p w14:paraId="0EF36F19" w14:textId="06197B7D" w:rsidR="00703553" w:rsidRPr="001002B2" w:rsidRDefault="00703553" w:rsidP="001002B2">
      <w:pPr>
        <w:pStyle w:val="ListParagraph"/>
        <w:spacing w:line="276" w:lineRule="auto"/>
        <w:ind w:left="1080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W: Carbon Working Electrode</w:t>
      </w:r>
    </w:p>
    <w:p w14:paraId="1AA30B9B" w14:textId="4CFB38F9" w:rsidR="00703553" w:rsidRPr="001002B2" w:rsidRDefault="00703553" w:rsidP="001002B2">
      <w:pPr>
        <w:pStyle w:val="ListParagraph"/>
        <w:spacing w:line="276" w:lineRule="auto"/>
        <w:ind w:left="1080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R: Ag quasi reference electrode (</w:t>
      </w:r>
      <w:proofErr w:type="spellStart"/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AgQRE</w:t>
      </w:r>
      <w:proofErr w:type="spellEnd"/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)</w:t>
      </w:r>
    </w:p>
    <w:p w14:paraId="4E03197A" w14:textId="77777777" w:rsidR="00402200" w:rsidRPr="001002B2" w:rsidRDefault="00402200" w:rsidP="001002B2">
      <w:pPr>
        <w:pStyle w:val="ListParagraph"/>
        <w:spacing w:line="276" w:lineRule="auto"/>
        <w:ind w:left="1080"/>
        <w:rPr>
          <w:rFonts w:ascii="Palatino Linotype" w:hAnsi="Palatino Linotype"/>
          <w:b/>
          <w:bCs/>
          <w:sz w:val="24"/>
          <w:szCs w:val="24"/>
          <w:lang w:val="en-US"/>
        </w:rPr>
      </w:pPr>
    </w:p>
    <w:p w14:paraId="771470A5" w14:textId="4888031D" w:rsidR="00D933ED" w:rsidRPr="001002B2" w:rsidRDefault="00D933ED" w:rsidP="001002B2">
      <w:pPr>
        <w:pStyle w:val="ListParagraph"/>
        <w:numPr>
          <w:ilvl w:val="0"/>
          <w:numId w:val="1"/>
        </w:numPr>
        <w:spacing w:line="276" w:lineRule="auto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1E0CD8A0" wp14:editId="67B8C8C9">
            <wp:simplePos x="0" y="0"/>
            <wp:positionH relativeFrom="page">
              <wp:posOffset>2066925</wp:posOffset>
            </wp:positionH>
            <wp:positionV relativeFrom="paragraph">
              <wp:posOffset>501015</wp:posOffset>
            </wp:positionV>
            <wp:extent cx="4897755" cy="4361180"/>
            <wp:effectExtent l="0" t="0" r="444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436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17B" w:rsidRPr="001002B2">
        <w:rPr>
          <w:rFonts w:ascii="Palatino Linotype" w:hAnsi="Palatino Linotype"/>
          <w:b/>
          <w:bCs/>
          <w:sz w:val="24"/>
          <w:szCs w:val="24"/>
          <w:lang w:val="en-US"/>
        </w:rPr>
        <w:t>Cyclic Voltammetry</w:t>
      </w:r>
    </w:p>
    <w:p w14:paraId="14A57C9A" w14:textId="3968739D" w:rsidR="0039717B" w:rsidRPr="001002B2" w:rsidRDefault="0039717B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Figure </w:t>
      </w:r>
      <w:r w:rsidR="00703553" w:rsidRPr="001002B2">
        <w:rPr>
          <w:rFonts w:ascii="Palatino Linotype" w:hAnsi="Palatino Linotype"/>
          <w:b/>
          <w:bCs/>
          <w:sz w:val="24"/>
          <w:szCs w:val="24"/>
          <w:lang w:val="en-US"/>
        </w:rPr>
        <w:t>3.</w:t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="00703553" w:rsidRPr="001002B2">
        <w:rPr>
          <w:rFonts w:ascii="Palatino Linotype" w:hAnsi="Palatino Linotype" w:cstheme="majorHAnsi"/>
          <w:sz w:val="24"/>
          <w:szCs w:val="24"/>
          <w:lang w:val="en-US"/>
        </w:rPr>
        <w:t xml:space="preserve">Cyclic voltammetry profiles </w:t>
      </w:r>
      <w:proofErr w:type="spellStart"/>
      <w:r w:rsidR="00703553" w:rsidRPr="001002B2">
        <w:rPr>
          <w:rFonts w:ascii="Palatino Linotype" w:hAnsi="Palatino Linotype" w:cstheme="majorHAnsi"/>
          <w:sz w:val="24"/>
          <w:szCs w:val="24"/>
          <w:lang w:val="en-US"/>
        </w:rPr>
        <w:t>nanocube</w:t>
      </w:r>
      <w:proofErr w:type="spellEnd"/>
      <w:r w:rsidR="00703553" w:rsidRPr="001002B2">
        <w:rPr>
          <w:rFonts w:ascii="Palatino Linotype" w:hAnsi="Palatino Linotype" w:cstheme="majorHAnsi"/>
          <w:sz w:val="24"/>
          <w:szCs w:val="24"/>
          <w:lang w:val="en-US"/>
        </w:rPr>
        <w:t xml:space="preserve"> Pt nanoparticle-Vulcan electrode in 0.05M (NH</w:t>
      </w:r>
      <w:r w:rsidR="00703553" w:rsidRPr="001002B2">
        <w:rPr>
          <w:rFonts w:ascii="Palatino Linotype" w:hAnsi="Palatino Linotype" w:cstheme="majorHAnsi"/>
          <w:sz w:val="24"/>
          <w:szCs w:val="24"/>
          <w:vertAlign w:val="subscript"/>
          <w:lang w:val="en-US"/>
        </w:rPr>
        <w:t>4</w:t>
      </w:r>
      <w:r w:rsidR="00703553" w:rsidRPr="001002B2">
        <w:rPr>
          <w:rFonts w:ascii="Palatino Linotype" w:hAnsi="Palatino Linotype" w:cstheme="majorHAnsi"/>
          <w:sz w:val="24"/>
          <w:szCs w:val="24"/>
          <w:lang w:val="en-US"/>
        </w:rPr>
        <w:t>)</w:t>
      </w:r>
      <w:r w:rsidR="00703553" w:rsidRPr="001002B2">
        <w:rPr>
          <w:rFonts w:ascii="Palatino Linotype" w:hAnsi="Palatino Linotype" w:cstheme="majorHAnsi"/>
          <w:sz w:val="24"/>
          <w:szCs w:val="24"/>
          <w:vertAlign w:val="subscript"/>
          <w:lang w:val="en-US"/>
        </w:rPr>
        <w:t>2</w:t>
      </w:r>
      <w:r w:rsidR="00703553" w:rsidRPr="001002B2">
        <w:rPr>
          <w:rFonts w:ascii="Palatino Linotype" w:hAnsi="Palatino Linotype" w:cstheme="majorHAnsi"/>
          <w:sz w:val="24"/>
          <w:szCs w:val="24"/>
          <w:lang w:val="en-US"/>
        </w:rPr>
        <w:t>SO</w:t>
      </w:r>
      <w:r w:rsidR="00703553" w:rsidRPr="001002B2">
        <w:rPr>
          <w:rFonts w:ascii="Palatino Linotype" w:hAnsi="Palatino Linotype" w:cstheme="majorHAnsi"/>
          <w:sz w:val="24"/>
          <w:szCs w:val="24"/>
          <w:vertAlign w:val="subscript"/>
          <w:lang w:val="en-US"/>
        </w:rPr>
        <w:t>4</w:t>
      </w:r>
      <w:r w:rsidR="00703553" w:rsidRPr="001002B2">
        <w:rPr>
          <w:rFonts w:ascii="Palatino Linotype" w:hAnsi="Palatino Linotype" w:cstheme="majorHAnsi"/>
          <w:sz w:val="24"/>
          <w:szCs w:val="24"/>
          <w:lang w:val="en-US"/>
        </w:rPr>
        <w:t xml:space="preserve"> and 0.18 M NaOH at pH 12.9 at scan rate of 10mV/s</w:t>
      </w:r>
      <w:r w:rsidR="00703553" w:rsidRPr="001002B2">
        <w:rPr>
          <w:rFonts w:ascii="Palatino Linotype" w:hAnsi="Palatino Linotype"/>
          <w:sz w:val="24"/>
          <w:szCs w:val="24"/>
          <w:lang w:val="en-US"/>
        </w:rPr>
        <w:t xml:space="preserve">. </w:t>
      </w:r>
      <w:r w:rsidR="006C2EE3" w:rsidRPr="001002B2">
        <w:rPr>
          <w:rFonts w:ascii="Palatino Linotype" w:hAnsi="Palatino Linotype"/>
          <w:sz w:val="24"/>
          <w:szCs w:val="24"/>
          <w:lang w:val="en-US"/>
        </w:rPr>
        <w:t>First cycle of each experiment on gr</w:t>
      </w:r>
      <w:r w:rsidR="00EB101C" w:rsidRPr="001002B2">
        <w:rPr>
          <w:rFonts w:ascii="Palatino Linotype" w:hAnsi="Palatino Linotype"/>
          <w:sz w:val="24"/>
          <w:szCs w:val="24"/>
          <w:lang w:val="en-US"/>
        </w:rPr>
        <w:t>o</w:t>
      </w:r>
      <w:r w:rsidR="006C2EE3" w:rsidRPr="001002B2">
        <w:rPr>
          <w:rFonts w:ascii="Palatino Linotype" w:hAnsi="Palatino Linotype"/>
          <w:sz w:val="24"/>
          <w:szCs w:val="24"/>
          <w:lang w:val="en-US"/>
        </w:rPr>
        <w:t>und (</w:t>
      </w:r>
      <w:proofErr w:type="spellStart"/>
      <w:r w:rsidR="006C2EE3" w:rsidRPr="001002B2">
        <w:rPr>
          <w:rFonts w:ascii="Palatino Linotype" w:hAnsi="Palatino Linotype"/>
          <w:sz w:val="24"/>
          <w:szCs w:val="24"/>
          <w:lang w:val="en-US"/>
        </w:rPr>
        <w:t>og</w:t>
      </w:r>
      <w:proofErr w:type="spellEnd"/>
      <w:r w:rsidR="006C2EE3" w:rsidRPr="001002B2">
        <w:rPr>
          <w:rFonts w:ascii="Palatino Linotype" w:hAnsi="Palatino Linotype"/>
          <w:sz w:val="24"/>
          <w:szCs w:val="24"/>
          <w:lang w:val="en-US"/>
        </w:rPr>
        <w:t>) and on</w:t>
      </w:r>
      <w:r w:rsidR="00EB101C" w:rsidRPr="001002B2">
        <w:rPr>
          <w:rFonts w:ascii="Palatino Linotype" w:hAnsi="Palatino Linotype"/>
          <w:sz w:val="24"/>
          <w:szCs w:val="24"/>
          <w:lang w:val="en-US"/>
        </w:rPr>
        <w:t>-</w:t>
      </w:r>
      <w:r w:rsidR="006C2EE3" w:rsidRPr="001002B2">
        <w:rPr>
          <w:rFonts w:ascii="Palatino Linotype" w:hAnsi="Palatino Linotype"/>
          <w:sz w:val="24"/>
          <w:szCs w:val="24"/>
          <w:lang w:val="en-US"/>
        </w:rPr>
        <w:t>orbit (</w:t>
      </w:r>
      <w:proofErr w:type="spellStart"/>
      <w:r w:rsidR="006C2EE3" w:rsidRPr="001002B2">
        <w:rPr>
          <w:rFonts w:ascii="Palatino Linotype" w:hAnsi="Palatino Linotype"/>
          <w:sz w:val="24"/>
          <w:szCs w:val="24"/>
          <w:lang w:val="en-US"/>
        </w:rPr>
        <w:t>oo</w:t>
      </w:r>
      <w:proofErr w:type="spellEnd"/>
      <w:r w:rsidR="006C2EE3" w:rsidRPr="001002B2">
        <w:rPr>
          <w:rFonts w:ascii="Palatino Linotype" w:hAnsi="Palatino Linotype"/>
          <w:sz w:val="24"/>
          <w:szCs w:val="24"/>
          <w:lang w:val="en-US"/>
        </w:rPr>
        <w:t>)</w:t>
      </w:r>
      <w:r w:rsidR="00EB101C" w:rsidRPr="001002B2">
        <w:rPr>
          <w:rFonts w:ascii="Palatino Linotype" w:hAnsi="Palatino Linotype"/>
          <w:sz w:val="24"/>
          <w:szCs w:val="24"/>
          <w:lang w:val="en-US"/>
        </w:rPr>
        <w:t>.</w:t>
      </w:r>
    </w:p>
    <w:p w14:paraId="5B0188DF" w14:textId="3FB7634A" w:rsidR="00611EC8" w:rsidRPr="001002B2" w:rsidRDefault="001002B2" w:rsidP="001002B2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Palatino Linotype" w:hAnsi="Palatino Linotype"/>
          <w:b/>
          <w:bCs/>
          <w:sz w:val="24"/>
          <w:szCs w:val="24"/>
          <w:lang w:val="en-US"/>
        </w:rPr>
      </w:pPr>
      <w:proofErr w:type="spellStart"/>
      <w:r w:rsidRPr="001002B2">
        <w:rPr>
          <w:rFonts w:ascii="Palatino Linotype" w:hAnsi="Palatino Linotype"/>
          <w:b/>
          <w:bCs/>
          <w:i/>
          <w:sz w:val="24"/>
          <w:szCs w:val="24"/>
          <w:lang w:val="en-US"/>
        </w:rPr>
        <w:lastRenderedPageBreak/>
        <w:t>NuVant</w:t>
      </w:r>
      <w:proofErr w:type="spellEnd"/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 autonomous </w:t>
      </w:r>
      <w:proofErr w:type="spellStart"/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potentiostat</w:t>
      </w:r>
      <w:proofErr w:type="spellEnd"/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 with its main AELISS electrochemical system components</w:t>
      </w:r>
    </w:p>
    <w:p w14:paraId="64ECC786" w14:textId="77777777" w:rsidR="00611EC8" w:rsidRPr="001002B2" w:rsidRDefault="00611EC8" w:rsidP="001002B2">
      <w:pPr>
        <w:spacing w:line="276" w:lineRule="auto"/>
        <w:jc w:val="both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BA4740A" wp14:editId="6F04A209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4221697" cy="3401915"/>
            <wp:effectExtent l="0" t="0" r="0" b="8255"/>
            <wp:wrapTopAndBottom/>
            <wp:docPr id="2" name="Picture 2" descr="A close-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97" cy="340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AF4AD3" w14:textId="77777777" w:rsidR="00611EC8" w:rsidRPr="001002B2" w:rsidRDefault="00611EC8" w:rsidP="001002B2">
      <w:pPr>
        <w:spacing w:line="276" w:lineRule="auto"/>
        <w:jc w:val="both"/>
        <w:rPr>
          <w:rFonts w:ascii="Palatino Linotype" w:hAnsi="Palatino Linotype"/>
          <w:b/>
          <w:bCs/>
          <w:sz w:val="24"/>
          <w:szCs w:val="24"/>
          <w:lang w:val="en-US"/>
        </w:rPr>
      </w:pPr>
    </w:p>
    <w:p w14:paraId="61D6771D" w14:textId="171B1342" w:rsidR="00611EC8" w:rsidRPr="001002B2" w:rsidRDefault="00611EC8" w:rsidP="001002B2">
      <w:pPr>
        <w:spacing w:line="276" w:lineRule="auto"/>
        <w:jc w:val="both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Figure </w:t>
      </w: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4.</w:t>
      </w: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 </w:t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Picture of the </w:t>
      </w:r>
      <w:proofErr w:type="spellStart"/>
      <w:r w:rsidRPr="001002B2">
        <w:rPr>
          <w:rFonts w:ascii="Palatino Linotype" w:hAnsi="Palatino Linotype"/>
          <w:i/>
          <w:sz w:val="24"/>
          <w:szCs w:val="24"/>
          <w:lang w:val="en-US"/>
        </w:rPr>
        <w:t>NuVant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autonomous </w:t>
      </w:r>
      <w:proofErr w:type="spellStart"/>
      <w:r w:rsidRPr="001002B2">
        <w:rPr>
          <w:rFonts w:ascii="Palatino Linotype" w:hAnsi="Palatino Linotype"/>
          <w:sz w:val="24"/>
          <w:szCs w:val="24"/>
          <w:lang w:val="en-US"/>
        </w:rPr>
        <w:t>potentiostat</w:t>
      </w:r>
      <w:proofErr w:type="spellEnd"/>
      <w:r w:rsidRPr="001002B2">
        <w:rPr>
          <w:rFonts w:ascii="Palatino Linotype" w:hAnsi="Palatino Linotype"/>
          <w:sz w:val="24"/>
          <w:szCs w:val="24"/>
          <w:lang w:val="en-US"/>
        </w:rPr>
        <w:t xml:space="preserve"> with its main AELISS electrochemical system components.</w:t>
      </w:r>
    </w:p>
    <w:p w14:paraId="77282ADE" w14:textId="1428F265" w:rsidR="00611EC8" w:rsidRPr="001002B2" w:rsidRDefault="00611EC8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01E7D587" w14:textId="35F73E70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6923107A" w14:textId="013BF53C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743BBB43" w14:textId="328BE996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3C8CE241" w14:textId="03D0AB63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774BAB49" w14:textId="2CF703CF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1B59F272" w14:textId="64B6B583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505E41F9" w14:textId="4B15D010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1EDBD127" w14:textId="71F388C0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26D227CF" w14:textId="674E05FD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3748BA4A" w14:textId="7C1F7AA0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3FF86EAA" w14:textId="7C2108FE" w:rsidR="001002B2" w:rsidRPr="001002B2" w:rsidRDefault="001002B2" w:rsidP="001002B2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Palatino Linotype" w:hAnsi="Palatino Linotype"/>
          <w:b/>
          <w:bCs/>
          <w:sz w:val="24"/>
          <w:szCs w:val="24"/>
        </w:rPr>
      </w:pPr>
      <w:r w:rsidRPr="001002B2">
        <w:rPr>
          <w:rFonts w:ascii="Palatino Linotype" w:hAnsi="Palatino Linotype"/>
          <w:b/>
          <w:bCs/>
          <w:sz w:val="24"/>
          <w:szCs w:val="24"/>
        </w:rPr>
        <w:t>Pressure Testing</w:t>
      </w:r>
    </w:p>
    <w:p w14:paraId="38BA3CC9" w14:textId="76639ED9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sz w:val="24"/>
          <w:szCs w:val="24"/>
          <w:lang w:val="en-US"/>
        </w:rPr>
        <w:br/>
      </w:r>
      <w:r w:rsidRPr="001002B2">
        <w:rPr>
          <w:rFonts w:ascii="Palatino Linotype" w:hAnsi="Palatino Linotype"/>
          <w:sz w:val="24"/>
          <w:szCs w:val="24"/>
          <w:lang w:val="en-US"/>
        </w:rPr>
        <w:tab/>
        <w:t>Payload leak tests are considered adjunctive to payload qualification acceptance tests which are part of the success criteria for NASA approval. The suggested methods to test an "external-to-internal" payload, where the pressure may change, and mass loss may be lost after vacuum exposure, were explored.</w:t>
      </w:r>
      <w:r w:rsidRPr="001002B2">
        <w:rPr>
          <w:rFonts w:ascii="Palatino Linotype" w:hAnsi="Palatino Linotype"/>
          <w:sz w:val="24"/>
          <w:szCs w:val="24"/>
        </w:rPr>
        <w:fldChar w:fldCharType="begin"/>
      </w:r>
      <w:r w:rsidR="00B87583" w:rsidRPr="00B87583">
        <w:rPr>
          <w:rFonts w:ascii="Palatino Linotype" w:hAnsi="Palatino Linotype"/>
          <w:sz w:val="24"/>
          <w:szCs w:val="24"/>
          <w:lang w:val="en-US"/>
        </w:rPr>
        <w:instrText xml:space="preserve"> ADDIN EN.CITE &lt;EndNote&gt;&lt;Cite&gt;&lt;Author&gt;Lvovsky&lt;/Author&gt;&lt;Year&gt;2010&lt;/Year&gt;&lt;RecNum&gt;0&lt;/RecNum&gt;&lt;IDText&gt;Aerospace Payloads Leak Test Methodology&lt;/IDText&gt;&lt;DisplayText&gt;&lt;style face="superscript"&gt;1&lt;/style&gt;&lt;/DisplayText&gt;&lt;record&gt;&lt;work-type&gt;Spacecraft Design,Testing and Performance&lt;/work-type&gt;&lt;titles&gt;&lt;title&gt;Aerospace Payloads Leak Test Methodology&lt;/title&gt;&lt;secondary-title&gt;American Society for Nondestructive Testing Fall Conference&lt;/secondary-title&gt;&lt;/titles&gt;&lt;contributors&gt;&lt;authors&gt;&lt;author&gt;Lvovsky,   Oleg&lt;/author&gt;&lt;author&gt;Grayson,   Cynthia M&lt;/author&gt;&lt;/authors&gt;&lt;/contributors&gt;&lt;section&gt;JSC-CN-21358&lt;/section&gt;&lt;added-date format="utc"&gt;1619457999&lt;/added-date&gt;&lt;pub-location&gt;Houston, TX, United States&lt;/pub-location&gt;&lt;ref-type name="Conference Paper"&gt;47&lt;/ref-type&gt;&lt;dates&gt;&lt;year&gt;2010&lt;/year&gt;&lt;/dates&gt;&lt;rec-number&gt;608&lt;/rec-number&gt;&lt;publisher&gt;NASA&lt;/publisher&gt;&lt;last-updated-date format="utc"&gt;1619473259&lt;/last-updated-date&gt;&lt;/record&gt;&lt;/Cite&gt;&lt;/EndNote&gt;</w:instrText>
      </w:r>
      <w:r w:rsidRPr="001002B2">
        <w:rPr>
          <w:rFonts w:ascii="Palatino Linotype" w:hAnsi="Palatino Linotype"/>
          <w:sz w:val="24"/>
          <w:szCs w:val="24"/>
        </w:rPr>
        <w:fldChar w:fldCharType="separate"/>
      </w:r>
      <w:r w:rsidR="00B87583" w:rsidRPr="00B87583">
        <w:rPr>
          <w:rFonts w:ascii="Palatino Linotype" w:hAnsi="Palatino Linotype"/>
          <w:noProof/>
          <w:sz w:val="24"/>
          <w:szCs w:val="24"/>
          <w:vertAlign w:val="superscript"/>
          <w:lang w:val="en-US"/>
        </w:rPr>
        <w:t>1</w:t>
      </w:r>
      <w:r w:rsidRPr="001002B2">
        <w:rPr>
          <w:rFonts w:ascii="Palatino Linotype" w:hAnsi="Palatino Linotype"/>
          <w:sz w:val="24"/>
          <w:szCs w:val="24"/>
        </w:rPr>
        <w:fldChar w:fldCharType="end"/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 Pressure testing was done to ensure that the barbed unions and flow bolts could hold the ammonia solution flow without leaking. A summary of the tests performed for each containment is included in </w:t>
      </w:r>
      <w:r w:rsidRPr="001002B2">
        <w:rPr>
          <w:rFonts w:ascii="Palatino Linotype" w:hAnsi="Palatino Linotype"/>
          <w:b/>
          <w:sz w:val="24"/>
          <w:szCs w:val="24"/>
          <w:lang w:val="en-US"/>
        </w:rPr>
        <w:t>Table 4</w:t>
      </w:r>
      <w:r w:rsidRPr="001002B2">
        <w:rPr>
          <w:rFonts w:ascii="Palatino Linotype" w:hAnsi="Palatino Linotype"/>
          <w:sz w:val="24"/>
          <w:szCs w:val="24"/>
          <w:lang w:val="en-US"/>
        </w:rPr>
        <w:t>. Phenolphthalein was used as a pH indicator since it is colorless at neutral pH and changes color to red-violet at pH higher than 8.</w:t>
      </w:r>
      <w:r w:rsidRPr="001002B2">
        <w:rPr>
          <w:rFonts w:ascii="Palatino Linotype" w:hAnsi="Palatino Linotype"/>
          <w:sz w:val="24"/>
          <w:szCs w:val="24"/>
        </w:rPr>
        <w:fldChar w:fldCharType="begin"/>
      </w:r>
      <w:r w:rsidR="00B87583" w:rsidRPr="00B87583">
        <w:rPr>
          <w:rFonts w:ascii="Palatino Linotype" w:hAnsi="Palatino Linotype"/>
          <w:sz w:val="24"/>
          <w:szCs w:val="24"/>
          <w:lang w:val="en-US"/>
        </w:rPr>
        <w:instrText xml:space="preserve"> ADDIN EN.CITE &lt;EndNote&gt;&lt;Cite&gt;&lt;Author&gt;Harris&lt;/Author&gt;&lt;Year&gt;2007&lt;/Year&gt;&lt;RecNum&gt;0&lt;/RecNum&gt;&lt;IDText&gt;Quantitative Chemical Analysis&lt;/IDText&gt;&lt;DisplayText&gt;&lt;style face="superscript"&gt;2&lt;/style&gt;&lt;/DisplayText&gt;&lt;record&gt;&lt;contributors&gt;&lt;tertiary-authors&gt;&lt;author&gt;Louise Mary&lt;/author&gt;&lt;/tertiary-authors&gt;&lt;/contributors&gt;&lt;isbn&gt;0-7167-7041-5&lt;/isbn&gt;&lt;titles&gt;&lt;title&gt;Quantitative Chemical Analysis&lt;/title&gt;&lt;/titles&gt;&lt;pages&gt;555&lt;/pages&gt;&lt;contributors&gt;&lt;authors&gt;&lt;author&gt;Harris, Daniel C&lt;/author&gt;&lt;/authors&gt;&lt;/contributors&gt;&lt;edition&gt;7th&lt;/edition&gt;&lt;added-date format="utc"&gt;1619473489&lt;/added-date&gt;&lt;pub-location&gt;New York, USA&lt;/pub-location&gt;&lt;ref-type name="Book"&gt;6&lt;/ref-type&gt;&lt;dates&gt;&lt;year&gt;2007&lt;/year&gt;&lt;/dates&gt;&lt;rec-number&gt;617&lt;/rec-number&gt;&lt;publisher&gt;Craig Bleyer&lt;/publisher&gt;&lt;last-updated-date format="utc"&gt;1619473728&lt;/last-updated-date&gt;&lt;/record&gt;&lt;/Cite&gt;&lt;Cite&gt;&lt;Author&gt;Harris&lt;/Author&gt;&lt;Year&gt;2007&lt;/Year&gt;&lt;RecNum&gt;0&lt;/RecNum&gt;&lt;IDText&gt;Quantitative Chemical Analysis&lt;/IDText&gt;&lt;record&gt;&lt;contributors&gt;&lt;tertiary-authors&gt;&lt;author&gt;Louise Mary&lt;/author&gt;&lt;/tertiary-authors&gt;&lt;/contributors&gt;&lt;isbn&gt;0-7167-7041-5&lt;/isbn&gt;&lt;titles&gt;&lt;title&gt;Quantitative Chemical Analysis&lt;/title&gt;&lt;/titles&gt;&lt;pages&gt;555&lt;/pages&gt;&lt;contributors&gt;&lt;authors&gt;&lt;author&gt;Harris, Daniel C&lt;/author&gt;&lt;/authors&gt;&lt;/contributors&gt;&lt;edition&gt;7th&lt;/edition&gt;&lt;added-date format="utc"&gt;1619473489&lt;/added-date&gt;&lt;pub-location&gt;New York, USA&lt;/pub-location&gt;&lt;ref-type name="Book"&gt;6&lt;/ref-type&gt;&lt;dates&gt;&lt;year&gt;2007&lt;/year&gt;&lt;/dates&gt;&lt;rec-number&gt;617&lt;/rec-number&gt;&lt;publisher&gt;Craig Bley</w:instrText>
      </w:r>
      <w:r w:rsidR="00B87583">
        <w:rPr>
          <w:rFonts w:ascii="Palatino Linotype" w:hAnsi="Palatino Linotype"/>
          <w:sz w:val="24"/>
          <w:szCs w:val="24"/>
        </w:rPr>
        <w:instrText>er&lt;/publisher&gt;&lt;last-updated-date format="utc"&gt;1619473728&lt;/last-updated-date&gt;&lt;/record&gt;&lt;/Cite&gt;&lt;/EndNote&gt;</w:instrText>
      </w:r>
      <w:r w:rsidRPr="001002B2">
        <w:rPr>
          <w:rFonts w:ascii="Palatino Linotype" w:hAnsi="Palatino Linotype"/>
          <w:sz w:val="24"/>
          <w:szCs w:val="24"/>
        </w:rPr>
        <w:fldChar w:fldCharType="separate"/>
      </w:r>
      <w:r w:rsidR="00B87583" w:rsidRPr="00B87583">
        <w:rPr>
          <w:rFonts w:ascii="Palatino Linotype" w:hAnsi="Palatino Linotype"/>
          <w:noProof/>
          <w:sz w:val="24"/>
          <w:szCs w:val="24"/>
          <w:vertAlign w:val="superscript"/>
          <w:lang w:val="en-US"/>
        </w:rPr>
        <w:t>2</w:t>
      </w:r>
      <w:r w:rsidRPr="001002B2">
        <w:rPr>
          <w:rFonts w:ascii="Palatino Linotype" w:hAnsi="Palatino Linotype"/>
          <w:sz w:val="24"/>
          <w:szCs w:val="24"/>
        </w:rPr>
        <w:fldChar w:fldCharType="end"/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 The testing procedure was the following: First, the containment was sealed as expected for the final launch, sprayed with the indicator to identify possible leakage. Afterward, it was exposed to a vacuum for 5 minutes inside a non-powered vacuum oven. The tests were done at room temperature.</w:t>
      </w:r>
    </w:p>
    <w:p w14:paraId="5BBABA5E" w14:textId="2C95C0A1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bCs/>
          <w:noProof/>
          <w:sz w:val="24"/>
          <w:szCs w:val="24"/>
          <w:vertAlign w:val="superscript"/>
          <w:lang w:val="en-US"/>
        </w:rPr>
      </w:pPr>
      <w:r w:rsidRPr="001002B2">
        <w:rPr>
          <w:rFonts w:ascii="Palatino Linotype" w:hAnsi="Palatino Linotype"/>
          <w:b/>
          <w:sz w:val="24"/>
          <w:szCs w:val="24"/>
          <w:lang w:val="en-US"/>
        </w:rPr>
        <w:t xml:space="preserve">Table </w:t>
      </w:r>
      <w:r w:rsidRPr="001002B2">
        <w:rPr>
          <w:rFonts w:ascii="Palatino Linotype" w:hAnsi="Palatino Linotype"/>
          <w:b/>
          <w:sz w:val="24"/>
          <w:szCs w:val="24"/>
          <w:lang w:val="en-US"/>
        </w:rPr>
        <w:t>1.</w:t>
      </w:r>
      <w:r w:rsidRPr="001002B2">
        <w:rPr>
          <w:rFonts w:ascii="Palatino Linotype" w:hAnsi="Palatino Linotype"/>
          <w:b/>
          <w:sz w:val="24"/>
          <w:szCs w:val="24"/>
          <w:lang w:val="en-US"/>
        </w:rPr>
        <w:t xml:space="preserve"> </w:t>
      </w:r>
      <w:r w:rsidRPr="001002B2">
        <w:rPr>
          <w:rFonts w:ascii="Palatino Linotype" w:hAnsi="Palatino Linotype"/>
          <w:bCs/>
          <w:sz w:val="24"/>
          <w:szCs w:val="24"/>
          <w:lang w:val="en-US"/>
        </w:rPr>
        <w:t>Summary of pressure and vacuum results.</w:t>
      </w:r>
    </w:p>
    <w:tbl>
      <w:tblPr>
        <w:tblStyle w:val="TableGrid"/>
        <w:tblpPr w:leftFromText="180" w:rightFromText="180" w:vertAnchor="text" w:horzAnchor="margin" w:tblpXSpec="right" w:tblpY="153"/>
        <w:tblW w:w="4613" w:type="pct"/>
        <w:tblLook w:val="04A0" w:firstRow="1" w:lastRow="0" w:firstColumn="1" w:lastColumn="0" w:noHBand="0" w:noVBand="1"/>
      </w:tblPr>
      <w:tblGrid>
        <w:gridCol w:w="1730"/>
        <w:gridCol w:w="1722"/>
        <w:gridCol w:w="1406"/>
        <w:gridCol w:w="1446"/>
        <w:gridCol w:w="2322"/>
      </w:tblGrid>
      <w:tr w:rsidR="001002B2" w:rsidRPr="001002B2" w14:paraId="27F5EC1C" w14:textId="77777777" w:rsidTr="00A719CA">
        <w:trPr>
          <w:trHeight w:val="892"/>
        </w:trPr>
        <w:tc>
          <w:tcPr>
            <w:tcW w:w="1003" w:type="pct"/>
            <w:shd w:val="clear" w:color="auto" w:fill="D9D9D9" w:themeFill="background1" w:themeFillShade="D9"/>
            <w:vAlign w:val="center"/>
          </w:tcPr>
          <w:p w14:paraId="258C8FB4" w14:textId="77777777" w:rsidR="001002B2" w:rsidRPr="001002B2" w:rsidRDefault="001002B2" w:rsidP="001002B2">
            <w:pPr>
              <w:spacing w:after="160" w:line="276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 w:cstheme="majorHAnsi"/>
                <w:b/>
                <w:bCs/>
                <w:sz w:val="24"/>
                <w:szCs w:val="24"/>
              </w:rPr>
              <w:t>Containment</w:t>
            </w:r>
          </w:p>
        </w:tc>
        <w:tc>
          <w:tcPr>
            <w:tcW w:w="998" w:type="pct"/>
            <w:shd w:val="clear" w:color="auto" w:fill="D9D9D9" w:themeFill="background1" w:themeFillShade="D9"/>
            <w:vAlign w:val="center"/>
          </w:tcPr>
          <w:p w14:paraId="1C71A0EB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/>
                <w:bCs/>
                <w:sz w:val="24"/>
                <w:szCs w:val="24"/>
              </w:rPr>
              <w:t>Weight ± 0.1 (g)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4E371782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/>
                <w:bCs/>
                <w:sz w:val="24"/>
                <w:szCs w:val="24"/>
              </w:rPr>
              <w:t>Pressure</w:t>
            </w: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 xml:space="preserve"> atm (30inHg)</w:t>
            </w:r>
          </w:p>
        </w:tc>
        <w:tc>
          <w:tcPr>
            <w:tcW w:w="838" w:type="pct"/>
            <w:shd w:val="clear" w:color="auto" w:fill="D9D9D9" w:themeFill="background1" w:themeFillShade="D9"/>
            <w:vAlign w:val="center"/>
          </w:tcPr>
          <w:p w14:paraId="328DC2A6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/>
                <w:bCs/>
                <w:sz w:val="24"/>
                <w:szCs w:val="24"/>
              </w:rPr>
              <w:t>Vacuum (inHg)</w:t>
            </w:r>
          </w:p>
        </w:tc>
        <w:tc>
          <w:tcPr>
            <w:tcW w:w="1346" w:type="pct"/>
            <w:shd w:val="clear" w:color="auto" w:fill="D9D9D9" w:themeFill="background1" w:themeFillShade="D9"/>
            <w:vAlign w:val="center"/>
          </w:tcPr>
          <w:p w14:paraId="03712DC7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/>
                <w:bCs/>
                <w:sz w:val="24"/>
                <w:szCs w:val="24"/>
              </w:rPr>
              <w:t>Findings</w:t>
            </w:r>
          </w:p>
        </w:tc>
      </w:tr>
      <w:tr w:rsidR="001002B2" w:rsidRPr="001002B2" w14:paraId="27DEDB07" w14:textId="77777777" w:rsidTr="00A719CA">
        <w:trPr>
          <w:trHeight w:val="433"/>
        </w:trPr>
        <w:tc>
          <w:tcPr>
            <w:tcW w:w="1003" w:type="pct"/>
            <w:vAlign w:val="center"/>
          </w:tcPr>
          <w:p w14:paraId="206FA638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8" w:type="pct"/>
            <w:vAlign w:val="center"/>
          </w:tcPr>
          <w:p w14:paraId="76488716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sz w:val="24"/>
                <w:szCs w:val="24"/>
              </w:rPr>
              <w:t>Before: 214.8</w:t>
            </w:r>
          </w:p>
          <w:p w14:paraId="5773418A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sz w:val="24"/>
                <w:szCs w:val="24"/>
              </w:rPr>
              <w:t>After:</w:t>
            </w: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 xml:space="preserve"> 214.7</w:t>
            </w:r>
          </w:p>
        </w:tc>
        <w:tc>
          <w:tcPr>
            <w:tcW w:w="815" w:type="pct"/>
            <w:vAlign w:val="center"/>
          </w:tcPr>
          <w:p w14:paraId="7BA6305C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1</w:t>
            </w:r>
          </w:p>
        </w:tc>
        <w:tc>
          <w:tcPr>
            <w:tcW w:w="838" w:type="pct"/>
            <w:vAlign w:val="center"/>
          </w:tcPr>
          <w:p w14:paraId="319A2279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78</w:t>
            </w:r>
          </w:p>
        </w:tc>
        <w:tc>
          <w:tcPr>
            <w:tcW w:w="1346" w:type="pct"/>
            <w:vAlign w:val="center"/>
          </w:tcPr>
          <w:p w14:paraId="012948EA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  <w:lang w:val="en-US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  <w:lang w:val="en-US"/>
              </w:rPr>
              <w:t>No loss of solution or pH change indicator identified</w:t>
            </w:r>
          </w:p>
        </w:tc>
      </w:tr>
      <w:tr w:rsidR="001002B2" w:rsidRPr="001002B2" w14:paraId="61593308" w14:textId="77777777" w:rsidTr="00A719CA">
        <w:trPr>
          <w:trHeight w:val="433"/>
        </w:trPr>
        <w:tc>
          <w:tcPr>
            <w:tcW w:w="1003" w:type="pct"/>
            <w:vAlign w:val="center"/>
          </w:tcPr>
          <w:p w14:paraId="2B8560DB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/>
                <w:bCs/>
                <w:sz w:val="24"/>
                <w:szCs w:val="24"/>
              </w:rPr>
              <w:t>1 and 2</w:t>
            </w:r>
          </w:p>
        </w:tc>
        <w:tc>
          <w:tcPr>
            <w:tcW w:w="998" w:type="pct"/>
            <w:vAlign w:val="center"/>
          </w:tcPr>
          <w:p w14:paraId="36E17136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Before: 643.0</w:t>
            </w:r>
          </w:p>
          <w:p w14:paraId="01C0F6EE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After: 642.9</w:t>
            </w:r>
          </w:p>
        </w:tc>
        <w:tc>
          <w:tcPr>
            <w:tcW w:w="815" w:type="pct"/>
            <w:vAlign w:val="center"/>
          </w:tcPr>
          <w:p w14:paraId="62CDBD35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1</w:t>
            </w:r>
          </w:p>
        </w:tc>
        <w:tc>
          <w:tcPr>
            <w:tcW w:w="838" w:type="pct"/>
            <w:vAlign w:val="center"/>
          </w:tcPr>
          <w:p w14:paraId="09E095AB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78</w:t>
            </w:r>
          </w:p>
        </w:tc>
        <w:tc>
          <w:tcPr>
            <w:tcW w:w="1346" w:type="pct"/>
            <w:vAlign w:val="center"/>
          </w:tcPr>
          <w:p w14:paraId="07DA6B76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  <w:lang w:val="en-US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  <w:lang w:val="en-US"/>
              </w:rPr>
              <w:t>No loss of solution or  pH change indicator identified</w:t>
            </w:r>
          </w:p>
        </w:tc>
      </w:tr>
      <w:tr w:rsidR="001002B2" w:rsidRPr="001002B2" w14:paraId="24BAAD50" w14:textId="77777777" w:rsidTr="00A719CA">
        <w:trPr>
          <w:trHeight w:val="325"/>
        </w:trPr>
        <w:tc>
          <w:tcPr>
            <w:tcW w:w="1003" w:type="pct"/>
            <w:vAlign w:val="center"/>
          </w:tcPr>
          <w:p w14:paraId="36079758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/>
                <w:bCs/>
                <w:sz w:val="24"/>
                <w:szCs w:val="24"/>
              </w:rPr>
              <w:t>1, 2 and 3</w:t>
            </w:r>
          </w:p>
        </w:tc>
        <w:tc>
          <w:tcPr>
            <w:tcW w:w="998" w:type="pct"/>
            <w:vAlign w:val="center"/>
          </w:tcPr>
          <w:p w14:paraId="5C45D1D9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Before: 661.7</w:t>
            </w:r>
          </w:p>
          <w:p w14:paraId="7D906B96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After: 661.6</w:t>
            </w:r>
          </w:p>
        </w:tc>
        <w:tc>
          <w:tcPr>
            <w:tcW w:w="815" w:type="pct"/>
            <w:vAlign w:val="center"/>
          </w:tcPr>
          <w:p w14:paraId="287C6011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1</w:t>
            </w:r>
          </w:p>
        </w:tc>
        <w:tc>
          <w:tcPr>
            <w:tcW w:w="838" w:type="pct"/>
            <w:vAlign w:val="center"/>
          </w:tcPr>
          <w:p w14:paraId="467E2858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</w:rPr>
              <w:t>78</w:t>
            </w:r>
          </w:p>
        </w:tc>
        <w:tc>
          <w:tcPr>
            <w:tcW w:w="1346" w:type="pct"/>
            <w:vAlign w:val="center"/>
          </w:tcPr>
          <w:p w14:paraId="70DE8C56" w14:textId="77777777" w:rsidR="001002B2" w:rsidRPr="001002B2" w:rsidRDefault="001002B2" w:rsidP="001002B2">
            <w:pPr>
              <w:spacing w:line="276" w:lineRule="auto"/>
              <w:jc w:val="center"/>
              <w:rPr>
                <w:rFonts w:ascii="Palatino Linotype" w:hAnsi="Palatino Linotype"/>
                <w:bCs/>
                <w:sz w:val="24"/>
                <w:szCs w:val="24"/>
                <w:lang w:val="en-US"/>
              </w:rPr>
            </w:pPr>
            <w:r w:rsidRPr="001002B2">
              <w:rPr>
                <w:rFonts w:ascii="Palatino Linotype" w:hAnsi="Palatino Linotype"/>
                <w:bCs/>
                <w:sz w:val="24"/>
                <w:szCs w:val="24"/>
                <w:lang w:val="en-US"/>
              </w:rPr>
              <w:t>No loss of solution or  pH change indicator identified</w:t>
            </w:r>
          </w:p>
        </w:tc>
      </w:tr>
    </w:tbl>
    <w:p w14:paraId="2897A976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b/>
          <w:sz w:val="24"/>
          <w:szCs w:val="24"/>
          <w:lang w:val="en-US"/>
        </w:rPr>
      </w:pPr>
    </w:p>
    <w:p w14:paraId="5D4CCDB6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b/>
          <w:sz w:val="24"/>
          <w:szCs w:val="24"/>
          <w:lang w:val="en-US"/>
        </w:rPr>
      </w:pPr>
    </w:p>
    <w:p w14:paraId="667CA1A5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b/>
          <w:sz w:val="24"/>
          <w:szCs w:val="24"/>
          <w:lang w:val="en-US"/>
        </w:rPr>
      </w:pPr>
    </w:p>
    <w:p w14:paraId="565231AC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b/>
          <w:sz w:val="24"/>
          <w:szCs w:val="24"/>
          <w:lang w:val="en-US"/>
        </w:rPr>
      </w:pPr>
    </w:p>
    <w:p w14:paraId="2A48818E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b/>
          <w:sz w:val="24"/>
          <w:szCs w:val="24"/>
          <w:lang w:val="en-US"/>
        </w:rPr>
      </w:pPr>
    </w:p>
    <w:p w14:paraId="3A9EF7E8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b/>
          <w:sz w:val="24"/>
          <w:szCs w:val="24"/>
          <w:lang w:val="en-US"/>
        </w:rPr>
      </w:pPr>
    </w:p>
    <w:p w14:paraId="7F995884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38E5CCF8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62F51A3D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6FFC6F52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4247A2D6" w14:textId="630320A6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511A9644" wp14:editId="04039B21">
            <wp:simplePos x="0" y="0"/>
            <wp:positionH relativeFrom="margin">
              <wp:align>center</wp:align>
            </wp:positionH>
            <wp:positionV relativeFrom="paragraph">
              <wp:posOffset>788670</wp:posOffset>
            </wp:positionV>
            <wp:extent cx="3295650" cy="1602105"/>
            <wp:effectExtent l="0" t="0" r="0" b="0"/>
            <wp:wrapTopAndBottom/>
            <wp:docPr id="3" name="Picture 1" descr="C:\Users\Camila\Downloads\20200626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a\Downloads\20200626_1334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Figure </w:t>
      </w: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5</w:t>
      </w:r>
      <w:r w:rsidRPr="001002B2">
        <w:rPr>
          <w:rFonts w:ascii="Palatino Linotype" w:hAnsi="Palatino Linotype"/>
          <w:sz w:val="24"/>
          <w:szCs w:val="24"/>
          <w:lang w:val="en-US"/>
        </w:rPr>
        <w:t xml:space="preserve"> shows the primary containment inside a vacuum oven with a white surface to facilitate the tinted liquid monitoring. </w:t>
      </w:r>
    </w:p>
    <w:p w14:paraId="513EC3EF" w14:textId="77777777" w:rsidR="001002B2" w:rsidRPr="001002B2" w:rsidRDefault="001002B2" w:rsidP="001002B2">
      <w:pPr>
        <w:spacing w:line="276" w:lineRule="auto"/>
        <w:jc w:val="both"/>
        <w:rPr>
          <w:rFonts w:ascii="Palatino Linotype" w:hAnsi="Palatino Linotype"/>
          <w:b/>
          <w:sz w:val="24"/>
          <w:szCs w:val="24"/>
          <w:lang w:val="en-US"/>
        </w:rPr>
      </w:pPr>
    </w:p>
    <w:p w14:paraId="1E830666" w14:textId="276EF077" w:rsidR="00B87583" w:rsidRPr="001A0789" w:rsidRDefault="001002B2" w:rsidP="001002B2">
      <w:pPr>
        <w:spacing w:line="276" w:lineRule="auto"/>
        <w:jc w:val="both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Figure </w:t>
      </w: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>5.</w:t>
      </w: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 </w:t>
      </w:r>
      <w:r w:rsidRPr="001002B2">
        <w:rPr>
          <w:rFonts w:ascii="Palatino Linotype" w:hAnsi="Palatino Linotype"/>
          <w:sz w:val="24"/>
          <w:szCs w:val="24"/>
          <w:lang w:val="en-US"/>
        </w:rPr>
        <w:t>Picture of first containment (electrochemical cell with tubing and pump) inside a vacuum oven where the vacuum tests were performed.</w:t>
      </w:r>
      <w:r w:rsidRPr="001002B2">
        <w:rPr>
          <w:rFonts w:ascii="Palatino Linotype" w:hAnsi="Palatino Linotype"/>
          <w:b/>
          <w:bCs/>
          <w:sz w:val="24"/>
          <w:szCs w:val="24"/>
          <w:lang w:val="en-US"/>
        </w:rPr>
        <w:t xml:space="preserve"> </w:t>
      </w:r>
    </w:p>
    <w:p w14:paraId="61809A10" w14:textId="77777777" w:rsidR="001A0789" w:rsidRPr="001A0789" w:rsidRDefault="001A0789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322F0FE1" w14:textId="4561382A" w:rsidR="001A0789" w:rsidRPr="001A0789" w:rsidRDefault="001A0789" w:rsidP="001A0789">
      <w:pPr>
        <w:pStyle w:val="EndNoteBibliography"/>
        <w:rPr>
          <w:rFonts w:ascii="Palatino Linotype" w:hAnsi="Palatino Linotype"/>
          <w:b/>
          <w:bCs/>
          <w:color w:val="000000" w:themeColor="text1"/>
          <w:sz w:val="24"/>
          <w:szCs w:val="24"/>
        </w:rPr>
      </w:pPr>
      <w:r w:rsidRPr="001A0789">
        <w:rPr>
          <w:rFonts w:ascii="Palatino Linotype" w:hAnsi="Palatino Linotype"/>
          <w:b/>
          <w:bCs/>
          <w:color w:val="000000" w:themeColor="text1"/>
          <w:sz w:val="24"/>
          <w:szCs w:val="24"/>
        </w:rPr>
        <w:t xml:space="preserve">VIII. </w:t>
      </w:r>
      <w:r w:rsidRPr="001A0789">
        <w:rPr>
          <w:rFonts w:ascii="Palatino Linotype" w:hAnsi="Palatino Linotype"/>
          <w:b/>
          <w:bCs/>
          <w:color w:val="000000" w:themeColor="text1"/>
          <w:sz w:val="24"/>
          <w:szCs w:val="24"/>
        </w:rPr>
        <w:t>Assembly process in the laboratory at NASA Wallops Flight Facility</w:t>
      </w:r>
    </w:p>
    <w:p w14:paraId="74936A91" w14:textId="01E25B26" w:rsidR="001A0789" w:rsidRDefault="001A0789" w:rsidP="001A0789">
      <w:pPr>
        <w:pStyle w:val="EndNoteBibliography"/>
      </w:pPr>
    </w:p>
    <w:p w14:paraId="5AE34602" w14:textId="17D964E7" w:rsidR="001A0789" w:rsidRPr="001A0789" w:rsidRDefault="001A0789" w:rsidP="001A0789">
      <w:pPr>
        <w:pStyle w:val="EndNoteBibliography"/>
      </w:pPr>
      <w:r w:rsidRPr="001A0789">
        <w:rPr>
          <w:noProof/>
        </w:rPr>
        <w:drawing>
          <wp:anchor distT="0" distB="0" distL="114300" distR="114300" simplePos="0" relativeHeight="251681792" behindDoc="0" locked="0" layoutInCell="1" allowOverlap="1" wp14:anchorId="37047CB1" wp14:editId="004CE8D6">
            <wp:simplePos x="0" y="0"/>
            <wp:positionH relativeFrom="margin">
              <wp:posOffset>6350</wp:posOffset>
            </wp:positionH>
            <wp:positionV relativeFrom="paragraph">
              <wp:posOffset>252623</wp:posOffset>
            </wp:positionV>
            <wp:extent cx="5394960" cy="2734310"/>
            <wp:effectExtent l="0" t="0" r="2540" b="0"/>
            <wp:wrapTopAndBottom/>
            <wp:docPr id="4" name="Picture 4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340F6" w14:textId="77777777" w:rsidR="001A0789" w:rsidRPr="001A0789" w:rsidRDefault="001A0789" w:rsidP="001A0789">
      <w:pPr>
        <w:pStyle w:val="EndNoteBibliography"/>
        <w:rPr>
          <w:rFonts w:ascii="Palatino Linotype" w:hAnsi="Palatino Linotype"/>
          <w:sz w:val="24"/>
          <w:szCs w:val="24"/>
        </w:rPr>
      </w:pPr>
    </w:p>
    <w:p w14:paraId="72A48EAE" w14:textId="77777777" w:rsidR="001A0789" w:rsidRDefault="001A0789" w:rsidP="001A0789">
      <w:pPr>
        <w:jc w:val="both"/>
        <w:rPr>
          <w:rFonts w:ascii="Garamond" w:hAnsi="Garamond"/>
          <w:b/>
          <w:bCs/>
          <w:lang w:val="en-US"/>
        </w:rPr>
      </w:pPr>
    </w:p>
    <w:p w14:paraId="79F45C30" w14:textId="4B7A21C9" w:rsidR="001A0789" w:rsidRPr="001A0789" w:rsidRDefault="001A0789" w:rsidP="001A0789">
      <w:pPr>
        <w:jc w:val="both"/>
        <w:rPr>
          <w:rFonts w:ascii="Palatino Linotype" w:hAnsi="Palatino Linotype"/>
          <w:sz w:val="24"/>
          <w:szCs w:val="24"/>
          <w:lang w:val="en-US"/>
        </w:rPr>
      </w:pPr>
      <w:r w:rsidRPr="001A0789">
        <w:rPr>
          <w:rFonts w:ascii="Palatino Linotype" w:hAnsi="Palatino Linotype"/>
          <w:b/>
          <w:bCs/>
          <w:sz w:val="24"/>
          <w:szCs w:val="24"/>
          <w:lang w:val="en-US"/>
        </w:rPr>
        <w:t xml:space="preserve">Figure </w:t>
      </w:r>
      <w:r w:rsidRPr="001A0789">
        <w:rPr>
          <w:rFonts w:ascii="Palatino Linotype" w:hAnsi="Palatino Linotype"/>
          <w:b/>
          <w:bCs/>
          <w:sz w:val="24"/>
          <w:szCs w:val="24"/>
          <w:lang w:val="en-US"/>
        </w:rPr>
        <w:t>6.</w:t>
      </w:r>
      <w:r w:rsidRPr="001A0789">
        <w:rPr>
          <w:rFonts w:ascii="Palatino Linotype" w:hAnsi="Palatino Linotype"/>
          <w:b/>
          <w:bCs/>
          <w:sz w:val="24"/>
          <w:szCs w:val="24"/>
          <w:lang w:val="en-US"/>
        </w:rPr>
        <w:t xml:space="preserve"> </w:t>
      </w:r>
      <w:r w:rsidRPr="001A0789">
        <w:rPr>
          <w:rFonts w:ascii="Palatino Linotype" w:hAnsi="Palatino Linotype"/>
          <w:sz w:val="24"/>
          <w:szCs w:val="24"/>
          <w:lang w:val="en-US"/>
        </w:rPr>
        <w:t xml:space="preserve">Assembly process in the laboratory at NASA Wallops Flight Facility: (a)set screws, (b) insulating with Kapton® tape, (c) device complete, and (d) AELISS electrochemical system inside the 2U </w:t>
      </w:r>
      <w:proofErr w:type="spellStart"/>
      <w:r w:rsidRPr="001A0789">
        <w:rPr>
          <w:rFonts w:ascii="Palatino Linotype" w:hAnsi="Palatino Linotype"/>
          <w:sz w:val="24"/>
          <w:szCs w:val="24"/>
          <w:lang w:val="en-US"/>
        </w:rPr>
        <w:t>Nanoracks</w:t>
      </w:r>
      <w:proofErr w:type="spellEnd"/>
      <w:r w:rsidRPr="001A0789">
        <w:rPr>
          <w:rFonts w:ascii="Palatino Linotype" w:hAnsi="Palatino Linotype"/>
          <w:sz w:val="24"/>
          <w:szCs w:val="24"/>
          <w:lang w:val="en-US"/>
        </w:rPr>
        <w:t xml:space="preserve"> box showing device’s weight in grams.</w:t>
      </w:r>
    </w:p>
    <w:p w14:paraId="3FBABD13" w14:textId="77777777" w:rsidR="001A0789" w:rsidRPr="00E85770" w:rsidRDefault="001A0789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4157F453" w14:textId="1785C83A" w:rsidR="00B87583" w:rsidRPr="00346898" w:rsidRDefault="00B87583" w:rsidP="001002B2">
      <w:pPr>
        <w:spacing w:line="276" w:lineRule="auto"/>
        <w:jc w:val="both"/>
        <w:rPr>
          <w:rFonts w:ascii="Palatino Linotype" w:hAnsi="Palatino Linotype"/>
          <w:b/>
          <w:bCs/>
          <w:sz w:val="24"/>
          <w:szCs w:val="24"/>
          <w:lang w:val="en-US"/>
        </w:rPr>
      </w:pPr>
      <w:r w:rsidRPr="00E85770">
        <w:rPr>
          <w:rFonts w:ascii="Palatino Linotype" w:hAnsi="Palatino Linotype"/>
          <w:b/>
          <w:bCs/>
          <w:sz w:val="24"/>
          <w:szCs w:val="24"/>
          <w:lang w:val="en-US"/>
        </w:rPr>
        <w:t>References</w:t>
      </w:r>
    </w:p>
    <w:p w14:paraId="3EFDB9EC" w14:textId="0C873EB0" w:rsidR="00B87583" w:rsidRPr="00E85770" w:rsidRDefault="00B87583" w:rsidP="00B87583">
      <w:pPr>
        <w:pStyle w:val="EndNoteBibliography"/>
        <w:spacing w:after="0"/>
        <w:rPr>
          <w:rFonts w:ascii="Palatino Linotype" w:hAnsi="Palatino Linotype"/>
          <w:noProof/>
          <w:sz w:val="24"/>
          <w:szCs w:val="24"/>
        </w:rPr>
      </w:pPr>
      <w:r w:rsidRPr="00E85770">
        <w:rPr>
          <w:rFonts w:ascii="Palatino Linotype" w:hAnsi="Palatino Linotype"/>
          <w:sz w:val="24"/>
          <w:szCs w:val="24"/>
        </w:rPr>
        <w:fldChar w:fldCharType="begin"/>
      </w:r>
      <w:r w:rsidRPr="00E85770">
        <w:rPr>
          <w:rFonts w:ascii="Palatino Linotype" w:hAnsi="Palatino Linotype"/>
          <w:sz w:val="24"/>
          <w:szCs w:val="24"/>
        </w:rPr>
        <w:instrText xml:space="preserve"> ADDIN EN.REFLIST </w:instrText>
      </w:r>
      <w:r w:rsidRPr="00E85770">
        <w:rPr>
          <w:rFonts w:ascii="Palatino Linotype" w:hAnsi="Palatino Linotype"/>
          <w:sz w:val="24"/>
          <w:szCs w:val="24"/>
        </w:rPr>
        <w:fldChar w:fldCharType="separate"/>
      </w:r>
      <w:r w:rsidRPr="00E85770">
        <w:rPr>
          <w:rFonts w:ascii="Palatino Linotype" w:hAnsi="Palatino Linotype"/>
          <w:noProof/>
          <w:sz w:val="24"/>
          <w:szCs w:val="24"/>
        </w:rPr>
        <w:t>1.</w:t>
      </w:r>
      <w:r w:rsidRPr="00E85770">
        <w:rPr>
          <w:rFonts w:ascii="Palatino Linotype" w:hAnsi="Palatino Linotype"/>
          <w:noProof/>
          <w:sz w:val="24"/>
          <w:szCs w:val="24"/>
        </w:rPr>
        <w:tab/>
        <w:t xml:space="preserve">Lvovsky, O.; Grayson, C. M., Aerospace Payloads Leak Test Methodology. In </w:t>
      </w:r>
      <w:r w:rsidRPr="00E85770">
        <w:rPr>
          <w:rFonts w:ascii="Palatino Linotype" w:hAnsi="Palatino Linotype"/>
          <w:i/>
          <w:noProof/>
          <w:sz w:val="24"/>
          <w:szCs w:val="24"/>
        </w:rPr>
        <w:t>American Society for Nondestructive Testing</w:t>
      </w:r>
      <w:r w:rsidR="00E85770">
        <w:rPr>
          <w:rFonts w:ascii="Palatino Linotype" w:hAnsi="Palatino Linotype"/>
          <w:i/>
          <w:noProof/>
          <w:sz w:val="24"/>
          <w:szCs w:val="24"/>
        </w:rPr>
        <w:t>,</w:t>
      </w:r>
      <w:r w:rsidRPr="00E85770">
        <w:rPr>
          <w:rFonts w:ascii="Palatino Linotype" w:hAnsi="Palatino Linotype"/>
          <w:i/>
          <w:noProof/>
          <w:sz w:val="24"/>
          <w:szCs w:val="24"/>
        </w:rPr>
        <w:t xml:space="preserve"> Fall Conference</w:t>
      </w:r>
      <w:r w:rsidRPr="00E85770">
        <w:rPr>
          <w:rFonts w:ascii="Palatino Linotype" w:hAnsi="Palatino Linotype"/>
          <w:noProof/>
          <w:sz w:val="24"/>
          <w:szCs w:val="24"/>
        </w:rPr>
        <w:t>, NASA: Houston, TX, United States, 2010.</w:t>
      </w:r>
    </w:p>
    <w:p w14:paraId="3F656BC5" w14:textId="77777777" w:rsidR="00B87583" w:rsidRPr="00E85770" w:rsidRDefault="00B87583" w:rsidP="00B87583">
      <w:pPr>
        <w:pStyle w:val="EndNoteBibliography"/>
        <w:rPr>
          <w:rFonts w:ascii="Palatino Linotype" w:hAnsi="Palatino Linotype"/>
          <w:noProof/>
          <w:sz w:val="24"/>
          <w:szCs w:val="24"/>
        </w:rPr>
      </w:pPr>
      <w:r w:rsidRPr="00E85770">
        <w:rPr>
          <w:rFonts w:ascii="Palatino Linotype" w:hAnsi="Palatino Linotype"/>
          <w:noProof/>
          <w:sz w:val="24"/>
          <w:szCs w:val="24"/>
        </w:rPr>
        <w:t>2.</w:t>
      </w:r>
      <w:r w:rsidRPr="00E85770">
        <w:rPr>
          <w:rFonts w:ascii="Palatino Linotype" w:hAnsi="Palatino Linotype"/>
          <w:noProof/>
          <w:sz w:val="24"/>
          <w:szCs w:val="24"/>
        </w:rPr>
        <w:tab/>
        <w:t xml:space="preserve">Harris, D. C., </w:t>
      </w:r>
      <w:r w:rsidRPr="00E85770">
        <w:rPr>
          <w:rFonts w:ascii="Palatino Linotype" w:hAnsi="Palatino Linotype"/>
          <w:i/>
          <w:noProof/>
          <w:sz w:val="24"/>
          <w:szCs w:val="24"/>
        </w:rPr>
        <w:t>Quantitative Chemical Analysis</w:t>
      </w:r>
      <w:r w:rsidRPr="00E85770">
        <w:rPr>
          <w:rFonts w:ascii="Palatino Linotype" w:hAnsi="Palatino Linotype"/>
          <w:noProof/>
          <w:sz w:val="24"/>
          <w:szCs w:val="24"/>
        </w:rPr>
        <w:t>. 7th ed.; Craig Bleyer: New York, USA, 2007; p 555.</w:t>
      </w:r>
    </w:p>
    <w:p w14:paraId="673A3B0E" w14:textId="6FB64AED" w:rsidR="001002B2" w:rsidRPr="001002B2" w:rsidRDefault="00B87583" w:rsidP="001002B2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E85770">
        <w:rPr>
          <w:rFonts w:ascii="Palatino Linotype" w:hAnsi="Palatino Linotype"/>
          <w:sz w:val="24"/>
          <w:szCs w:val="24"/>
          <w:lang w:val="en-US"/>
        </w:rPr>
        <w:fldChar w:fldCharType="end"/>
      </w:r>
    </w:p>
    <w:sectPr w:rsidR="001002B2" w:rsidRPr="001002B2" w:rsidSect="00795184"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18BA9" w14:textId="77777777" w:rsidR="00321705" w:rsidRDefault="00321705" w:rsidP="00703553">
      <w:pPr>
        <w:spacing w:after="0" w:line="240" w:lineRule="auto"/>
      </w:pPr>
      <w:r>
        <w:separator/>
      </w:r>
    </w:p>
  </w:endnote>
  <w:endnote w:type="continuationSeparator" w:id="0">
    <w:p w14:paraId="355EF693" w14:textId="77777777" w:rsidR="00321705" w:rsidRDefault="00321705" w:rsidP="0070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091624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AF38E6" w14:textId="6E3AFC05" w:rsidR="00703553" w:rsidRDefault="00703553" w:rsidP="00AF404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9747ED" w14:textId="77777777" w:rsidR="00703553" w:rsidRDefault="00703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072262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47C9FD" w14:textId="2752D08F" w:rsidR="00703553" w:rsidRDefault="00703553" w:rsidP="00AF404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B6B5279" w14:textId="77777777" w:rsidR="00703553" w:rsidRDefault="0070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831DD" w14:textId="77777777" w:rsidR="00321705" w:rsidRDefault="00321705" w:rsidP="00703553">
      <w:pPr>
        <w:spacing w:after="0" w:line="240" w:lineRule="auto"/>
      </w:pPr>
      <w:r>
        <w:separator/>
      </w:r>
    </w:p>
  </w:footnote>
  <w:footnote w:type="continuationSeparator" w:id="0">
    <w:p w14:paraId="7509708E" w14:textId="77777777" w:rsidR="00321705" w:rsidRDefault="00321705" w:rsidP="00703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873D6"/>
    <w:multiLevelType w:val="multilevel"/>
    <w:tmpl w:val="3BBCEBC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602E1787"/>
    <w:multiLevelType w:val="hybridMultilevel"/>
    <w:tmpl w:val="72860AD2"/>
    <w:lvl w:ilvl="0" w:tplc="6D6660F2">
      <w:start w:val="1"/>
      <w:numFmt w:val="upperRoman"/>
      <w:pStyle w:val="EndNoteBibliography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5799177">
    <w:abstractNumId w:val="1"/>
  </w:num>
  <w:num w:numId="2" w16cid:durableId="63668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zMTAytjS0NLYwMrBQ0lEKTi0uzszPAykwrgUAI0qupCwAAAA=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10697D"/>
    <w:rsid w:val="00096943"/>
    <w:rsid w:val="001002B2"/>
    <w:rsid w:val="0010697D"/>
    <w:rsid w:val="00195239"/>
    <w:rsid w:val="001A0789"/>
    <w:rsid w:val="00290E13"/>
    <w:rsid w:val="002E519E"/>
    <w:rsid w:val="00321705"/>
    <w:rsid w:val="00346898"/>
    <w:rsid w:val="0039717B"/>
    <w:rsid w:val="003C0AC6"/>
    <w:rsid w:val="003C49C7"/>
    <w:rsid w:val="00402200"/>
    <w:rsid w:val="004034CA"/>
    <w:rsid w:val="0043623E"/>
    <w:rsid w:val="004627E0"/>
    <w:rsid w:val="00556C17"/>
    <w:rsid w:val="00592A84"/>
    <w:rsid w:val="005B4DBE"/>
    <w:rsid w:val="00611EC8"/>
    <w:rsid w:val="00622431"/>
    <w:rsid w:val="006458DE"/>
    <w:rsid w:val="00684DC3"/>
    <w:rsid w:val="006C2EE3"/>
    <w:rsid w:val="006F6472"/>
    <w:rsid w:val="00703553"/>
    <w:rsid w:val="007375A4"/>
    <w:rsid w:val="0079234F"/>
    <w:rsid w:val="00795184"/>
    <w:rsid w:val="00821EC9"/>
    <w:rsid w:val="009138E2"/>
    <w:rsid w:val="009338AA"/>
    <w:rsid w:val="009A1DF7"/>
    <w:rsid w:val="00A2748A"/>
    <w:rsid w:val="00A332F0"/>
    <w:rsid w:val="00A5683C"/>
    <w:rsid w:val="00B40E29"/>
    <w:rsid w:val="00B87583"/>
    <w:rsid w:val="00C96288"/>
    <w:rsid w:val="00D933ED"/>
    <w:rsid w:val="00DD385D"/>
    <w:rsid w:val="00DE58E1"/>
    <w:rsid w:val="00E85770"/>
    <w:rsid w:val="00EA32B4"/>
    <w:rsid w:val="00EA476C"/>
    <w:rsid w:val="00EB101C"/>
    <w:rsid w:val="00F82A78"/>
    <w:rsid w:val="00FB0018"/>
    <w:rsid w:val="00FB793A"/>
    <w:rsid w:val="00FC6507"/>
    <w:rsid w:val="00FC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E88F3"/>
  <w15:chartTrackingRefBased/>
  <w15:docId w15:val="{B7FDA94A-8A30-4969-9F2E-9F2858BB9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2243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C650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6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650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C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3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553"/>
  </w:style>
  <w:style w:type="character" w:styleId="PageNumber">
    <w:name w:val="page number"/>
    <w:basedOn w:val="DefaultParagraphFont"/>
    <w:uiPriority w:val="99"/>
    <w:semiHidden/>
    <w:unhideWhenUsed/>
    <w:rsid w:val="00703553"/>
  </w:style>
  <w:style w:type="table" w:styleId="TableGrid">
    <w:name w:val="Table Grid"/>
    <w:basedOn w:val="TableNormal"/>
    <w:uiPriority w:val="39"/>
    <w:rsid w:val="00100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B87583"/>
    <w:pPr>
      <w:spacing w:after="0"/>
      <w:jc w:val="center"/>
    </w:pPr>
    <w:rPr>
      <w:rFonts w:ascii="Calibri" w:hAnsi="Calibri" w:cs="Calibr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87583"/>
  </w:style>
  <w:style w:type="character" w:customStyle="1" w:styleId="EndNoteBibliographyTitleChar">
    <w:name w:val="EndNote Bibliography Title Char"/>
    <w:basedOn w:val="ListParagraphChar"/>
    <w:link w:val="EndNoteBibliographyTitle"/>
    <w:rsid w:val="00B87583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87583"/>
    <w:pPr>
      <w:spacing w:line="240" w:lineRule="auto"/>
      <w:jc w:val="both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ListParagraphChar"/>
    <w:link w:val="EndNoteBibliography"/>
    <w:rsid w:val="00B87583"/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tiff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B4F3C58D5F774D95A93911FEB88F24" ma:contentTypeVersion="12" ma:contentTypeDescription="Create a new document." ma:contentTypeScope="" ma:versionID="fada8df8ec57bc4681a90f36a2fa2173">
  <xsd:schema xmlns:xsd="http://www.w3.org/2001/XMLSchema" xmlns:xs="http://www.w3.org/2001/XMLSchema" xmlns:p="http://schemas.microsoft.com/office/2006/metadata/properties" xmlns:ns3="392433c0-cf7a-4a31-9e3d-d589d80b67b6" xmlns:ns4="93ae6156-4573-48f5-8727-c4bf131fe3ae" targetNamespace="http://schemas.microsoft.com/office/2006/metadata/properties" ma:root="true" ma:fieldsID="af311c0f0d438d3d1f032f8d7d83878d" ns3:_="" ns4:_="">
    <xsd:import namespace="392433c0-cf7a-4a31-9e3d-d589d80b67b6"/>
    <xsd:import namespace="93ae6156-4573-48f5-8727-c4bf131fe3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433c0-cf7a-4a31-9e3d-d589d80b6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e6156-4573-48f5-8727-c4bf131fe3a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1B4187-0226-4E7D-BEAB-9B0FD7795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2433c0-cf7a-4a31-9e3d-d589d80b67b6"/>
    <ds:schemaRef ds:uri="93ae6156-4573-48f5-8727-c4bf131fe3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1EEA25-92E4-45E9-97EC-0BDFE4F51E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AF9B62-DF1A-40B9-8E7E-296963CDD9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MORALES NAVAS</dc:creator>
  <cp:keywords/>
  <dc:description/>
  <cp:lastModifiedBy>Carlos Cabrera</cp:lastModifiedBy>
  <cp:revision>7</cp:revision>
  <dcterms:created xsi:type="dcterms:W3CDTF">2022-05-11T14:53:00Z</dcterms:created>
  <dcterms:modified xsi:type="dcterms:W3CDTF">2022-05-11T19:47:00Z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0x01010023B4F3C58D5F774D95A93911FEB88F24</vt:lpwstr>
  </property>
</Properties>
</file>