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Times New Roman"/>
          <w:sz w:val="32"/>
          <w:szCs w:val="24"/>
        </w:rPr>
      </w:pPr>
      <w:r>
        <w:rPr>
          <w:rFonts w:cs="Times New Roman"/>
          <w:sz w:val="32"/>
          <w:szCs w:val="24"/>
        </w:rPr>
        <w:t>Supporting Information for</w:t>
      </w:r>
    </w:p>
    <w:p>
      <w:pPr>
        <w:spacing w:before="326" w:beforeLines="100" w:after="326" w:afterLines="100" w:line="240" w:lineRule="auto"/>
        <w:jc w:val="center"/>
        <w:rPr>
          <w:rFonts w:cs="Times New Roman"/>
          <w:b/>
          <w:sz w:val="32"/>
          <w:szCs w:val="24"/>
        </w:rPr>
      </w:pPr>
      <w:r>
        <w:rPr>
          <w:rFonts w:cs="Times New Roman"/>
          <w:b/>
          <w:sz w:val="32"/>
          <w:szCs w:val="24"/>
        </w:rPr>
        <w:t xml:space="preserve">Regiospecific C-H Amination of (─)-Limonene into </w:t>
      </w:r>
      <w:bookmarkStart w:id="2" w:name="_GoBack"/>
      <w:bookmarkEnd w:id="2"/>
      <w:r>
        <w:rPr>
          <w:rFonts w:cs="Times New Roman"/>
          <w:b/>
          <w:sz w:val="32"/>
          <w:szCs w:val="24"/>
        </w:rPr>
        <w:t>(─)-Perillamine by Multi-enzymatic Cascade Reactions</w:t>
      </w:r>
    </w:p>
    <w:p>
      <w:pPr>
        <w:spacing w:before="326" w:beforeLines="100" w:after="326" w:afterLines="100"/>
        <w:jc w:val="center"/>
        <w:rPr>
          <w:rFonts w:cs="Times New Roman"/>
          <w:b/>
          <w:bCs/>
          <w:sz w:val="22"/>
          <w:szCs w:val="21"/>
        </w:rPr>
      </w:pPr>
      <w:r>
        <w:rPr>
          <w:rFonts w:cs="Times New Roman"/>
          <w:b/>
          <w:bCs/>
          <w:sz w:val="22"/>
          <w:szCs w:val="21"/>
        </w:rPr>
        <w:t>Yue Ge, Zheng-Yu Hu</w:t>
      </w:r>
      <w:r>
        <w:rPr>
          <w:rFonts w:hint="eastAsia" w:cs="Times New Roman"/>
          <w:b/>
          <w:bCs/>
          <w:sz w:val="22"/>
          <w:szCs w:val="21"/>
          <w:lang w:val="en-US" w:eastAsia="zh-Hans"/>
        </w:rPr>
        <w:t>a</w:t>
      </w:r>
      <w:r>
        <w:rPr>
          <w:rFonts w:cs="Times New Roman"/>
          <w:b/>
          <w:bCs/>
          <w:sz w:val="22"/>
          <w:szCs w:val="21"/>
        </w:rPr>
        <w:t>ng, Jiang Pan, Chun-</w:t>
      </w:r>
      <w:r>
        <w:rPr>
          <w:rFonts w:hint="eastAsia" w:eastAsia="Times New Roman" w:cs="Times New Roman"/>
          <w:b/>
          <w:bCs/>
          <w:sz w:val="22"/>
        </w:rPr>
        <w:t>X</w:t>
      </w:r>
      <w:r>
        <w:rPr>
          <w:rFonts w:eastAsia="Times New Roman" w:cs="Times New Roman"/>
          <w:b/>
          <w:bCs/>
          <w:sz w:val="22"/>
        </w:rPr>
        <w:t>iu Li</w:t>
      </w:r>
      <w:r>
        <w:rPr>
          <w:rFonts w:hint="eastAsia" w:cs="Times New Roman"/>
          <w:b/>
          <w:bCs/>
          <w:sz w:val="22"/>
          <w:szCs w:val="21"/>
        </w:rPr>
        <w:t>,</w:t>
      </w:r>
      <w:r>
        <w:rPr>
          <w:rFonts w:cs="Times New Roman"/>
          <w:b/>
          <w:bCs/>
          <w:sz w:val="22"/>
          <w:szCs w:val="21"/>
        </w:rPr>
        <w:t xml:space="preserve"> Gao-Wei Zheng</w:t>
      </w:r>
      <w:r>
        <w:rPr>
          <w:rFonts w:ascii="宋体" w:hAnsi="宋体" w:eastAsia="宋体"/>
          <w:b/>
          <w:bCs/>
          <w:sz w:val="22"/>
        </w:rPr>
        <w:t xml:space="preserve"> </w:t>
      </w:r>
      <w:r>
        <w:rPr>
          <w:rFonts w:cs="Times New Roman"/>
          <w:b/>
          <w:bCs/>
          <w:sz w:val="22"/>
        </w:rPr>
        <w:t>and Jian-He Xu*</w:t>
      </w:r>
    </w:p>
    <w:p>
      <w:pPr>
        <w:spacing w:before="489" w:beforeLines="150" w:after="163" w:afterLines="50" w:line="360" w:lineRule="auto"/>
        <w:rPr>
          <w:rFonts w:cs="Times New Roman"/>
          <w:sz w:val="22"/>
          <w:szCs w:val="21"/>
        </w:rPr>
      </w:pPr>
      <w:r>
        <w:rPr>
          <w:rFonts w:cs="Times New Roman"/>
          <w:sz w:val="22"/>
          <w:szCs w:val="21"/>
        </w:rPr>
        <w:t>Laboratory of Biocatalysis and Synthetic Biotechnology, State Key Laboratory of Bioreactor Engineering, Shanghai Collaborative Innovation Centre for Biomanufacturing, College of Biotechnology, East China University of Science and Technology, Shanghai 200237, P. R. China.</w:t>
      </w:r>
    </w:p>
    <w:p>
      <w:pPr>
        <w:spacing w:before="326" w:beforeLines="100" w:after="81" w:afterLines="25" w:line="360" w:lineRule="auto"/>
        <w:rPr>
          <w:rFonts w:cs="Times New Roman"/>
        </w:rPr>
      </w:pPr>
    </w:p>
    <w:p>
      <w:pPr>
        <w:jc w:val="center"/>
        <w:rPr>
          <w:rFonts w:cs="Times New Roman"/>
          <w:b/>
          <w:sz w:val="28"/>
          <w:szCs w:val="21"/>
        </w:rPr>
      </w:pPr>
      <w:bookmarkStart w:id="0" w:name="_Hlk100244156"/>
      <w:r>
        <w:rPr>
          <w:rFonts w:cs="Times New Roman"/>
        </w:rPr>
        <w:t>* Corresponding authors: Prof. Jian-He Xu. E-mail:</w:t>
      </w:r>
      <w:bookmarkStart w:id="1" w:name="_Hlk58692912"/>
      <w:r>
        <w:rPr>
          <w:rFonts w:cs="Times New Roman"/>
        </w:rPr>
        <w:t xml:space="preserve"> jianhexu@ecust.edu.cn</w:t>
      </w:r>
      <w:bookmarkEnd w:id="0"/>
      <w:bookmarkEnd w:id="1"/>
    </w:p>
    <w:p>
      <w:pPr>
        <w:jc w:val="center"/>
        <w:rPr>
          <w:rFonts w:cs="Times New Roman"/>
          <w:b/>
          <w:sz w:val="28"/>
          <w:szCs w:val="21"/>
        </w:rPr>
      </w:pPr>
    </w:p>
    <w:p>
      <w:pPr>
        <w:jc w:val="center"/>
        <w:rPr>
          <w:rFonts w:cs="Times New Roman"/>
          <w:b/>
          <w:sz w:val="28"/>
          <w:szCs w:val="21"/>
        </w:rPr>
      </w:pPr>
    </w:p>
    <w:p>
      <w:pPr>
        <w:jc w:val="center"/>
        <w:rPr>
          <w:rFonts w:cs="Times New Roman"/>
          <w:b/>
          <w:sz w:val="28"/>
          <w:szCs w:val="21"/>
        </w:rPr>
      </w:pPr>
    </w:p>
    <w:p>
      <w:pPr>
        <w:jc w:val="center"/>
        <w:rPr>
          <w:rFonts w:cs="Times New Roman"/>
          <w:b/>
          <w:sz w:val="28"/>
          <w:szCs w:val="21"/>
        </w:rPr>
      </w:pPr>
    </w:p>
    <w:p>
      <w:pPr>
        <w:jc w:val="center"/>
        <w:rPr>
          <w:rFonts w:cs="Times New Roman"/>
          <w:b/>
          <w:sz w:val="28"/>
          <w:szCs w:val="21"/>
        </w:rPr>
      </w:pPr>
    </w:p>
    <w:p>
      <w:pPr>
        <w:jc w:val="center"/>
        <w:rPr>
          <w:rFonts w:cs="Times New Roman"/>
          <w:b/>
          <w:sz w:val="28"/>
          <w:szCs w:val="21"/>
        </w:rPr>
      </w:pPr>
    </w:p>
    <w:p>
      <w:pPr>
        <w:jc w:val="center"/>
        <w:rPr>
          <w:rFonts w:cs="Times New Roman"/>
          <w:b/>
          <w:sz w:val="28"/>
          <w:szCs w:val="21"/>
        </w:rPr>
      </w:pPr>
    </w:p>
    <w:p>
      <w:pPr>
        <w:widowControl/>
        <w:spacing w:before="163" w:beforeLines="50" w:after="163" w:afterLines="50" w:line="360" w:lineRule="auto"/>
        <w:jc w:val="left"/>
        <w:rPr>
          <w:rFonts w:cs="Times New Roman"/>
          <w:b/>
          <w:szCs w:val="21"/>
        </w:rPr>
        <w:sectPr>
          <w:pgSz w:w="11906" w:h="16838"/>
          <w:pgMar w:top="1440" w:right="1800" w:bottom="1440" w:left="1800" w:header="851" w:footer="992" w:gutter="0"/>
          <w:cols w:space="425" w:num="1"/>
          <w:docGrid w:type="lines" w:linePitch="326" w:charSpace="0"/>
        </w:sectPr>
      </w:pPr>
    </w:p>
    <w:p>
      <w:pPr>
        <w:spacing w:before="163" w:beforeLines="50" w:after="163" w:afterLines="50" w:line="240" w:lineRule="auto"/>
        <w:rPr>
          <w:rFonts w:cs="Times New Roman"/>
          <w:b/>
          <w:szCs w:val="21"/>
        </w:rPr>
      </w:pPr>
    </w:p>
    <w:p>
      <w:pPr>
        <w:spacing w:before="163" w:beforeLines="50" w:after="163" w:afterLines="50" w:line="240" w:lineRule="auto"/>
        <w:jc w:val="center"/>
        <w:rPr>
          <w:rFonts w:cs="Times New Roman"/>
          <w:b/>
          <w:szCs w:val="21"/>
        </w:rPr>
      </w:pPr>
      <w:r>
        <w:rPr>
          <w:rFonts w:cs="Times New Roman"/>
          <w:b/>
          <w:szCs w:val="21"/>
        </w:rPr>
        <w:drawing>
          <wp:inline distT="0" distB="0" distL="0" distR="0">
            <wp:extent cx="5216525" cy="1850390"/>
            <wp:effectExtent l="0" t="0" r="15875"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rcRect l="1096"/>
                    <a:stretch>
                      <a:fillRect/>
                    </a:stretch>
                  </pic:blipFill>
                  <pic:spPr>
                    <a:xfrm>
                      <a:off x="0" y="0"/>
                      <a:ext cx="5216525" cy="1850390"/>
                    </a:xfrm>
                    <a:prstGeom prst="rect">
                      <a:avLst/>
                    </a:prstGeom>
                  </pic:spPr>
                </pic:pic>
              </a:graphicData>
            </a:graphic>
          </wp:inline>
        </w:drawing>
      </w:r>
    </w:p>
    <w:p>
      <w:pPr>
        <w:spacing w:before="163" w:beforeLines="50" w:after="163" w:afterLines="50" w:line="360" w:lineRule="auto"/>
        <w:rPr>
          <w:rFonts w:cs="Times New Roman"/>
          <w:szCs w:val="21"/>
        </w:rPr>
        <w:sectPr>
          <w:pgSz w:w="11906" w:h="16838"/>
          <w:pgMar w:top="1440" w:right="1800" w:bottom="1440" w:left="1800" w:header="851" w:footer="992" w:gutter="0"/>
          <w:cols w:space="425" w:num="1"/>
          <w:docGrid w:type="lines" w:linePitch="326" w:charSpace="0"/>
        </w:sectPr>
      </w:pPr>
      <w:r>
        <w:rPr>
          <w:rFonts w:hint="eastAsia" w:cs="Times New Roman"/>
          <w:b/>
          <w:szCs w:val="21"/>
        </w:rPr>
        <w:t>Figure S1.</w:t>
      </w:r>
      <w:r>
        <w:rPr>
          <w:rFonts w:hint="eastAsia" w:cs="Times New Roman"/>
          <w:szCs w:val="21"/>
        </w:rPr>
        <w:t xml:space="preserve"> Optimization of the ratio of each elemental enzyme added in Module 2. Reaction conditions (0.5 mL system): KPB buffer (</w:t>
      </w:r>
      <w:r>
        <w:rPr>
          <w:rFonts w:cs="Times New Roman"/>
          <w:szCs w:val="21"/>
        </w:rPr>
        <w:t>100 mM, pH 7.5</w:t>
      </w:r>
      <w:r>
        <w:rPr>
          <w:rFonts w:hint="eastAsia" w:cs="Times New Roman"/>
          <w:szCs w:val="21"/>
        </w:rPr>
        <w:t xml:space="preserve">), shaken at 35 </w:t>
      </w:r>
      <w:r>
        <w:rPr>
          <w:rFonts w:ascii="Times New Roman Regular" w:hAnsi="Times New Roman Regular" w:cs="Times New Roman Regular"/>
          <w:szCs w:val="21"/>
          <w:lang w:eastAsia="zh-Hans"/>
        </w:rPr>
        <w:t>℃</w:t>
      </w:r>
      <w:r>
        <w:rPr>
          <w:rFonts w:hint="eastAsia" w:cs="Times New Roman"/>
          <w:szCs w:val="21"/>
        </w:rPr>
        <w:t>, 800 rpm for 12 h, 10 mM (−)-perillyl alcohol (with 2% DMSO), 0.2 mM PLP, 0.2 mM NAD</w:t>
      </w:r>
      <w:r>
        <w:rPr>
          <w:rFonts w:hint="eastAsia" w:cs="Times New Roman"/>
          <w:szCs w:val="21"/>
          <w:vertAlign w:val="superscript"/>
        </w:rPr>
        <w:t>+</w:t>
      </w:r>
      <w:r>
        <w:rPr>
          <w:rFonts w:hint="eastAsia" w:cs="Times New Roman"/>
          <w:szCs w:val="21"/>
        </w:rPr>
        <w:t xml:space="preserve">, and 80 mM 2-pentanamine, in addition to: a) 0.2 U/mL </w:t>
      </w:r>
      <w:r>
        <w:rPr>
          <w:rFonts w:ascii="Times New Roman Italic" w:hAnsi="Times New Roman Italic" w:cs="Times New Roman Italic"/>
          <w:i/>
          <w:iCs/>
          <w:szCs w:val="21"/>
        </w:rPr>
        <w:t>Lk</w:t>
      </w:r>
      <w:r>
        <w:rPr>
          <w:rFonts w:hint="eastAsia" w:cs="Times New Roman"/>
          <w:szCs w:val="21"/>
        </w:rPr>
        <w:t xml:space="preserve">ADH, 2 U/mL ATA-117 and varied doses of </w:t>
      </w:r>
      <w:r>
        <w:rPr>
          <w:rFonts w:ascii="Times New Roman Italic" w:hAnsi="Times New Roman Italic" w:cs="Times New Roman Italic"/>
          <w:i/>
          <w:iCs/>
          <w:szCs w:val="21"/>
        </w:rPr>
        <w:t>Sm</w:t>
      </w:r>
      <w:r>
        <w:rPr>
          <w:rFonts w:hint="eastAsia" w:cs="Times New Roman"/>
          <w:szCs w:val="21"/>
        </w:rPr>
        <w:t xml:space="preserve">NOX; b) 0.2 U/mL </w:t>
      </w:r>
      <w:r>
        <w:rPr>
          <w:rFonts w:ascii="Times New Roman Italic" w:hAnsi="Times New Roman Italic" w:cs="Times New Roman Italic"/>
          <w:i/>
          <w:iCs/>
          <w:szCs w:val="21"/>
        </w:rPr>
        <w:t>Lk</w:t>
      </w:r>
      <w:r>
        <w:rPr>
          <w:rFonts w:hint="eastAsia" w:cs="Times New Roman"/>
          <w:szCs w:val="21"/>
        </w:rPr>
        <w:t xml:space="preserve">ADH, 0.4 U/mL </w:t>
      </w:r>
      <w:r>
        <w:rPr>
          <w:rFonts w:ascii="Times New Roman Italic" w:hAnsi="Times New Roman Italic" w:cs="Times New Roman Italic"/>
          <w:i/>
          <w:iCs/>
          <w:szCs w:val="21"/>
        </w:rPr>
        <w:t>Sm</w:t>
      </w:r>
      <w:r>
        <w:rPr>
          <w:rFonts w:hint="eastAsia" w:cs="Times New Roman"/>
          <w:szCs w:val="21"/>
        </w:rPr>
        <w:t>NOX and varied doses of ATA-117. Concn.: concentration</w:t>
      </w:r>
      <w:r>
        <w:rPr>
          <w:rFonts w:cs="Times New Roman"/>
          <w:szCs w:val="21"/>
        </w:rPr>
        <w:t>.</w:t>
      </w:r>
    </w:p>
    <w:p>
      <w:pPr>
        <w:spacing w:before="163" w:beforeLines="50" w:after="163" w:afterLines="50" w:line="240" w:lineRule="auto"/>
        <w:rPr>
          <w:rFonts w:cs="Times New Roman"/>
          <w:b/>
          <w:szCs w:val="21"/>
        </w:rPr>
      </w:pPr>
    </w:p>
    <w:p>
      <w:pPr>
        <w:spacing w:before="163" w:beforeLines="50" w:after="163" w:afterLines="50" w:line="240" w:lineRule="auto"/>
        <w:jc w:val="center"/>
        <w:rPr>
          <w:rFonts w:cs="Times New Roman"/>
          <w:b/>
          <w:szCs w:val="21"/>
        </w:rPr>
      </w:pPr>
      <w:r>
        <w:rPr>
          <w:rFonts w:cs="Times New Roman"/>
          <w:b/>
          <w:szCs w:val="21"/>
        </w:rPr>
        <w:drawing>
          <wp:inline distT="0" distB="0" distL="0" distR="0">
            <wp:extent cx="2370455" cy="1925320"/>
            <wp:effectExtent l="0" t="0" r="4445"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a:srcRect t="5013" r="55053"/>
                    <a:stretch>
                      <a:fillRect/>
                    </a:stretch>
                  </pic:blipFill>
                  <pic:spPr>
                    <a:xfrm>
                      <a:off x="0" y="0"/>
                      <a:ext cx="2370667" cy="1925311"/>
                    </a:xfrm>
                    <a:prstGeom prst="rect">
                      <a:avLst/>
                    </a:prstGeom>
                    <a:ln>
                      <a:noFill/>
                    </a:ln>
                  </pic:spPr>
                </pic:pic>
              </a:graphicData>
            </a:graphic>
          </wp:inline>
        </w:drawing>
      </w:r>
    </w:p>
    <w:p>
      <w:pPr>
        <w:widowControl/>
        <w:spacing w:before="163" w:beforeLines="50" w:after="163" w:afterLines="50" w:line="360" w:lineRule="auto"/>
        <w:rPr>
          <w:rFonts w:cs="Times New Roman"/>
          <w:szCs w:val="21"/>
        </w:rPr>
        <w:sectPr>
          <w:pgSz w:w="11906" w:h="16838"/>
          <w:pgMar w:top="1440" w:right="1800" w:bottom="1440" w:left="1800" w:header="851" w:footer="992" w:gutter="0"/>
          <w:cols w:space="425" w:num="1"/>
          <w:docGrid w:type="lines" w:linePitch="326" w:charSpace="0"/>
        </w:sectPr>
      </w:pPr>
      <w:r>
        <w:rPr>
          <w:rFonts w:hint="eastAsia" w:cs="Times New Roman"/>
          <w:b/>
          <w:szCs w:val="21"/>
        </w:rPr>
        <w:t>Figure S</w:t>
      </w:r>
      <w:r>
        <w:rPr>
          <w:rFonts w:cs="Times New Roman"/>
          <w:b/>
          <w:szCs w:val="21"/>
        </w:rPr>
        <w:t>2</w:t>
      </w:r>
      <w:r>
        <w:rPr>
          <w:rFonts w:hint="eastAsia" w:cs="Times New Roman"/>
          <w:b/>
          <w:szCs w:val="21"/>
        </w:rPr>
        <w:t xml:space="preserve">. </w:t>
      </w:r>
      <w:r>
        <w:rPr>
          <w:rFonts w:cs="Times New Roman"/>
          <w:szCs w:val="21"/>
        </w:rPr>
        <w:t xml:space="preserve">Optimization of enzyme dose </w:t>
      </w:r>
      <w:r>
        <w:rPr>
          <w:rFonts w:hint="eastAsia" w:cs="Times New Roman"/>
          <w:szCs w:val="21"/>
        </w:rPr>
        <w:t>of</w:t>
      </w:r>
      <w:r>
        <w:rPr>
          <w:rFonts w:cs="Times New Roman"/>
          <w:szCs w:val="21"/>
        </w:rPr>
        <w:t xml:space="preserve"> </w:t>
      </w:r>
      <w:r>
        <w:rPr>
          <w:rFonts w:ascii="Times New Roman Italic" w:hAnsi="Times New Roman Italic" w:cs="Times New Roman Italic"/>
          <w:i/>
          <w:iCs/>
          <w:szCs w:val="21"/>
        </w:rPr>
        <w:t>Lk</w:t>
      </w:r>
      <w:r>
        <w:rPr>
          <w:rFonts w:cs="Times New Roman"/>
          <w:szCs w:val="21"/>
        </w:rPr>
        <w:t>ADH. Reaction conditions: (-)-perillyl alcohol, 10 mM; 0</w:t>
      </w:r>
      <w:r>
        <w:rPr>
          <w:rFonts w:hint="eastAsia" w:cs="Times New Roman"/>
          <w:szCs w:val="21"/>
          <w:lang w:eastAsia="zh-Hans"/>
        </w:rPr>
        <w:t>.</w:t>
      </w:r>
      <w:r>
        <w:rPr>
          <w:rFonts w:cs="Times New Roman"/>
          <w:szCs w:val="21"/>
          <w:lang w:eastAsia="zh-Hans"/>
        </w:rPr>
        <w:t xml:space="preserve">1, </w:t>
      </w:r>
      <w:r>
        <w:rPr>
          <w:rFonts w:cs="Times New Roman"/>
          <w:szCs w:val="21"/>
        </w:rPr>
        <w:t xml:space="preserve">0.2 </w:t>
      </w:r>
      <w:r>
        <w:rPr>
          <w:rFonts w:hint="eastAsia" w:cs="Times New Roman"/>
          <w:szCs w:val="21"/>
          <w:lang w:eastAsia="zh-Hans"/>
        </w:rPr>
        <w:t>or</w:t>
      </w:r>
      <w:r>
        <w:rPr>
          <w:rFonts w:cs="Times New Roman"/>
          <w:szCs w:val="21"/>
          <w:lang w:eastAsia="zh-Hans"/>
        </w:rPr>
        <w:t xml:space="preserve"> 0</w:t>
      </w:r>
      <w:r>
        <w:rPr>
          <w:rFonts w:hint="eastAsia" w:cs="Times New Roman"/>
          <w:szCs w:val="21"/>
          <w:lang w:eastAsia="zh-Hans"/>
        </w:rPr>
        <w:t>.</w:t>
      </w:r>
      <w:r>
        <w:rPr>
          <w:rFonts w:cs="Times New Roman"/>
          <w:szCs w:val="21"/>
          <w:lang w:eastAsia="zh-Hans"/>
        </w:rPr>
        <w:t>3</w:t>
      </w:r>
      <w:r>
        <w:rPr>
          <w:rFonts w:cs="Times New Roman"/>
          <w:szCs w:val="21"/>
        </w:rPr>
        <w:t xml:space="preserve"> U/mL </w:t>
      </w:r>
      <w:r>
        <w:rPr>
          <w:rFonts w:ascii="Times New Roman Italic" w:hAnsi="Times New Roman Italic" w:cs="Times New Roman Italic"/>
          <w:i/>
          <w:iCs/>
          <w:szCs w:val="21"/>
        </w:rPr>
        <w:t>Lk</w:t>
      </w:r>
      <w:r>
        <w:rPr>
          <w:rFonts w:cs="Times New Roman"/>
          <w:szCs w:val="21"/>
        </w:rPr>
        <w:t>ADH; [</w:t>
      </w:r>
      <w:r>
        <w:rPr>
          <w:rFonts w:ascii="Times New Roman Italic" w:hAnsi="Times New Roman Italic" w:cs="Times New Roman Italic"/>
          <w:i/>
          <w:iCs/>
          <w:szCs w:val="21"/>
        </w:rPr>
        <w:t>Lk</w:t>
      </w:r>
      <w:r>
        <w:rPr>
          <w:rFonts w:cs="Times New Roman"/>
          <w:szCs w:val="21"/>
        </w:rPr>
        <w:t>ADH]/[NOX]/[ATA-117] = 1/5/10; 0.2 mM NAD</w:t>
      </w:r>
      <w:r>
        <w:rPr>
          <w:rFonts w:cs="Times New Roman"/>
          <w:szCs w:val="21"/>
          <w:vertAlign w:val="superscript"/>
        </w:rPr>
        <w:t>+</w:t>
      </w:r>
      <w:r>
        <w:rPr>
          <w:rFonts w:cs="Times New Roman"/>
          <w:szCs w:val="21"/>
        </w:rPr>
        <w:t xml:space="preserve">; 0.2 mM PLP; 80 mM 2-pentanamine; KPB </w:t>
      </w:r>
      <w:r>
        <w:rPr>
          <w:rFonts w:hint="eastAsia" w:cs="Times New Roman"/>
          <w:szCs w:val="21"/>
        </w:rPr>
        <w:t>buffer</w:t>
      </w:r>
      <w:r>
        <w:rPr>
          <w:rFonts w:cs="Times New Roman"/>
          <w:szCs w:val="21"/>
        </w:rPr>
        <w:t xml:space="preserve"> (100 mM, pH 7.5); 35℃, 800 rpm; 12 h.</w:t>
      </w:r>
      <w:r>
        <w:rPr>
          <w:rFonts w:hint="eastAsia" w:cs="Times New Roman"/>
          <w:szCs w:val="21"/>
        </w:rPr>
        <w:t xml:space="preserve"> </w:t>
      </w:r>
    </w:p>
    <w:p>
      <w:pPr>
        <w:spacing w:before="163" w:beforeLines="50" w:after="163" w:afterLines="50" w:line="240" w:lineRule="auto"/>
        <w:jc w:val="center"/>
        <w:rPr>
          <w:rFonts w:cs="Times New Roman"/>
          <w:b/>
          <w:szCs w:val="21"/>
        </w:rPr>
      </w:pPr>
      <w:r>
        <w:rPr>
          <w:rFonts w:cs="Times New Roman"/>
          <w:b/>
          <w:szCs w:val="21"/>
        </w:rPr>
        <w:drawing>
          <wp:inline distT="0" distB="0" distL="0" distR="0">
            <wp:extent cx="5216525" cy="1906270"/>
            <wp:effectExtent l="0" t="0" r="15875" b="2413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rcRect l="1096"/>
                    <a:stretch>
                      <a:fillRect/>
                    </a:stretch>
                  </pic:blipFill>
                  <pic:spPr>
                    <a:xfrm>
                      <a:off x="0" y="0"/>
                      <a:ext cx="5216525" cy="1906270"/>
                    </a:xfrm>
                    <a:prstGeom prst="rect">
                      <a:avLst/>
                    </a:prstGeom>
                  </pic:spPr>
                </pic:pic>
              </a:graphicData>
            </a:graphic>
          </wp:inline>
        </w:drawing>
      </w:r>
    </w:p>
    <w:p>
      <w:pPr>
        <w:widowControl/>
        <w:spacing w:before="163" w:beforeLines="50" w:after="163" w:afterLines="50" w:line="360" w:lineRule="auto"/>
        <w:rPr>
          <w:rFonts w:eastAsia="宋体" w:cs="Times New Roman"/>
          <w:color w:val="231F20"/>
          <w:kern w:val="0"/>
          <w:szCs w:val="24"/>
          <w:lang w:bidi="ar"/>
        </w:rPr>
        <w:sectPr>
          <w:pgSz w:w="11906" w:h="16838"/>
          <w:pgMar w:top="1440" w:right="1800" w:bottom="1440" w:left="1800" w:header="851" w:footer="992" w:gutter="0"/>
          <w:cols w:space="425" w:num="1"/>
          <w:docGrid w:type="lines" w:linePitch="326" w:charSpace="0"/>
        </w:sectPr>
      </w:pPr>
      <w:r>
        <w:rPr>
          <w:rFonts w:hint="eastAsia" w:cs="Times New Roman"/>
          <w:b/>
          <w:szCs w:val="21"/>
        </w:rPr>
        <w:t>Figure S</w:t>
      </w:r>
      <w:r>
        <w:rPr>
          <w:rFonts w:cs="Times New Roman"/>
          <w:b/>
          <w:szCs w:val="21"/>
        </w:rPr>
        <w:t>3</w:t>
      </w:r>
      <w:r>
        <w:rPr>
          <w:rFonts w:hint="eastAsia" w:cs="Times New Roman"/>
          <w:b/>
          <w:szCs w:val="21"/>
        </w:rPr>
        <w:t>.</w:t>
      </w:r>
      <w:r>
        <w:rPr>
          <w:rFonts w:eastAsia="宋体" w:cs="Times New Roman"/>
          <w:b/>
          <w:color w:val="231F20"/>
          <w:kern w:val="0"/>
          <w:sz w:val="21"/>
          <w:szCs w:val="21"/>
          <w:lang w:bidi="ar"/>
        </w:rPr>
        <w:t xml:space="preserve"> </w:t>
      </w:r>
      <w:r>
        <w:rPr>
          <w:rFonts w:eastAsia="宋体" w:cs="Times New Roman"/>
          <w:color w:val="231F20"/>
          <w:kern w:val="0"/>
          <w:szCs w:val="24"/>
          <w:lang w:bidi="ar"/>
        </w:rPr>
        <w:t xml:space="preserve">Optimization of cofactor dose. Reaction conditions: (-)-perillyl alcohol, 10 mM; </w:t>
      </w:r>
      <w:r>
        <w:rPr>
          <w:rFonts w:ascii="Times New Roman Italic" w:hAnsi="Times New Roman Italic" w:cs="Times New Roman Italic"/>
          <w:i/>
          <w:iCs/>
          <w:szCs w:val="21"/>
        </w:rPr>
        <w:t>Lk</w:t>
      </w:r>
      <w:r>
        <w:rPr>
          <w:rFonts w:hint="eastAsia" w:cs="Times New Roman"/>
          <w:szCs w:val="21"/>
        </w:rPr>
        <w:t>ADH</w:t>
      </w:r>
      <w:r>
        <w:rPr>
          <w:rFonts w:cs="Times New Roman"/>
          <w:szCs w:val="21"/>
        </w:rPr>
        <w:t>,</w:t>
      </w:r>
      <w:r>
        <w:rPr>
          <w:rFonts w:hint="eastAsia" w:cs="Times New Roman"/>
          <w:szCs w:val="21"/>
        </w:rPr>
        <w:t xml:space="preserve"> 0.2 U/mL</w:t>
      </w:r>
      <w:r>
        <w:rPr>
          <w:rFonts w:eastAsia="宋体" w:cs="Times New Roman"/>
          <w:color w:val="231F20"/>
          <w:kern w:val="0"/>
          <w:szCs w:val="24"/>
          <w:lang w:bidi="ar"/>
        </w:rPr>
        <w:t>; [</w:t>
      </w:r>
      <w:r>
        <w:rPr>
          <w:rFonts w:ascii="Times New Roman Italic" w:hAnsi="Times New Roman Italic" w:eastAsia="Times New Roman Italic" w:cs="Times New Roman Italic"/>
          <w:i/>
          <w:color w:val="231F20"/>
          <w:kern w:val="0"/>
          <w:szCs w:val="24"/>
          <w:lang w:bidi="ar"/>
        </w:rPr>
        <w:t>Lk</w:t>
      </w:r>
      <w:r>
        <w:rPr>
          <w:rFonts w:eastAsia="宋体" w:cs="Times New Roman"/>
          <w:color w:val="231F20"/>
          <w:kern w:val="0"/>
          <w:szCs w:val="24"/>
          <w:lang w:bidi="ar"/>
        </w:rPr>
        <w:t>ADH]/[NOX]/[ATA-117] = 1/5/10; NAD</w:t>
      </w:r>
      <w:r>
        <w:rPr>
          <w:rFonts w:eastAsia="宋体" w:cs="Times New Roman"/>
          <w:color w:val="231F20"/>
          <w:kern w:val="0"/>
          <w:szCs w:val="24"/>
          <w:vertAlign w:val="superscript"/>
          <w:lang w:bidi="ar"/>
        </w:rPr>
        <w:t>+</w:t>
      </w:r>
      <w:r>
        <w:rPr>
          <w:rFonts w:eastAsia="宋体" w:cs="Times New Roman"/>
          <w:color w:val="231F20"/>
          <w:kern w:val="0"/>
          <w:szCs w:val="24"/>
          <w:lang w:bidi="ar"/>
        </w:rPr>
        <w:t>, 0, 0.2, 0.4, or 0.6 mM; PLP, 0.1, 0.2, 0.4, or 0.6 mM; 2-pentanamine,</w:t>
      </w:r>
      <w:r>
        <w:rPr>
          <w:rFonts w:cs="Times New Roman"/>
          <w:szCs w:val="21"/>
        </w:rPr>
        <w:t xml:space="preserve"> 80 mM</w:t>
      </w:r>
      <w:r>
        <w:rPr>
          <w:rFonts w:eastAsia="宋体" w:cs="Times New Roman"/>
          <w:color w:val="231F20"/>
          <w:kern w:val="0"/>
          <w:szCs w:val="24"/>
          <w:lang w:bidi="ar"/>
        </w:rPr>
        <w:t xml:space="preserve">; </w:t>
      </w:r>
      <w:r>
        <w:rPr>
          <w:rFonts w:cs="Times New Roman"/>
          <w:szCs w:val="21"/>
        </w:rPr>
        <w:t xml:space="preserve">KPB </w:t>
      </w:r>
      <w:r>
        <w:rPr>
          <w:rFonts w:hint="eastAsia" w:cs="Times New Roman"/>
          <w:szCs w:val="21"/>
        </w:rPr>
        <w:t>buffer</w:t>
      </w:r>
      <w:r>
        <w:rPr>
          <w:rFonts w:cs="Times New Roman"/>
          <w:szCs w:val="21"/>
        </w:rPr>
        <w:t>, 100 mM (pH 7.5)</w:t>
      </w:r>
      <w:r>
        <w:rPr>
          <w:rFonts w:eastAsia="宋体" w:cs="Times New Roman"/>
          <w:color w:val="231F20"/>
          <w:kern w:val="0"/>
          <w:szCs w:val="24"/>
          <w:lang w:bidi="ar"/>
        </w:rPr>
        <w:t xml:space="preserve">; Incubation, 35 </w:t>
      </w:r>
      <w:r>
        <w:rPr>
          <w:rFonts w:hint="eastAsia" w:eastAsia="宋体" w:cs="Times New Roman"/>
          <w:color w:val="231F20"/>
          <w:kern w:val="0"/>
          <w:szCs w:val="24"/>
          <w:lang w:bidi="ar"/>
        </w:rPr>
        <w:t>℃</w:t>
      </w:r>
      <w:r>
        <w:rPr>
          <w:rFonts w:eastAsia="宋体" w:cs="Times New Roman"/>
          <w:color w:val="231F20"/>
          <w:kern w:val="0"/>
          <w:szCs w:val="24"/>
          <w:lang w:bidi="ar"/>
        </w:rPr>
        <w:t>, 800 rpm, 12 h.</w:t>
      </w:r>
    </w:p>
    <w:p>
      <w:pPr>
        <w:widowControl/>
        <w:spacing w:before="163" w:beforeLines="50" w:after="163" w:afterLines="50" w:line="360" w:lineRule="auto"/>
        <w:jc w:val="left"/>
        <w:rPr>
          <w:rFonts w:cs="Times New Roman"/>
          <w:szCs w:val="21"/>
        </w:rPr>
      </w:pPr>
    </w:p>
    <w:p>
      <w:pPr>
        <w:spacing w:before="163" w:beforeLines="50" w:after="163" w:afterLines="50" w:line="240" w:lineRule="auto"/>
        <w:jc w:val="center"/>
        <w:rPr>
          <w:rFonts w:cs="Times New Roman"/>
          <w:b/>
          <w:szCs w:val="21"/>
        </w:rPr>
      </w:pPr>
      <w:r>
        <w:drawing>
          <wp:inline distT="0" distB="0" distL="114300" distR="114300">
            <wp:extent cx="4889500" cy="3429000"/>
            <wp:effectExtent l="0" t="0" r="12700" b="0"/>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7"/>
                    <a:stretch>
                      <a:fillRect/>
                    </a:stretch>
                  </pic:blipFill>
                  <pic:spPr>
                    <a:xfrm>
                      <a:off x="0" y="0"/>
                      <a:ext cx="4889500" cy="3429000"/>
                    </a:xfrm>
                    <a:prstGeom prst="rect">
                      <a:avLst/>
                    </a:prstGeom>
                    <a:noFill/>
                    <a:ln w="9525">
                      <a:noFill/>
                    </a:ln>
                  </pic:spPr>
                </pic:pic>
              </a:graphicData>
            </a:graphic>
          </wp:inline>
        </w:drawing>
      </w:r>
    </w:p>
    <w:p>
      <w:pPr>
        <w:spacing w:before="326" w:beforeLines="100" w:after="326" w:afterLines="100" w:line="360" w:lineRule="auto"/>
        <w:jc w:val="center"/>
        <w:rPr>
          <w:rFonts w:cs="Times New Roman"/>
          <w:b/>
          <w:sz w:val="28"/>
          <w:szCs w:val="21"/>
        </w:rPr>
        <w:sectPr>
          <w:pgSz w:w="11906" w:h="16838"/>
          <w:pgMar w:top="1440" w:right="1800" w:bottom="1440" w:left="1800" w:header="851" w:footer="992" w:gutter="0"/>
          <w:cols w:space="425" w:num="1"/>
          <w:docGrid w:type="lines" w:linePitch="326" w:charSpace="0"/>
        </w:sectPr>
      </w:pPr>
      <w:r>
        <w:rPr>
          <w:rFonts w:hint="eastAsia" w:cs="Times New Roman"/>
          <w:b/>
          <w:szCs w:val="21"/>
        </w:rPr>
        <w:t>Figure S</w:t>
      </w:r>
      <w:r>
        <w:rPr>
          <w:rFonts w:cs="Times New Roman"/>
          <w:b/>
          <w:szCs w:val="21"/>
        </w:rPr>
        <w:t>4</w:t>
      </w:r>
      <w:r>
        <w:rPr>
          <w:rFonts w:hint="eastAsia" w:cs="Times New Roman"/>
          <w:b/>
          <w:szCs w:val="21"/>
        </w:rPr>
        <w:t>.</w:t>
      </w:r>
      <w:r>
        <w:rPr>
          <w:rFonts w:hint="eastAsia" w:cs="Times New Roman"/>
          <w:b/>
          <w:szCs w:val="24"/>
        </w:rPr>
        <w:t xml:space="preserve"> </w:t>
      </w:r>
      <w:r>
        <w:rPr>
          <w:rFonts w:eastAsia="宋体" w:cs="Times New Roman"/>
          <w:color w:val="231F20"/>
          <w:kern w:val="0"/>
          <w:szCs w:val="24"/>
          <w:vertAlign w:val="superscript"/>
          <w:lang w:bidi="ar"/>
        </w:rPr>
        <w:t>1</w:t>
      </w:r>
      <w:r>
        <w:rPr>
          <w:rFonts w:eastAsia="宋体" w:cs="Times New Roman"/>
          <w:color w:val="231F20"/>
          <w:kern w:val="0"/>
          <w:szCs w:val="24"/>
          <w:lang w:bidi="ar"/>
        </w:rPr>
        <w:t>H-NMR spectrum of the purified (-)-perillamine from the multi-enzymatic reaction mixture</w:t>
      </w:r>
      <w:r>
        <w:rPr>
          <w:rFonts w:hint="eastAsia" w:cs="Times New Roman"/>
          <w:bCs/>
          <w:szCs w:val="20"/>
        </w:rPr>
        <w:t>.</w:t>
      </w:r>
    </w:p>
    <w:p>
      <w:pPr>
        <w:spacing w:before="326" w:beforeLines="100" w:after="326" w:afterLines="100" w:line="360" w:lineRule="auto"/>
        <w:jc w:val="center"/>
        <w:rPr>
          <w:rFonts w:cs="Times New Roman"/>
          <w:b/>
          <w:sz w:val="28"/>
          <w:szCs w:val="21"/>
        </w:rPr>
      </w:pPr>
    </w:p>
    <w:p>
      <w:pPr>
        <w:widowControl/>
        <w:spacing w:before="163" w:beforeLines="50" w:after="163" w:afterLines="50" w:line="240" w:lineRule="auto"/>
        <w:jc w:val="center"/>
        <w:rPr>
          <w:szCs w:val="24"/>
        </w:rPr>
      </w:pPr>
      <w:r>
        <w:rPr>
          <w:rFonts w:cs="Times New Roman"/>
          <w:b/>
          <w:szCs w:val="24"/>
        </w:rPr>
        <w:t>T</w:t>
      </w:r>
      <w:r>
        <w:rPr>
          <w:rFonts w:hint="eastAsia" w:cs="Times New Roman"/>
          <w:b/>
          <w:szCs w:val="24"/>
          <w:lang w:eastAsia="zh-Hans"/>
        </w:rPr>
        <w:t>able</w:t>
      </w:r>
      <w:r>
        <w:rPr>
          <w:rFonts w:hint="eastAsia" w:cs="Times New Roman"/>
          <w:b/>
          <w:szCs w:val="24"/>
        </w:rPr>
        <w:t xml:space="preserve"> S</w:t>
      </w:r>
      <w:r>
        <w:rPr>
          <w:rFonts w:cs="Times New Roman"/>
          <w:b/>
          <w:szCs w:val="24"/>
        </w:rPr>
        <w:t>1</w:t>
      </w:r>
      <w:r>
        <w:rPr>
          <w:rFonts w:hint="eastAsia" w:cs="Times New Roman"/>
          <w:b/>
          <w:szCs w:val="24"/>
        </w:rPr>
        <w:t xml:space="preserve">. </w:t>
      </w:r>
      <w:r>
        <w:rPr>
          <w:rFonts w:cs="Times New Roman"/>
          <w:bCs/>
          <w:szCs w:val="24"/>
        </w:rPr>
        <w:t>Inactivation e</w:t>
      </w:r>
      <w:r>
        <w:rPr>
          <w:szCs w:val="24"/>
        </w:rPr>
        <w:t xml:space="preserve">ffect of Triton X-100 on the </w:t>
      </w:r>
      <w:r>
        <w:rPr>
          <w:i/>
          <w:szCs w:val="24"/>
        </w:rPr>
        <w:t>Sm</w:t>
      </w:r>
      <w:r>
        <w:rPr>
          <w:szCs w:val="24"/>
        </w:rPr>
        <w:t>NOX activity.</w:t>
      </w:r>
    </w:p>
    <w:tbl>
      <w:tblPr>
        <w:tblStyle w:val="12"/>
        <w:tblW w:w="5000" w:type="pct"/>
        <w:jc w:val="center"/>
        <w:tblBorders>
          <w:top w:val="single" w:color="auto" w:sz="8" w:space="0"/>
          <w:left w:val="single" w:color="auto" w:sz="4" w:space="0"/>
          <w:bottom w:val="single" w:color="auto" w:sz="8"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4399"/>
        <w:gridCol w:w="1788"/>
        <w:gridCol w:w="2335"/>
      </w:tblGrid>
      <w:tr>
        <w:trPr>
          <w:trHeight w:val="567" w:hRule="atLeast"/>
          <w:jc w:val="center"/>
        </w:trPr>
        <w:tc>
          <w:tcPr>
            <w:tcW w:w="2581" w:type="pct"/>
            <w:vMerge w:val="restart"/>
            <w:tcBorders>
              <w:top w:val="single" w:color="auto" w:sz="8" w:space="0"/>
              <w:left w:val="nil"/>
              <w:bottom w:val="single" w:color="auto" w:sz="8" w:space="0"/>
              <w:right w:val="nil"/>
            </w:tcBorders>
            <w:shd w:val="clear" w:color="auto" w:fill="auto"/>
            <w:vAlign w:val="center"/>
          </w:tcPr>
          <w:p>
            <w:pPr>
              <w:widowControl/>
              <w:spacing w:before="0"/>
              <w:jc w:val="center"/>
              <w:rPr>
                <w:rFonts w:cs="Times New Roman"/>
                <w:sz w:val="21"/>
                <w:szCs w:val="21"/>
              </w:rPr>
            </w:pPr>
            <w:r>
              <w:rPr>
                <w:rFonts w:eastAsia="宋体" w:cs="Times New Roman"/>
                <w:b/>
                <w:color w:val="000000"/>
                <w:kern w:val="0"/>
                <w:sz w:val="21"/>
                <w:szCs w:val="21"/>
                <w:lang w:bidi="ar"/>
              </w:rPr>
              <w:t>Enzyme</w:t>
            </w:r>
          </w:p>
        </w:tc>
        <w:tc>
          <w:tcPr>
            <w:tcW w:w="2419" w:type="pct"/>
            <w:gridSpan w:val="2"/>
            <w:tcBorders>
              <w:top w:val="single" w:color="auto" w:sz="8" w:space="0"/>
              <w:left w:val="nil"/>
              <w:bottom w:val="single" w:color="auto" w:sz="8" w:space="0"/>
              <w:right w:val="nil"/>
            </w:tcBorders>
            <w:shd w:val="clear" w:color="auto" w:fill="auto"/>
            <w:vAlign w:val="center"/>
          </w:tcPr>
          <w:p>
            <w:pPr>
              <w:widowControl/>
              <w:spacing w:before="0"/>
              <w:jc w:val="center"/>
              <w:rPr>
                <w:rFonts w:cs="Times New Roman"/>
                <w:b/>
                <w:color w:val="000000"/>
                <w:sz w:val="21"/>
                <w:szCs w:val="21"/>
              </w:rPr>
            </w:pPr>
            <w:r>
              <w:rPr>
                <w:rFonts w:eastAsia="宋体" w:cs="Times New Roman"/>
                <w:b/>
                <w:color w:val="000000"/>
                <w:kern w:val="0"/>
                <w:sz w:val="21"/>
                <w:szCs w:val="21"/>
                <w:lang w:bidi="ar"/>
              </w:rPr>
              <w:t>Residual activity (%)</w:t>
            </w:r>
          </w:p>
        </w:tc>
      </w:tr>
      <w:tr>
        <w:tblPrEx>
          <w:tblBorders>
            <w:top w:val="single" w:color="auto" w:sz="8" w:space="0"/>
            <w:left w:val="single" w:color="auto" w:sz="4" w:space="0"/>
            <w:bottom w:val="single" w:color="auto" w:sz="8" w:space="0"/>
            <w:right w:val="single" w:color="auto" w:sz="4" w:space="0"/>
            <w:insideH w:val="none" w:color="auto" w:sz="0" w:space="0"/>
            <w:insideV w:val="none" w:color="auto" w:sz="0" w:space="0"/>
          </w:tblBorders>
        </w:tblPrEx>
        <w:trPr>
          <w:trHeight w:val="567" w:hRule="atLeast"/>
          <w:jc w:val="center"/>
        </w:trPr>
        <w:tc>
          <w:tcPr>
            <w:tcW w:w="2581" w:type="pct"/>
            <w:vMerge w:val="continue"/>
            <w:tcBorders>
              <w:top w:val="single" w:color="auto" w:sz="8" w:space="0"/>
              <w:left w:val="nil"/>
              <w:bottom w:val="single" w:color="auto" w:sz="8" w:space="0"/>
              <w:right w:val="nil"/>
            </w:tcBorders>
            <w:shd w:val="clear" w:color="auto" w:fill="auto"/>
            <w:vAlign w:val="center"/>
          </w:tcPr>
          <w:p>
            <w:pPr>
              <w:rPr>
                <w:rFonts w:cs="Times New Roman"/>
                <w:sz w:val="20"/>
                <w:szCs w:val="20"/>
              </w:rPr>
            </w:pPr>
          </w:p>
        </w:tc>
        <w:tc>
          <w:tcPr>
            <w:tcW w:w="1049" w:type="pct"/>
            <w:tcBorders>
              <w:top w:val="single" w:color="auto" w:sz="8" w:space="0"/>
              <w:left w:val="nil"/>
              <w:bottom w:val="single" w:color="auto" w:sz="8" w:space="0"/>
              <w:right w:val="nil"/>
            </w:tcBorders>
            <w:shd w:val="clear" w:color="auto" w:fill="auto"/>
            <w:vAlign w:val="center"/>
          </w:tcPr>
          <w:p>
            <w:pPr>
              <w:widowControl/>
              <w:spacing w:before="0"/>
              <w:jc w:val="center"/>
              <w:rPr>
                <w:rFonts w:cs="Times New Roman"/>
                <w:color w:val="000000"/>
                <w:sz w:val="21"/>
                <w:szCs w:val="21"/>
              </w:rPr>
            </w:pPr>
            <w:r>
              <w:rPr>
                <w:rFonts w:eastAsia="宋体" w:cs="Times New Roman"/>
                <w:color w:val="000000"/>
                <w:kern w:val="0"/>
                <w:sz w:val="21"/>
                <w:szCs w:val="21"/>
                <w:lang w:bidi="ar"/>
              </w:rPr>
              <w:t>0 h</w:t>
            </w:r>
          </w:p>
        </w:tc>
        <w:tc>
          <w:tcPr>
            <w:tcW w:w="1370" w:type="pct"/>
            <w:tcBorders>
              <w:top w:val="single" w:color="auto" w:sz="8" w:space="0"/>
              <w:left w:val="nil"/>
              <w:bottom w:val="single" w:color="auto" w:sz="8" w:space="0"/>
              <w:right w:val="nil"/>
            </w:tcBorders>
            <w:shd w:val="clear" w:color="auto" w:fill="auto"/>
            <w:vAlign w:val="center"/>
          </w:tcPr>
          <w:p>
            <w:pPr>
              <w:widowControl/>
              <w:spacing w:before="0"/>
              <w:jc w:val="center"/>
              <w:rPr>
                <w:rFonts w:cs="Times New Roman"/>
                <w:color w:val="000000"/>
                <w:sz w:val="21"/>
                <w:szCs w:val="21"/>
              </w:rPr>
            </w:pPr>
            <w:r>
              <w:rPr>
                <w:rFonts w:eastAsia="宋体" w:cs="Times New Roman"/>
                <w:color w:val="000000"/>
                <w:kern w:val="0"/>
                <w:sz w:val="21"/>
                <w:szCs w:val="21"/>
                <w:lang w:bidi="ar"/>
              </w:rPr>
              <w:t>12 h</w:t>
            </w:r>
          </w:p>
        </w:tc>
      </w:tr>
      <w:tr>
        <w:tblPrEx>
          <w:tblBorders>
            <w:top w:val="single" w:color="auto" w:sz="8" w:space="0"/>
            <w:left w:val="single" w:color="auto" w:sz="4" w:space="0"/>
            <w:bottom w:val="single" w:color="auto" w:sz="8" w:space="0"/>
            <w:right w:val="single" w:color="auto" w:sz="4" w:space="0"/>
            <w:insideH w:val="none" w:color="auto" w:sz="0" w:space="0"/>
            <w:insideV w:val="none" w:color="auto" w:sz="0" w:space="0"/>
          </w:tblBorders>
        </w:tblPrEx>
        <w:trPr>
          <w:trHeight w:val="567" w:hRule="atLeast"/>
          <w:jc w:val="center"/>
        </w:trPr>
        <w:tc>
          <w:tcPr>
            <w:tcW w:w="2581" w:type="pct"/>
            <w:tcBorders>
              <w:top w:val="single" w:color="auto" w:sz="8" w:space="0"/>
              <w:left w:val="nil"/>
              <w:bottom w:val="nil"/>
              <w:right w:val="nil"/>
            </w:tcBorders>
            <w:shd w:val="clear" w:color="auto" w:fill="auto"/>
          </w:tcPr>
          <w:p>
            <w:pPr>
              <w:widowControl/>
              <w:spacing w:before="81" w:beforeLines="25" w:after="81" w:afterLines="25" w:line="300" w:lineRule="auto"/>
              <w:jc w:val="center"/>
              <w:rPr>
                <w:rFonts w:cs="Times New Roman"/>
                <w:sz w:val="21"/>
                <w:szCs w:val="21"/>
              </w:rPr>
            </w:pPr>
            <w:r>
              <w:rPr>
                <w:rFonts w:eastAsia="宋体" w:cs="Times New Roman"/>
                <w:i/>
                <w:kern w:val="0"/>
                <w:sz w:val="21"/>
                <w:szCs w:val="21"/>
                <w:lang w:bidi="ar"/>
              </w:rPr>
              <w:t>Sm</w:t>
            </w:r>
            <w:r>
              <w:rPr>
                <w:rFonts w:eastAsia="宋体" w:cs="Times New Roman"/>
                <w:kern w:val="0"/>
                <w:sz w:val="21"/>
                <w:szCs w:val="21"/>
                <w:lang w:bidi="ar"/>
              </w:rPr>
              <w:t>NOX</w:t>
            </w:r>
          </w:p>
        </w:tc>
        <w:tc>
          <w:tcPr>
            <w:tcW w:w="1049" w:type="pct"/>
            <w:tcBorders>
              <w:top w:val="single" w:color="auto" w:sz="8" w:space="0"/>
              <w:left w:val="nil"/>
              <w:bottom w:val="nil"/>
              <w:right w:val="nil"/>
            </w:tcBorders>
            <w:shd w:val="clear" w:color="auto" w:fill="auto"/>
          </w:tcPr>
          <w:p>
            <w:pPr>
              <w:widowControl/>
              <w:spacing w:before="81" w:beforeLines="25" w:after="81" w:afterLines="25" w:line="300" w:lineRule="auto"/>
              <w:jc w:val="center"/>
              <w:rPr>
                <w:rFonts w:cs="Times New Roman"/>
                <w:sz w:val="21"/>
                <w:szCs w:val="21"/>
              </w:rPr>
            </w:pPr>
            <w:r>
              <w:rPr>
                <w:rFonts w:eastAsia="宋体" w:cs="Times New Roman"/>
                <w:kern w:val="0"/>
                <w:sz w:val="21"/>
                <w:szCs w:val="21"/>
                <w:lang w:bidi="ar"/>
              </w:rPr>
              <w:t>100</w:t>
            </w:r>
          </w:p>
        </w:tc>
        <w:tc>
          <w:tcPr>
            <w:tcW w:w="1370" w:type="pct"/>
            <w:tcBorders>
              <w:top w:val="single" w:color="auto" w:sz="8" w:space="0"/>
              <w:left w:val="nil"/>
              <w:bottom w:val="nil"/>
              <w:right w:val="nil"/>
            </w:tcBorders>
            <w:shd w:val="clear" w:color="auto" w:fill="auto"/>
          </w:tcPr>
          <w:p>
            <w:pPr>
              <w:widowControl/>
              <w:spacing w:before="81" w:beforeLines="25" w:after="81" w:afterLines="25" w:line="300" w:lineRule="auto"/>
              <w:jc w:val="center"/>
              <w:rPr>
                <w:rFonts w:cs="Times New Roman"/>
                <w:sz w:val="21"/>
                <w:szCs w:val="21"/>
              </w:rPr>
            </w:pPr>
            <w:r>
              <w:rPr>
                <w:rFonts w:eastAsia="宋体" w:cs="Times New Roman"/>
                <w:kern w:val="0"/>
                <w:sz w:val="21"/>
                <w:szCs w:val="21"/>
                <w:lang w:bidi="ar"/>
              </w:rPr>
              <w:t>81 ± 4</w:t>
            </w:r>
          </w:p>
        </w:tc>
      </w:tr>
      <w:tr>
        <w:trPr>
          <w:trHeight w:val="567" w:hRule="atLeast"/>
          <w:jc w:val="center"/>
        </w:trPr>
        <w:tc>
          <w:tcPr>
            <w:tcW w:w="2581" w:type="pct"/>
            <w:tcBorders>
              <w:top w:val="nil"/>
              <w:left w:val="nil"/>
              <w:bottom w:val="single" w:color="auto" w:sz="8" w:space="0"/>
              <w:right w:val="nil"/>
            </w:tcBorders>
            <w:shd w:val="clear" w:color="auto" w:fill="auto"/>
          </w:tcPr>
          <w:p>
            <w:pPr>
              <w:widowControl/>
              <w:spacing w:before="81" w:beforeLines="25" w:after="81" w:afterLines="25" w:line="300" w:lineRule="auto"/>
              <w:jc w:val="center"/>
              <w:rPr>
                <w:rFonts w:cs="Times New Roman"/>
                <w:sz w:val="21"/>
                <w:szCs w:val="21"/>
              </w:rPr>
            </w:pPr>
            <w:r>
              <w:rPr>
                <w:rFonts w:eastAsia="宋体" w:cs="Times New Roman"/>
                <w:i/>
                <w:kern w:val="0"/>
                <w:sz w:val="21"/>
                <w:szCs w:val="21"/>
                <w:lang w:bidi="ar"/>
              </w:rPr>
              <w:t>Sm</w:t>
            </w:r>
            <w:r>
              <w:rPr>
                <w:rFonts w:eastAsia="宋体" w:cs="Times New Roman"/>
                <w:kern w:val="0"/>
                <w:sz w:val="21"/>
                <w:szCs w:val="21"/>
                <w:lang w:bidi="ar"/>
              </w:rPr>
              <w:t>NOX +</w:t>
            </w:r>
            <w:r>
              <w:rPr>
                <w:rFonts w:eastAsia="宋体" w:cs="Times New Roman"/>
                <w:color w:val="000000"/>
                <w:kern w:val="0"/>
                <w:sz w:val="21"/>
                <w:szCs w:val="21"/>
                <w:lang w:bidi="ar"/>
              </w:rPr>
              <w:t xml:space="preserve"> Triton X-100</w:t>
            </w:r>
          </w:p>
        </w:tc>
        <w:tc>
          <w:tcPr>
            <w:tcW w:w="1049" w:type="pct"/>
            <w:tcBorders>
              <w:top w:val="nil"/>
              <w:left w:val="nil"/>
              <w:bottom w:val="single" w:color="auto" w:sz="8" w:space="0"/>
              <w:right w:val="nil"/>
            </w:tcBorders>
            <w:shd w:val="clear" w:color="auto" w:fill="auto"/>
          </w:tcPr>
          <w:p>
            <w:pPr>
              <w:widowControl/>
              <w:spacing w:before="81" w:beforeLines="25" w:after="81" w:afterLines="25" w:line="300" w:lineRule="auto"/>
              <w:jc w:val="center"/>
              <w:rPr>
                <w:rFonts w:cs="Times New Roman"/>
                <w:sz w:val="21"/>
                <w:szCs w:val="21"/>
              </w:rPr>
            </w:pPr>
            <w:r>
              <w:rPr>
                <w:rFonts w:eastAsia="宋体" w:cs="Times New Roman"/>
                <w:kern w:val="0"/>
                <w:sz w:val="21"/>
                <w:szCs w:val="21"/>
                <w:lang w:bidi="ar"/>
              </w:rPr>
              <w:t>94 ± 1</w:t>
            </w:r>
          </w:p>
        </w:tc>
        <w:tc>
          <w:tcPr>
            <w:tcW w:w="1370" w:type="pct"/>
            <w:tcBorders>
              <w:top w:val="nil"/>
              <w:left w:val="nil"/>
              <w:bottom w:val="single" w:color="auto" w:sz="8" w:space="0"/>
              <w:right w:val="nil"/>
            </w:tcBorders>
            <w:shd w:val="clear" w:color="auto" w:fill="auto"/>
          </w:tcPr>
          <w:p>
            <w:pPr>
              <w:widowControl/>
              <w:spacing w:before="81" w:beforeLines="25" w:after="81" w:afterLines="25" w:line="300" w:lineRule="auto"/>
              <w:jc w:val="center"/>
              <w:rPr>
                <w:rFonts w:cs="Times New Roman"/>
                <w:sz w:val="21"/>
                <w:szCs w:val="21"/>
              </w:rPr>
            </w:pPr>
            <w:r>
              <w:rPr>
                <w:rFonts w:eastAsia="宋体" w:cs="Times New Roman"/>
                <w:kern w:val="0"/>
                <w:sz w:val="21"/>
                <w:szCs w:val="21"/>
                <w:lang w:bidi="ar"/>
              </w:rPr>
              <w:t>37 ± 3</w:t>
            </w:r>
          </w:p>
        </w:tc>
      </w:tr>
    </w:tbl>
    <w:p>
      <w:pPr>
        <w:spacing w:before="163" w:beforeLines="50" w:after="163" w:afterLines="50" w:line="360" w:lineRule="auto"/>
        <w:rPr>
          <w:rFonts w:ascii="Times New Roman" w:hAnsi="Times New Roman" w:cs="Times New Roman"/>
          <w:b w:val="0"/>
          <w:bCs/>
          <w:color w:val="auto"/>
          <w:szCs w:val="21"/>
        </w:rPr>
      </w:pPr>
      <w:r>
        <w:rPr>
          <w:rFonts w:ascii="Times New Roman" w:hAnsi="Times New Roman" w:cs="Times New Roman"/>
          <w:b w:val="0"/>
          <w:bCs/>
          <w:color w:val="auto"/>
          <w:szCs w:val="21"/>
        </w:rPr>
        <w:t>The experiments were performed for triplicates and shown as the average ± standard deviations (SD).</w:t>
      </w:r>
    </w:p>
    <w:sectPr>
      <w:pgSz w:w="11906" w:h="16838"/>
      <w:pgMar w:top="1440" w:right="1800" w:bottom="1440" w:left="180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Times New Roman Regular">
    <w:panose1 w:val="02020603050405020304"/>
    <w:charset w:val="00"/>
    <w:family w:val="auto"/>
    <w:pitch w:val="default"/>
    <w:sig w:usb0="E0002AEF" w:usb1="C0007841" w:usb2="00000009" w:usb3="00000000" w:csb0="400001FF" w:csb1="FFFF0000"/>
  </w:font>
  <w:font w:name="Times New Roman Italic">
    <w:panose1 w:val="02020603050405020304"/>
    <w:charset w:val="00"/>
    <w:family w:val="auto"/>
    <w:pitch w:val="default"/>
    <w:sig w:usb0="E0002AEF" w:usb1="C0007841" w:usb2="00000009" w:usb3="00000000" w:csb0="400001FF" w:csb1="FFFF0000"/>
  </w:font>
  <w:font w:name="Times New Roman Bold">
    <w:panose1 w:val="02020603050405020304"/>
    <w:charset w:val="00"/>
    <w:family w:val="auto"/>
    <w:pitch w:val="default"/>
    <w:sig w:usb0="E0002AEF" w:usb1="C0007841" w:usb2="00000009" w:usb3="00000000" w:csb0="400001FF" w:csb1="FFFF0000"/>
  </w:font>
  <w:font w:name="宋体-简">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bordersDoNotSurroundHeader w:val="1"/>
  <w:bordersDoNotSurroundFooter w:val="1"/>
  <w:trackRevisions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10FA"/>
    <w:rsid w:val="00036160"/>
    <w:rsid w:val="000701C9"/>
    <w:rsid w:val="000E55C3"/>
    <w:rsid w:val="001A795A"/>
    <w:rsid w:val="001E2E11"/>
    <w:rsid w:val="001F6FE7"/>
    <w:rsid w:val="0022681B"/>
    <w:rsid w:val="0025383B"/>
    <w:rsid w:val="002707AE"/>
    <w:rsid w:val="00276031"/>
    <w:rsid w:val="002A7FC7"/>
    <w:rsid w:val="002B0B8F"/>
    <w:rsid w:val="00303CEE"/>
    <w:rsid w:val="0030549F"/>
    <w:rsid w:val="00305B8B"/>
    <w:rsid w:val="00340D23"/>
    <w:rsid w:val="00355DE4"/>
    <w:rsid w:val="0037510A"/>
    <w:rsid w:val="003B225F"/>
    <w:rsid w:val="00441B4B"/>
    <w:rsid w:val="00463B28"/>
    <w:rsid w:val="0047556B"/>
    <w:rsid w:val="004B6870"/>
    <w:rsid w:val="004C66E5"/>
    <w:rsid w:val="004F5944"/>
    <w:rsid w:val="005810FA"/>
    <w:rsid w:val="00584C41"/>
    <w:rsid w:val="005B18BF"/>
    <w:rsid w:val="00697DB1"/>
    <w:rsid w:val="006F5A52"/>
    <w:rsid w:val="007006EC"/>
    <w:rsid w:val="007136A4"/>
    <w:rsid w:val="00813F4F"/>
    <w:rsid w:val="00816977"/>
    <w:rsid w:val="00850324"/>
    <w:rsid w:val="008E4B22"/>
    <w:rsid w:val="00903D9F"/>
    <w:rsid w:val="00971172"/>
    <w:rsid w:val="00991BD7"/>
    <w:rsid w:val="009A77A9"/>
    <w:rsid w:val="009F000C"/>
    <w:rsid w:val="009F3239"/>
    <w:rsid w:val="00A34C92"/>
    <w:rsid w:val="00AA4959"/>
    <w:rsid w:val="00BC367A"/>
    <w:rsid w:val="00C71BDC"/>
    <w:rsid w:val="00D44386"/>
    <w:rsid w:val="00D46D59"/>
    <w:rsid w:val="00DC3D84"/>
    <w:rsid w:val="00DC72B5"/>
    <w:rsid w:val="00E06C42"/>
    <w:rsid w:val="00E8341C"/>
    <w:rsid w:val="00EF0703"/>
    <w:rsid w:val="00EF2CC9"/>
    <w:rsid w:val="00F94A81"/>
    <w:rsid w:val="00FA4E3F"/>
    <w:rsid w:val="00FF3284"/>
    <w:rsid w:val="00FF7CD2"/>
    <w:rsid w:val="269EBC30"/>
    <w:rsid w:val="37F7D87D"/>
    <w:rsid w:val="4F7F887F"/>
    <w:rsid w:val="4FE91022"/>
    <w:rsid w:val="6D7F75AF"/>
    <w:rsid w:val="7FBF2001"/>
    <w:rsid w:val="7FFFBC0A"/>
    <w:rsid w:val="CDFD3A7B"/>
    <w:rsid w:val="CFB7B24B"/>
    <w:rsid w:val="DBFBB698"/>
    <w:rsid w:val="EFBF7629"/>
    <w:rsid w:val="FAAFF22D"/>
    <w:rsid w:val="FEAC2F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240" w:line="480" w:lineRule="auto"/>
      <w:jc w:val="both"/>
    </w:pPr>
    <w:rPr>
      <w:rFonts w:ascii="Times New Roman" w:hAnsi="Times New Roman" w:eastAsiaTheme="minorEastAsia" w:cstheme="minorBidi"/>
      <w:kern w:val="2"/>
      <w:sz w:val="24"/>
      <w:szCs w:val="22"/>
      <w:lang w:val="en-US" w:eastAsia="zh-CN" w:bidi="ar-SA"/>
    </w:rPr>
  </w:style>
  <w:style w:type="paragraph" w:styleId="2">
    <w:name w:val="heading 1"/>
    <w:basedOn w:val="3"/>
    <w:next w:val="1"/>
    <w:link w:val="13"/>
    <w:qFormat/>
    <w:uiPriority w:val="0"/>
    <w:pPr>
      <w:keepNext/>
      <w:widowControl/>
      <w:spacing w:before="320" w:after="60"/>
      <w:ind w:left="506" w:hanging="506" w:hangingChars="180"/>
      <w:contextualSpacing/>
      <w:outlineLvl w:val="0"/>
    </w:pPr>
    <w:rPr>
      <w:b/>
      <w:sz w:val="28"/>
      <w:szCs w:val="28"/>
    </w:rPr>
  </w:style>
  <w:style w:type="character" w:default="1" w:styleId="9">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customStyle="1" w:styleId="3">
    <w:name w:val="列表段落1"/>
    <w:basedOn w:val="1"/>
    <w:qFormat/>
    <w:uiPriority w:val="34"/>
    <w:pPr>
      <w:ind w:firstLine="420" w:firstLineChars="200"/>
    </w:pPr>
  </w:style>
  <w:style w:type="paragraph" w:styleId="4">
    <w:name w:val="annotation subject"/>
    <w:basedOn w:val="5"/>
    <w:next w:val="5"/>
    <w:link w:val="20"/>
    <w:unhideWhenUsed/>
    <w:qFormat/>
    <w:uiPriority w:val="99"/>
    <w:rPr>
      <w:b/>
      <w:bCs/>
    </w:rPr>
  </w:style>
  <w:style w:type="paragraph" w:styleId="5">
    <w:name w:val="annotation text"/>
    <w:basedOn w:val="1"/>
    <w:link w:val="16"/>
    <w:unhideWhenUsed/>
    <w:qFormat/>
    <w:uiPriority w:val="99"/>
    <w:pPr>
      <w:jc w:val="left"/>
    </w:pPr>
  </w:style>
  <w:style w:type="paragraph" w:styleId="6">
    <w:name w:val="Balloon Text"/>
    <w:basedOn w:val="1"/>
    <w:link w:val="17"/>
    <w:unhideWhenUsed/>
    <w:qFormat/>
    <w:uiPriority w:val="99"/>
    <w:pPr>
      <w:spacing w:before="0" w:line="240" w:lineRule="auto"/>
    </w:pPr>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annotation reference"/>
    <w:basedOn w:val="9"/>
    <w:unhideWhenUsed/>
    <w:qFormat/>
    <w:uiPriority w:val="99"/>
    <w:rPr>
      <w:sz w:val="21"/>
      <w:szCs w:val="21"/>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customStyle="1" w:styleId="13">
    <w:name w:val="标题 1 字符"/>
    <w:basedOn w:val="9"/>
    <w:link w:val="2"/>
    <w:qFormat/>
    <w:uiPriority w:val="0"/>
    <w:rPr>
      <w:rFonts w:ascii="Times New Roman" w:hAnsi="Times New Roman"/>
      <w:b/>
      <w:sz w:val="28"/>
      <w:szCs w:val="28"/>
    </w:rPr>
  </w:style>
  <w:style w:type="character" w:customStyle="1" w:styleId="14">
    <w:name w:val="页眉 字符"/>
    <w:basedOn w:val="9"/>
    <w:link w:val="8"/>
    <w:qFormat/>
    <w:uiPriority w:val="99"/>
    <w:rPr>
      <w:sz w:val="18"/>
      <w:szCs w:val="18"/>
    </w:rPr>
  </w:style>
  <w:style w:type="character" w:customStyle="1" w:styleId="15">
    <w:name w:val="页脚 字符"/>
    <w:basedOn w:val="9"/>
    <w:link w:val="7"/>
    <w:qFormat/>
    <w:uiPriority w:val="99"/>
    <w:rPr>
      <w:sz w:val="18"/>
      <w:szCs w:val="18"/>
    </w:rPr>
  </w:style>
  <w:style w:type="character" w:customStyle="1" w:styleId="16">
    <w:name w:val="批注文字 字符"/>
    <w:basedOn w:val="9"/>
    <w:link w:val="5"/>
    <w:semiHidden/>
    <w:qFormat/>
    <w:uiPriority w:val="99"/>
    <w:rPr>
      <w:rFonts w:ascii="Times New Roman" w:hAnsi="Times New Roman"/>
      <w:sz w:val="24"/>
    </w:rPr>
  </w:style>
  <w:style w:type="character" w:customStyle="1" w:styleId="17">
    <w:name w:val="批注框文本 字符"/>
    <w:basedOn w:val="9"/>
    <w:link w:val="6"/>
    <w:semiHidden/>
    <w:qFormat/>
    <w:uiPriority w:val="99"/>
    <w:rPr>
      <w:rFonts w:ascii="Times New Roman" w:hAnsi="Times New Roman"/>
      <w:sz w:val="18"/>
      <w:szCs w:val="18"/>
    </w:rPr>
  </w:style>
  <w:style w:type="paragraph" w:customStyle="1" w:styleId="18">
    <w:name w:val="图表"/>
    <w:basedOn w:val="1"/>
    <w:qFormat/>
    <w:uiPriority w:val="0"/>
    <w:pPr>
      <w:spacing w:before="0" w:afterAutospacing="1" w:line="300" w:lineRule="auto"/>
      <w:jc w:val="center"/>
    </w:pPr>
    <w:rPr>
      <w:rFonts w:eastAsia="宋体" w:cs="Times New Roman"/>
      <w:sz w:val="21"/>
      <w:szCs w:val="21"/>
    </w:rPr>
  </w:style>
  <w:style w:type="paragraph" w:customStyle="1" w:styleId="19">
    <w:name w:val="修订1"/>
    <w:hidden/>
    <w:semiHidden/>
    <w:qFormat/>
    <w:uiPriority w:val="99"/>
    <w:rPr>
      <w:rFonts w:ascii="Times New Roman" w:hAnsi="Times New Roman" w:eastAsiaTheme="minorEastAsia" w:cstheme="minorBidi"/>
      <w:kern w:val="2"/>
      <w:sz w:val="24"/>
      <w:szCs w:val="22"/>
      <w:lang w:val="en-US" w:eastAsia="zh-CN" w:bidi="ar-SA"/>
    </w:rPr>
  </w:style>
  <w:style w:type="character" w:customStyle="1" w:styleId="20">
    <w:name w:val="批注主题 字符"/>
    <w:basedOn w:val="16"/>
    <w:link w:val="4"/>
    <w:semiHidden/>
    <w:qFormat/>
    <w:uiPriority w:val="99"/>
    <w:rPr>
      <w:rFonts w:ascii="Times New Roman" w:hAnsi="Times New Roman" w:eastAsiaTheme="minorEastAsia" w:cstheme="minorBidi"/>
      <w:b/>
      <w:bCs/>
      <w:kern w:val="2"/>
      <w:sz w:val="24"/>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286</Words>
  <Characters>1635</Characters>
  <Lines>13</Lines>
  <Paragraphs>3</Paragraphs>
  <ScaleCrop>false</ScaleCrop>
  <LinksUpToDate>false</LinksUpToDate>
  <CharactersWithSpaces>1918</CharactersWithSpaces>
  <Application>WPS Office_3.9.6.6441_F1E327BC-269C-435d-A152-05C5408002CA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2019-03-28T13:39:00Z</dcterms:created>
  <dc:creator>HuaxinHan</dc:creator>
  <cp:lastModifiedBy>gaiyue</cp:lastModifiedBy>
  <dcterms:modified xsi:type="dcterms:W3CDTF">2022-05-09T19:15:23Z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