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318" w:rsidRPr="00382D4E" w:rsidRDefault="00BC0318" w:rsidP="00BC0318">
      <w:pPr>
        <w:spacing w:line="360" w:lineRule="auto"/>
        <w:rPr>
          <w:rFonts w:ascii="Calibri" w:eastAsia="Calibri" w:hAnsi="Calibri" w:cs="Calibri"/>
          <w:lang w:eastAsia="en-US"/>
        </w:rPr>
      </w:pPr>
      <w:r w:rsidRPr="00382D4E">
        <w:rPr>
          <w:rFonts w:ascii="Calibri" w:eastAsia="Calibri" w:hAnsi="Calibri" w:cs="Calibri"/>
          <w:b/>
          <w:bCs/>
          <w:lang w:eastAsia="en-US"/>
        </w:rPr>
        <w:t xml:space="preserve">Supplementary Table 1: </w:t>
      </w:r>
      <w:r w:rsidRPr="00382D4E">
        <w:rPr>
          <w:rFonts w:ascii="Calibri" w:eastAsia="Calibri" w:hAnsi="Calibri" w:cs="Calibri"/>
          <w:lang w:eastAsia="en-US"/>
        </w:rPr>
        <w:t>Mean live weight (± SE), in grams, of ten families (F1 to F10) of recipient oysters from the control treatment, collected at the start (T0h) and the end of the experimental challenge (T336h).</w:t>
      </w:r>
    </w:p>
    <w:p w:rsidR="00BC0318" w:rsidRPr="00382D4E" w:rsidRDefault="00BC0318" w:rsidP="00BC0318">
      <w:pPr>
        <w:rPr>
          <w:rFonts w:asciiTheme="minorHAnsi" w:eastAsiaTheme="minorEastAsia" w:hAnsiTheme="minorHAnsi" w:cstheme="minorBidi"/>
          <w:lang w:eastAsia="en-US"/>
        </w:rPr>
      </w:pPr>
    </w:p>
    <w:tbl>
      <w:tblPr>
        <w:tblStyle w:val="PlainTable2"/>
        <w:tblW w:w="0" w:type="auto"/>
        <w:tblLayout w:type="fixed"/>
        <w:tblLook w:val="06A0" w:firstRow="1" w:lastRow="0" w:firstColumn="1" w:lastColumn="0" w:noHBand="1" w:noVBand="1"/>
      </w:tblPr>
      <w:tblGrid>
        <w:gridCol w:w="1125"/>
        <w:gridCol w:w="1125"/>
        <w:gridCol w:w="1155"/>
      </w:tblGrid>
      <w:tr w:rsidR="00BC0318" w:rsidRPr="00382D4E" w:rsidTr="00244F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:rsidR="00BC0318" w:rsidRPr="00382D4E" w:rsidRDefault="00BC0318" w:rsidP="00244F56">
            <w:pPr>
              <w:spacing w:line="257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Family</w:t>
            </w:r>
          </w:p>
        </w:tc>
        <w:tc>
          <w:tcPr>
            <w:tcW w:w="1125" w:type="dxa"/>
          </w:tcPr>
          <w:p w:rsidR="00BC0318" w:rsidRPr="00382D4E" w:rsidRDefault="00BC0318" w:rsidP="00244F56">
            <w:pPr>
              <w:spacing w:line="257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T0h</w:t>
            </w:r>
          </w:p>
        </w:tc>
        <w:tc>
          <w:tcPr>
            <w:tcW w:w="1155" w:type="dxa"/>
          </w:tcPr>
          <w:p w:rsidR="00BC0318" w:rsidRPr="00382D4E" w:rsidRDefault="00BC0318" w:rsidP="00244F56">
            <w:pPr>
              <w:spacing w:line="257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T 336h</w:t>
            </w:r>
          </w:p>
        </w:tc>
      </w:tr>
      <w:tr w:rsidR="00BC0318" w:rsidRPr="00382D4E" w:rsidTr="00244F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:rsidR="00BC0318" w:rsidRPr="00382D4E" w:rsidRDefault="00BC0318" w:rsidP="00244F56">
            <w:pPr>
              <w:spacing w:line="257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F1</w:t>
            </w:r>
          </w:p>
        </w:tc>
        <w:tc>
          <w:tcPr>
            <w:tcW w:w="112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1.24±0.4</w:t>
            </w:r>
          </w:p>
        </w:tc>
        <w:tc>
          <w:tcPr>
            <w:tcW w:w="115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1.79±0.5</w:t>
            </w:r>
          </w:p>
        </w:tc>
      </w:tr>
      <w:tr w:rsidR="00BC0318" w:rsidRPr="00382D4E" w:rsidTr="00244F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:rsidR="00BC0318" w:rsidRPr="00382D4E" w:rsidRDefault="00BC0318" w:rsidP="00244F56">
            <w:pPr>
              <w:spacing w:line="257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F2</w:t>
            </w:r>
          </w:p>
        </w:tc>
        <w:tc>
          <w:tcPr>
            <w:tcW w:w="112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1.03±0.3</w:t>
            </w:r>
          </w:p>
        </w:tc>
        <w:tc>
          <w:tcPr>
            <w:tcW w:w="115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1.2±0.2</w:t>
            </w:r>
          </w:p>
        </w:tc>
      </w:tr>
      <w:tr w:rsidR="00BC0318" w:rsidRPr="00382D4E" w:rsidTr="00244F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:rsidR="00BC0318" w:rsidRPr="00382D4E" w:rsidRDefault="00BC0318" w:rsidP="00244F56">
            <w:pPr>
              <w:spacing w:line="257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F3</w:t>
            </w:r>
          </w:p>
        </w:tc>
        <w:tc>
          <w:tcPr>
            <w:tcW w:w="112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1.52±0.2</w:t>
            </w:r>
          </w:p>
        </w:tc>
        <w:tc>
          <w:tcPr>
            <w:tcW w:w="115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1.65±0.3</w:t>
            </w:r>
          </w:p>
        </w:tc>
      </w:tr>
      <w:tr w:rsidR="00BC0318" w:rsidRPr="00382D4E" w:rsidTr="00244F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:rsidR="00BC0318" w:rsidRPr="00382D4E" w:rsidRDefault="00BC0318" w:rsidP="00244F56">
            <w:pPr>
              <w:spacing w:line="257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F4</w:t>
            </w:r>
          </w:p>
        </w:tc>
        <w:tc>
          <w:tcPr>
            <w:tcW w:w="112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1.06±0.3</w:t>
            </w:r>
          </w:p>
        </w:tc>
        <w:tc>
          <w:tcPr>
            <w:tcW w:w="115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1.36±0.5</w:t>
            </w:r>
          </w:p>
        </w:tc>
      </w:tr>
      <w:tr w:rsidR="00BC0318" w:rsidRPr="00382D4E" w:rsidTr="00244F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:rsidR="00BC0318" w:rsidRPr="00382D4E" w:rsidRDefault="00BC0318" w:rsidP="00244F56">
            <w:pPr>
              <w:spacing w:line="257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F5</w:t>
            </w:r>
          </w:p>
        </w:tc>
        <w:tc>
          <w:tcPr>
            <w:tcW w:w="112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0.65±02</w:t>
            </w:r>
          </w:p>
        </w:tc>
        <w:tc>
          <w:tcPr>
            <w:tcW w:w="115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0.77±0.2</w:t>
            </w:r>
          </w:p>
        </w:tc>
      </w:tr>
      <w:tr w:rsidR="00BC0318" w:rsidRPr="00382D4E" w:rsidTr="00244F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:rsidR="00BC0318" w:rsidRPr="00382D4E" w:rsidRDefault="00BC0318" w:rsidP="00244F56">
            <w:pPr>
              <w:spacing w:line="257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F6</w:t>
            </w:r>
          </w:p>
        </w:tc>
        <w:tc>
          <w:tcPr>
            <w:tcW w:w="112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1.11±0.3</w:t>
            </w:r>
          </w:p>
        </w:tc>
        <w:tc>
          <w:tcPr>
            <w:tcW w:w="115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1.69±0.9</w:t>
            </w:r>
          </w:p>
        </w:tc>
      </w:tr>
      <w:tr w:rsidR="00BC0318" w:rsidRPr="00382D4E" w:rsidTr="00244F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:rsidR="00BC0318" w:rsidRPr="00382D4E" w:rsidRDefault="00BC0318" w:rsidP="00244F56">
            <w:pPr>
              <w:spacing w:line="257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F7</w:t>
            </w:r>
          </w:p>
        </w:tc>
        <w:tc>
          <w:tcPr>
            <w:tcW w:w="112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1.75±0.4</w:t>
            </w:r>
          </w:p>
        </w:tc>
        <w:tc>
          <w:tcPr>
            <w:tcW w:w="115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1.99±0.6</w:t>
            </w:r>
          </w:p>
        </w:tc>
      </w:tr>
      <w:tr w:rsidR="00BC0318" w:rsidRPr="00382D4E" w:rsidTr="00244F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:rsidR="00BC0318" w:rsidRPr="00382D4E" w:rsidRDefault="00BC0318" w:rsidP="00244F56">
            <w:pPr>
              <w:spacing w:line="257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F8</w:t>
            </w:r>
          </w:p>
        </w:tc>
        <w:tc>
          <w:tcPr>
            <w:tcW w:w="112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1.34±0.4</w:t>
            </w:r>
          </w:p>
        </w:tc>
        <w:tc>
          <w:tcPr>
            <w:tcW w:w="115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1.6±0.9</w:t>
            </w:r>
          </w:p>
        </w:tc>
      </w:tr>
      <w:tr w:rsidR="00BC0318" w:rsidRPr="00382D4E" w:rsidTr="00244F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:rsidR="00BC0318" w:rsidRPr="00382D4E" w:rsidRDefault="00BC0318" w:rsidP="00244F56">
            <w:pPr>
              <w:spacing w:line="257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F9</w:t>
            </w:r>
          </w:p>
        </w:tc>
        <w:tc>
          <w:tcPr>
            <w:tcW w:w="112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1.53±0.4</w:t>
            </w:r>
          </w:p>
        </w:tc>
        <w:tc>
          <w:tcPr>
            <w:tcW w:w="115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1.74±0.7</w:t>
            </w:r>
          </w:p>
        </w:tc>
      </w:tr>
      <w:tr w:rsidR="00BC0318" w:rsidRPr="00382D4E" w:rsidTr="00244F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:rsidR="00BC0318" w:rsidRPr="00382D4E" w:rsidRDefault="00BC0318" w:rsidP="00244F56">
            <w:pPr>
              <w:spacing w:line="257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F10</w:t>
            </w:r>
          </w:p>
        </w:tc>
        <w:tc>
          <w:tcPr>
            <w:tcW w:w="112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1.41±0.3</w:t>
            </w:r>
          </w:p>
        </w:tc>
        <w:tc>
          <w:tcPr>
            <w:tcW w:w="1155" w:type="dxa"/>
          </w:tcPr>
          <w:p w:rsidR="00BC0318" w:rsidRPr="00382D4E" w:rsidRDefault="00BC0318" w:rsidP="00244F56">
            <w:pPr>
              <w:spacing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lang w:eastAsia="en-US"/>
              </w:rPr>
            </w:pPr>
            <w:r w:rsidRPr="00382D4E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1.60±0.6</w:t>
            </w:r>
          </w:p>
        </w:tc>
      </w:tr>
    </w:tbl>
    <w:p w:rsidR="00BC0318" w:rsidRPr="009F182C" w:rsidRDefault="00BC0318" w:rsidP="00BC0318">
      <w:pPr>
        <w:spacing w:line="480" w:lineRule="auto"/>
        <w:jc w:val="both"/>
        <w:rPr>
          <w:rFonts w:asciiTheme="minorHAnsi" w:eastAsiaTheme="minorEastAsia" w:hAnsiTheme="minorHAnsi" w:cstheme="minorBidi"/>
          <w:lang w:val="en-US"/>
        </w:rPr>
      </w:pPr>
    </w:p>
    <w:p w:rsidR="00BC0318" w:rsidRPr="00A96A30" w:rsidRDefault="00BC0318" w:rsidP="00BC0318">
      <w:pPr>
        <w:rPr>
          <w:rFonts w:asciiTheme="minorHAnsi" w:eastAsiaTheme="minorHAnsi" w:hAnsiTheme="minorHAnsi" w:cstheme="minorBidi"/>
          <w:lang w:eastAsia="en-US"/>
        </w:rPr>
      </w:pPr>
      <w:r w:rsidRPr="00A567A6">
        <w:rPr>
          <w:rFonts w:ascii="Calibri" w:eastAsia="Calibri" w:hAnsi="Calibri" w:cs="Calibri"/>
          <w:b/>
          <w:bCs/>
          <w:lang w:eastAsia="en-US"/>
        </w:rPr>
        <w:t>Supplementary</w:t>
      </w:r>
      <w:r w:rsidRPr="00A96A30">
        <w:rPr>
          <w:rFonts w:asciiTheme="minorHAnsi" w:eastAsiaTheme="minorHAnsi" w:hAnsiTheme="minorHAnsi" w:cstheme="minorBidi"/>
          <w:b/>
          <w:bCs/>
          <w:lang w:eastAsia="en-US"/>
        </w:rPr>
        <w:t xml:space="preserve"> Table 2:</w:t>
      </w:r>
      <w:r w:rsidRPr="00A96A30">
        <w:rPr>
          <w:rFonts w:asciiTheme="minorHAnsi" w:eastAsiaTheme="minorHAnsi" w:hAnsiTheme="minorHAnsi" w:cstheme="minorBidi"/>
          <w:lang w:eastAsia="en-US"/>
        </w:rPr>
        <w:t xml:space="preserve"> Permutational analysis of variance of oyster microbial community composition, with Infection, Family, Collection date, and their interaction terms as factors. Significant p values are highlighted in bold.</w:t>
      </w:r>
    </w:p>
    <w:tbl>
      <w:tblPr>
        <w:tblW w:w="6248" w:type="dxa"/>
        <w:tblLook w:val="04A0" w:firstRow="1" w:lastRow="0" w:firstColumn="1" w:lastColumn="0" w:noHBand="0" w:noVBand="1"/>
      </w:tblPr>
      <w:tblGrid>
        <w:gridCol w:w="4005"/>
        <w:gridCol w:w="1090"/>
        <w:gridCol w:w="1153"/>
      </w:tblGrid>
      <w:tr w:rsidR="00BC0318" w:rsidRPr="00A96A30" w:rsidTr="00244F56">
        <w:trPr>
          <w:trHeight w:val="300"/>
        </w:trPr>
        <w:tc>
          <w:tcPr>
            <w:tcW w:w="4005" w:type="dxa"/>
            <w:tcBorders>
              <w:bottom w:val="single" w:sz="6" w:space="0" w:color="auto"/>
            </w:tcBorders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US" w:eastAsia="en-US"/>
              </w:rPr>
              <w:t>Term</w:t>
            </w:r>
          </w:p>
        </w:tc>
        <w:tc>
          <w:tcPr>
            <w:tcW w:w="1090" w:type="dxa"/>
            <w:tcBorders>
              <w:bottom w:val="single" w:sz="6" w:space="0" w:color="auto"/>
            </w:tcBorders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US" w:eastAsia="en-US"/>
              </w:rPr>
              <w:t>R2</w:t>
            </w:r>
          </w:p>
        </w:tc>
        <w:tc>
          <w:tcPr>
            <w:tcW w:w="1153" w:type="dxa"/>
            <w:tcBorders>
              <w:bottom w:val="single" w:sz="6" w:space="0" w:color="auto"/>
            </w:tcBorders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US" w:eastAsia="en-US"/>
              </w:rPr>
              <w:t>p value</w:t>
            </w:r>
          </w:p>
        </w:tc>
      </w:tr>
      <w:tr w:rsidR="00BC0318" w:rsidRPr="00A96A30" w:rsidTr="00244F56">
        <w:trPr>
          <w:trHeight w:val="300"/>
        </w:trPr>
        <w:tc>
          <w:tcPr>
            <w:tcW w:w="4005" w:type="dxa"/>
            <w:tcBorders>
              <w:top w:val="single" w:sz="6" w:space="0" w:color="auto"/>
            </w:tcBorders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 w:eastAsia="en-US"/>
              </w:rPr>
              <w:t>Infection</w:t>
            </w:r>
          </w:p>
        </w:tc>
        <w:tc>
          <w:tcPr>
            <w:tcW w:w="1090" w:type="dxa"/>
            <w:tcBorders>
              <w:top w:val="single" w:sz="6" w:space="0" w:color="auto"/>
            </w:tcBorders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0.097</w:t>
            </w:r>
          </w:p>
        </w:tc>
        <w:tc>
          <w:tcPr>
            <w:tcW w:w="1153" w:type="dxa"/>
            <w:tcBorders>
              <w:top w:val="single" w:sz="6" w:space="0" w:color="auto"/>
            </w:tcBorders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eastAsia="en-US"/>
              </w:rPr>
              <w:t>0.001</w:t>
            </w:r>
          </w:p>
        </w:tc>
      </w:tr>
      <w:tr w:rsidR="00BC0318" w:rsidRPr="00A96A30" w:rsidTr="00244F56">
        <w:trPr>
          <w:trHeight w:val="300"/>
        </w:trPr>
        <w:tc>
          <w:tcPr>
            <w:tcW w:w="4005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 w:eastAsia="en-US"/>
              </w:rPr>
              <w:t>Family</w:t>
            </w:r>
          </w:p>
        </w:tc>
        <w:tc>
          <w:tcPr>
            <w:tcW w:w="1090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0.113</w:t>
            </w:r>
          </w:p>
        </w:tc>
        <w:tc>
          <w:tcPr>
            <w:tcW w:w="1153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eastAsia="en-US"/>
              </w:rPr>
              <w:t>0.001</w:t>
            </w:r>
          </w:p>
        </w:tc>
      </w:tr>
      <w:tr w:rsidR="00BC0318" w:rsidRPr="00A96A30" w:rsidTr="00244F56">
        <w:trPr>
          <w:trHeight w:val="300"/>
        </w:trPr>
        <w:tc>
          <w:tcPr>
            <w:tcW w:w="4005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 w:eastAsia="en-US"/>
              </w:rPr>
              <w:t xml:space="preserve">Collection date </w:t>
            </w:r>
          </w:p>
        </w:tc>
        <w:tc>
          <w:tcPr>
            <w:tcW w:w="1090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0.036</w:t>
            </w:r>
          </w:p>
        </w:tc>
        <w:tc>
          <w:tcPr>
            <w:tcW w:w="1153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eastAsia="en-US"/>
              </w:rPr>
              <w:t>0.001</w:t>
            </w:r>
          </w:p>
        </w:tc>
      </w:tr>
      <w:tr w:rsidR="00BC0318" w:rsidRPr="00A96A30" w:rsidTr="00244F56">
        <w:trPr>
          <w:trHeight w:val="300"/>
        </w:trPr>
        <w:tc>
          <w:tcPr>
            <w:tcW w:w="4005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 w:eastAsia="en-US"/>
              </w:rPr>
              <w:t>Family * Infection</w:t>
            </w:r>
          </w:p>
        </w:tc>
        <w:tc>
          <w:tcPr>
            <w:tcW w:w="1090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0.063</w:t>
            </w:r>
          </w:p>
        </w:tc>
        <w:tc>
          <w:tcPr>
            <w:tcW w:w="1153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0.913</w:t>
            </w:r>
          </w:p>
        </w:tc>
      </w:tr>
      <w:tr w:rsidR="00BC0318" w:rsidRPr="00A96A30" w:rsidTr="00244F56">
        <w:trPr>
          <w:trHeight w:val="300"/>
        </w:trPr>
        <w:tc>
          <w:tcPr>
            <w:tcW w:w="4005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 w:eastAsia="en-US"/>
              </w:rPr>
              <w:t>Collection date *Family</w:t>
            </w:r>
          </w:p>
        </w:tc>
        <w:tc>
          <w:tcPr>
            <w:tcW w:w="1090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0.061</w:t>
            </w:r>
          </w:p>
        </w:tc>
        <w:tc>
          <w:tcPr>
            <w:tcW w:w="1153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0.951</w:t>
            </w:r>
          </w:p>
        </w:tc>
      </w:tr>
      <w:tr w:rsidR="00BC0318" w:rsidRPr="00A96A30" w:rsidTr="00244F56">
        <w:trPr>
          <w:trHeight w:val="300"/>
        </w:trPr>
        <w:tc>
          <w:tcPr>
            <w:tcW w:w="4005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 w:eastAsia="en-US"/>
              </w:rPr>
              <w:t xml:space="preserve">Residuals </w:t>
            </w:r>
          </w:p>
        </w:tc>
        <w:tc>
          <w:tcPr>
            <w:tcW w:w="1090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  <w:r w:rsidRPr="00A96A30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  <w:t>0.629</w:t>
            </w:r>
          </w:p>
        </w:tc>
        <w:tc>
          <w:tcPr>
            <w:tcW w:w="1153" w:type="dxa"/>
            <w:vAlign w:val="bottom"/>
          </w:tcPr>
          <w:p w:rsidR="00BC0318" w:rsidRPr="00A96A30" w:rsidRDefault="00BC0318" w:rsidP="00244F5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eastAsia="en-US"/>
              </w:rPr>
            </w:pPr>
          </w:p>
        </w:tc>
      </w:tr>
    </w:tbl>
    <w:p w:rsidR="001760E5" w:rsidRDefault="00BC0318"/>
    <w:p w:rsidR="00BC0318" w:rsidRDefault="00BC0318"/>
    <w:p w:rsidR="00BC0318" w:rsidRPr="00A567A6" w:rsidRDefault="00BC0318" w:rsidP="00BC0318">
      <w:pPr>
        <w:rPr>
          <w:rFonts w:asciiTheme="minorHAnsi" w:eastAsiaTheme="minorHAnsi" w:hAnsiTheme="minorHAnsi" w:cstheme="minorBidi"/>
          <w:lang w:val="en-US" w:eastAsia="en-US"/>
        </w:rPr>
      </w:pPr>
      <w:r w:rsidRPr="00A567A6">
        <w:rPr>
          <w:rFonts w:ascii="Calibri" w:eastAsia="Calibri" w:hAnsi="Calibri" w:cs="Calibri"/>
          <w:b/>
          <w:bCs/>
          <w:lang w:eastAsia="en-US"/>
        </w:rPr>
        <w:t xml:space="preserve">Supplementary </w:t>
      </w:r>
      <w:r w:rsidRPr="00A567A6">
        <w:rPr>
          <w:rFonts w:asciiTheme="minorHAnsi" w:eastAsiaTheme="minorHAnsi" w:hAnsiTheme="minorHAnsi" w:cstheme="minorBidi"/>
          <w:b/>
          <w:bCs/>
          <w:lang w:val="en-US" w:eastAsia="en-US"/>
        </w:rPr>
        <w:t xml:space="preserve">Table 3. </w:t>
      </w:r>
      <w:r w:rsidRPr="00A567A6">
        <w:rPr>
          <w:rFonts w:asciiTheme="minorHAnsi" w:eastAsiaTheme="minorHAnsi" w:hAnsiTheme="minorHAnsi" w:cstheme="minorBidi"/>
          <w:lang w:val="en-US" w:eastAsia="en-US"/>
        </w:rPr>
        <w:t>Genera unique to each family type</w:t>
      </w:r>
    </w:p>
    <w:p w:rsidR="00BC0318" w:rsidRPr="00A567A6" w:rsidRDefault="00BC0318" w:rsidP="00BC0318">
      <w:pPr>
        <w:rPr>
          <w:rFonts w:asciiTheme="minorHAnsi" w:eastAsiaTheme="minorHAnsi" w:hAnsiTheme="minorHAnsi" w:cstheme="minorBidi"/>
          <w:lang w:val="en-US" w:eastAsia="en-US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2925"/>
        <w:gridCol w:w="2969"/>
      </w:tblGrid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b/>
                <w:bCs/>
                <w:lang w:val="en-US" w:eastAsia="en-US"/>
              </w:rPr>
            </w:pPr>
            <w:r w:rsidRPr="00A567A6">
              <w:rPr>
                <w:rFonts w:asciiTheme="minorHAnsi" w:eastAsiaTheme="minorHAnsi" w:hAnsiTheme="minorHAnsi" w:cstheme="minorBidi"/>
                <w:b/>
                <w:bCs/>
                <w:lang w:val="en-US" w:eastAsia="en-US"/>
              </w:rPr>
              <w:t>Vulnerable families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b/>
                <w:bCs/>
                <w:lang w:val="en-US" w:eastAsia="en-US"/>
              </w:rPr>
            </w:pPr>
            <w:r w:rsidRPr="00A567A6">
              <w:rPr>
                <w:rFonts w:asciiTheme="minorHAnsi" w:eastAsiaTheme="minorHAnsi" w:hAnsiTheme="minorHAnsi" w:cstheme="minorBidi"/>
                <w:b/>
                <w:bCs/>
                <w:lang w:val="en-US" w:eastAsia="en-US"/>
              </w:rPr>
              <w:t>Highly resistant families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Aerococcus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Arhodomonas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 w:themeColor="text1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Alishewanella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Caminicella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 w:themeColor="text1"/>
                <w:lang w:eastAsia="en-US"/>
              </w:rPr>
              <w:t>Amaricoccus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Corallomonas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Arenibacter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MD3-55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Bosea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Nocardioides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Burkholderia-Caballeronia-Paraburkholderia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Paracoccus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Candidatus Amoebophilus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Pectobacterium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Clostridium sensu stricto 13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Pseudooceanicola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lastRenderedPageBreak/>
              <w:t>Delftia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Rhodococcus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Desulfosporosinus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Simiduia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Lactococcus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Sulfurimonas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Methylophaga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 w:themeColor="text1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Sunxiuqinia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Nordella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Tistlia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Oceanisphaera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Waddlia</w:t>
            </w: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Pleurocapsa PCC-7319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Psychrobacter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Saccharospirillum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Temperatibacter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Terrabacter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</w:p>
        </w:tc>
      </w:tr>
      <w:tr w:rsidR="00BC0318" w:rsidRPr="00A567A6" w:rsidTr="00244F56">
        <w:tc>
          <w:tcPr>
            <w:tcW w:w="2925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  <w:r w:rsidRPr="00A567A6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>Treponema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BC0318" w:rsidRPr="00A567A6" w:rsidRDefault="00BC0318" w:rsidP="00244F56">
            <w:pPr>
              <w:rPr>
                <w:rFonts w:asciiTheme="minorHAnsi" w:eastAsiaTheme="minorHAnsi" w:hAnsiTheme="minorHAnsi" w:cstheme="minorBidi"/>
                <w:color w:val="000000"/>
                <w:lang w:eastAsia="en-US"/>
              </w:rPr>
            </w:pPr>
          </w:p>
        </w:tc>
      </w:tr>
    </w:tbl>
    <w:p w:rsidR="00BC0318" w:rsidRDefault="00BC0318"/>
    <w:p w:rsidR="00BC0318" w:rsidRDefault="00BC0318"/>
    <w:p w:rsidR="00BC0318" w:rsidRDefault="00BC0318"/>
    <w:p w:rsidR="00BC0318" w:rsidRPr="00763937" w:rsidRDefault="00BC0318" w:rsidP="00BC0318">
      <w:pPr>
        <w:rPr>
          <w:rFonts w:asciiTheme="minorHAnsi" w:eastAsiaTheme="minorEastAsia" w:hAnsiTheme="minorHAnsi" w:cstheme="minorBidi"/>
          <w:lang w:eastAsia="en-US"/>
        </w:rPr>
      </w:pPr>
      <w:r>
        <w:rPr>
          <w:noProof/>
          <w:lang w:val="en-US" w:eastAsia="en-US"/>
        </w:rPr>
        <w:drawing>
          <wp:inline distT="0" distB="0" distL="0" distR="0" wp14:anchorId="672F4737" wp14:editId="1BCBFFF8">
            <wp:extent cx="4572000" cy="3267075"/>
            <wp:effectExtent l="0" t="0" r="0" b="0"/>
            <wp:docPr id="881346351" name="Picture 88134635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134635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318" w:rsidRPr="00763937" w:rsidRDefault="00BC0318" w:rsidP="00BC0318">
      <w:pPr>
        <w:rPr>
          <w:rFonts w:ascii="Calibri" w:eastAsia="Calibri" w:hAnsi="Calibri" w:cs="Calibri"/>
          <w:lang w:eastAsia="en-US"/>
        </w:rPr>
      </w:pPr>
      <w:r w:rsidRPr="00A567A6">
        <w:rPr>
          <w:rFonts w:ascii="Calibri" w:eastAsia="Calibri" w:hAnsi="Calibri" w:cs="Calibri"/>
          <w:b/>
          <w:bCs/>
          <w:lang w:eastAsia="en-US"/>
        </w:rPr>
        <w:t xml:space="preserve">Supplementary </w:t>
      </w:r>
      <w:r w:rsidRPr="00763937">
        <w:rPr>
          <w:rFonts w:ascii="Calibri" w:eastAsia="Calibri" w:hAnsi="Calibri" w:cs="Calibri"/>
          <w:b/>
          <w:bCs/>
          <w:lang w:eastAsia="en-US"/>
        </w:rPr>
        <w:t xml:space="preserve">Figure 1. Survival (solid line) of oysters injected with either OsHV-1 suspension (pathogen donors) or sterile seawater (controls) as a function of time (hours post infection; hpi). </w:t>
      </w:r>
      <w:r>
        <w:rPr>
          <w:rFonts w:ascii="Calibri" w:eastAsia="Calibri" w:hAnsi="Calibri" w:cs="Calibri"/>
          <w:b/>
          <w:bCs/>
          <w:lang w:eastAsia="en-US"/>
        </w:rPr>
        <w:t>L</w:t>
      </w:r>
      <w:r w:rsidRPr="00763937">
        <w:rPr>
          <w:rFonts w:ascii="Calibri" w:eastAsia="Calibri" w:hAnsi="Calibri" w:cs="Calibri"/>
          <w:lang w:eastAsia="en-US"/>
        </w:rPr>
        <w:t>og-rank: Chi-square: 5117, p-value &lt;0.001. The dots indicate the quantification of OsHV-1 DNA in the water, expressed as copies per litre. Data were log (x+1) transformed.</w:t>
      </w:r>
    </w:p>
    <w:p w:rsidR="00BC0318" w:rsidRDefault="00BC0318"/>
    <w:p w:rsidR="00BC0318" w:rsidRDefault="00BC0318"/>
    <w:p w:rsidR="00BC0318" w:rsidRDefault="00BC0318">
      <w:r w:rsidRPr="00DF4608">
        <w:rPr>
          <w:rFonts w:asciiTheme="minorHAnsi" w:eastAsiaTheme="minorHAnsi" w:hAnsiTheme="minorHAnsi" w:cstheme="minorBidi"/>
          <w:noProof/>
          <w:lang w:val="en-US" w:eastAsia="en-US"/>
        </w:rPr>
        <w:lastRenderedPageBreak/>
        <w:drawing>
          <wp:inline distT="0" distB="0" distL="0" distR="0" wp14:anchorId="16C5A29D" wp14:editId="36FC0EAB">
            <wp:extent cx="3803904" cy="1724847"/>
            <wp:effectExtent l="0" t="0" r="0" b="2540"/>
            <wp:docPr id="5" name="Picture 5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3904" cy="1724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318" w:rsidRDefault="00BC0318"/>
    <w:p w:rsidR="00BC0318" w:rsidRDefault="00BC0318"/>
    <w:p w:rsidR="00BC0318" w:rsidRDefault="00BC0318" w:rsidP="00BC0318">
      <w:pPr>
        <w:rPr>
          <w:rFonts w:asciiTheme="minorHAnsi" w:eastAsiaTheme="minorHAnsi" w:hAnsiTheme="minorHAnsi" w:cstheme="minorBidi"/>
          <w:lang w:eastAsia="en-US"/>
        </w:rPr>
      </w:pPr>
      <w:r w:rsidRPr="00A567A6">
        <w:rPr>
          <w:rFonts w:ascii="Calibri" w:eastAsia="Calibri" w:hAnsi="Calibri" w:cs="Calibri"/>
          <w:b/>
          <w:bCs/>
          <w:lang w:eastAsia="en-US"/>
        </w:rPr>
        <w:t>Supplementary</w:t>
      </w:r>
      <w:r w:rsidRPr="00DF4608">
        <w:rPr>
          <w:rFonts w:ascii="Calibri" w:eastAsia="Calibri" w:hAnsi="Calibri" w:cs="Calibri"/>
          <w:b/>
          <w:bCs/>
          <w:lang w:eastAsia="en-US"/>
        </w:rPr>
        <w:t xml:space="preserve"> Figure 2</w:t>
      </w:r>
      <w:r w:rsidRPr="00DF4608">
        <w:rPr>
          <w:rFonts w:asciiTheme="minorHAnsi" w:eastAsiaTheme="minorHAnsi" w:hAnsiTheme="minorHAnsi" w:cstheme="minorBidi"/>
          <w:lang w:eastAsia="en-US"/>
        </w:rPr>
        <w:t>: Venn diagram of shared bacterial genera between oyster family types (Highly resistant, Resistant, Vulnerable).</w:t>
      </w:r>
    </w:p>
    <w:p w:rsidR="00BC0318" w:rsidRPr="004F7E6F" w:rsidRDefault="00BC0318" w:rsidP="00BC0318">
      <w:pPr>
        <w:rPr>
          <w:rFonts w:asciiTheme="minorHAnsi" w:eastAsiaTheme="minorHAnsi" w:hAnsiTheme="minorHAnsi" w:cstheme="minorBidi"/>
          <w:lang w:eastAsia="en-US"/>
        </w:rPr>
      </w:pPr>
    </w:p>
    <w:p w:rsidR="00BC0318" w:rsidRDefault="00BC0318">
      <w:bookmarkStart w:id="0" w:name="_GoBack"/>
      <w:r w:rsidRPr="00E03B8D">
        <w:rPr>
          <w:rFonts w:asciiTheme="minorHAnsi" w:eastAsiaTheme="minorHAnsi" w:hAnsiTheme="minorHAnsi" w:cstheme="minorBidi"/>
          <w:noProof/>
          <w:lang w:val="en-US" w:eastAsia="en-US"/>
        </w:rPr>
        <w:drawing>
          <wp:inline distT="0" distB="0" distL="0" distR="0" wp14:anchorId="410654C0" wp14:editId="2AEE2949">
            <wp:extent cx="5943600" cy="3268769"/>
            <wp:effectExtent l="0" t="0" r="0" b="8255"/>
            <wp:docPr id="1993138551" name="Picture 199313855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138551" name="Picture 1993138551" descr="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8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:rsidR="00BC0318" w:rsidRDefault="00BC0318"/>
    <w:p w:rsidR="00BC0318" w:rsidRPr="00E03B8D" w:rsidRDefault="00BC0318" w:rsidP="00BC0318">
      <w:pPr>
        <w:jc w:val="both"/>
        <w:rPr>
          <w:rFonts w:asciiTheme="minorHAnsi" w:eastAsiaTheme="minorHAnsi" w:hAnsiTheme="minorHAnsi" w:cstheme="minorBidi"/>
          <w:lang w:eastAsia="en-US"/>
        </w:rPr>
      </w:pPr>
      <w:r w:rsidRPr="00A567A6">
        <w:rPr>
          <w:rFonts w:ascii="Calibri" w:eastAsia="Calibri" w:hAnsi="Calibri" w:cs="Calibri"/>
          <w:b/>
          <w:bCs/>
          <w:lang w:eastAsia="en-US"/>
        </w:rPr>
        <w:t>Supplementary</w:t>
      </w:r>
      <w:r w:rsidRPr="00E03B8D">
        <w:rPr>
          <w:rFonts w:ascii="Calibri" w:eastAsia="Calibri" w:hAnsi="Calibri" w:cs="Calibri"/>
          <w:b/>
          <w:bCs/>
          <w:sz w:val="22"/>
          <w:szCs w:val="22"/>
          <w:lang w:eastAsia="en-US"/>
        </w:rPr>
        <w:t xml:space="preserve"> Figure 3.</w:t>
      </w:r>
      <w:r w:rsidRPr="00E03B8D">
        <w:rPr>
          <w:rFonts w:ascii="Calibri" w:eastAsia="Calibri" w:hAnsi="Calibri" w:cs="Calibri"/>
          <w:sz w:val="22"/>
          <w:szCs w:val="22"/>
          <w:lang w:eastAsia="en-US"/>
        </w:rPr>
        <w:t xml:space="preserve"> Microbiome relative abundance (A) and prevalence (B) between vulnerable and highly resistant families at genus level. Only genera with a prevalence above 30 % and among the 30 most abundant are displayed.</w:t>
      </w:r>
    </w:p>
    <w:p w:rsidR="00BC0318" w:rsidRDefault="00BC0318"/>
    <w:sectPr w:rsidR="00BC03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318"/>
    <w:rsid w:val="008A3324"/>
    <w:rsid w:val="00BA546E"/>
    <w:rsid w:val="00BC0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C65EE"/>
  <w15:chartTrackingRefBased/>
  <w15:docId w15:val="{DAB3992D-1C75-4EAD-94DE-9452BD696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03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NZ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BC0318"/>
    <w:pPr>
      <w:spacing w:after="0" w:line="240" w:lineRule="auto"/>
    </w:pPr>
    <w:rPr>
      <w:lang w:val="en-NZ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BC0318"/>
    <w:pPr>
      <w:spacing w:after="0" w:line="240" w:lineRule="auto"/>
    </w:pPr>
    <w:rPr>
      <w:sz w:val="24"/>
      <w:szCs w:val="24"/>
      <w:lang w:val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C03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2022-06-06T06:00:00Z</dcterms:created>
  <dcterms:modified xsi:type="dcterms:W3CDTF">2022-06-06T06:04:00Z</dcterms:modified>
</cp:coreProperties>
</file>