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9C8" w:rsidRPr="004A26E7" w:rsidRDefault="002539C8" w:rsidP="002539C8">
      <w:pPr>
        <w:spacing w:line="480" w:lineRule="auto"/>
        <w:rPr>
          <w:b/>
          <w:bCs/>
          <w:color w:val="000000" w:themeColor="text1"/>
        </w:rPr>
      </w:pPr>
      <w:r w:rsidRPr="004A26E7">
        <w:rPr>
          <w:b/>
          <w:bCs/>
          <w:color w:val="000000" w:themeColor="text1"/>
        </w:rPr>
        <w:t xml:space="preserve">Supplement for </w:t>
      </w:r>
      <w:r w:rsidRPr="004A26E7">
        <w:rPr>
          <w:color w:val="000000" w:themeColor="text1"/>
        </w:rPr>
        <w:softHyphen/>
      </w:r>
      <w:r w:rsidRPr="004A26E7">
        <w:rPr>
          <w:b/>
          <w:i/>
          <w:color w:val="000000" w:themeColor="text1"/>
        </w:rPr>
        <w:t>Using Serum Cystatin C to Predict Acute Kidney Injury following Infant Cardiac Surgery</w:t>
      </w:r>
    </w:p>
    <w:p w:rsidR="002539C8" w:rsidRPr="004A26E7" w:rsidRDefault="002539C8" w:rsidP="002539C8">
      <w:pPr>
        <w:spacing w:line="480" w:lineRule="auto"/>
        <w:rPr>
          <w:b/>
          <w:bCs/>
          <w:color w:val="000000" w:themeColor="text1"/>
        </w:rPr>
      </w:pPr>
      <w:r w:rsidRPr="004A26E7">
        <w:rPr>
          <w:b/>
          <w:bCs/>
          <w:color w:val="000000" w:themeColor="text1"/>
        </w:rPr>
        <w:t>Results</w:t>
      </w:r>
    </w:p>
    <w:p w:rsidR="002539C8" w:rsidRPr="004A26E7" w:rsidRDefault="002539C8" w:rsidP="002539C8">
      <w:pPr>
        <w:spacing w:line="480" w:lineRule="auto"/>
        <w:ind w:firstLine="720"/>
        <w:rPr>
          <w:b/>
          <w:bCs/>
          <w:color w:val="000000" w:themeColor="text1"/>
        </w:rPr>
      </w:pPr>
      <w:r w:rsidRPr="004A26E7">
        <w:rPr>
          <w:color w:val="000000" w:themeColor="text1"/>
        </w:rPr>
        <w:t xml:space="preserve">Two (4.7%) subjects died.  One death occurred in a 12-day old infant with hypoplastic left heart syndrome and a left coronary artery to left ventricle cameral fistula, after a Norwood and modified Blalock-Taussig-Thomas (BTT) shunt.  This infant died after progressive QRS widening, ST changes, heart block, bradycardia and cardiac arrest on POD 0.  The second mortality was in a 4-month old infant with a severely unbalanced right dominant atrioventricular septal defect and hypoplastic aortic arch status post Norwood and modified BTT shunt followed by a bidirectional Glenn complicated by respiratory and renal failure, sepsis and anasarca, </w:t>
      </w:r>
      <w:r>
        <w:rPr>
          <w:color w:val="000000" w:themeColor="text1"/>
        </w:rPr>
        <w:t>who</w:t>
      </w:r>
      <w:r w:rsidRPr="004A26E7">
        <w:rPr>
          <w:color w:val="000000" w:themeColor="text1"/>
        </w:rPr>
        <w:t xml:space="preserve"> </w:t>
      </w:r>
      <w:r>
        <w:rPr>
          <w:color w:val="000000" w:themeColor="text1"/>
        </w:rPr>
        <w:t>died</w:t>
      </w:r>
      <w:r w:rsidRPr="004A26E7">
        <w:rPr>
          <w:color w:val="000000" w:themeColor="text1"/>
        </w:rPr>
        <w:t xml:space="preserve"> on POD 27.  Both mortalities occurred in the AKI group.</w:t>
      </w:r>
    </w:p>
    <w:p w:rsidR="00000F57" w:rsidRDefault="002539C8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9C8"/>
    <w:rsid w:val="0007695B"/>
    <w:rsid w:val="002539C8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7564F9-0C15-412F-BBA4-3769813E9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39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699</Characters>
  <Application>Microsoft Office Word</Application>
  <DocSecurity>0</DocSecurity>
  <Lines>5</Lines>
  <Paragraphs>1</Paragraphs>
  <ScaleCrop>false</ScaleCrop>
  <Company>Springer Nature IT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2022-05-12T11:24:00Z</dcterms:created>
  <dcterms:modified xsi:type="dcterms:W3CDTF">2022-05-12T11:25:00Z</dcterms:modified>
</cp:coreProperties>
</file>