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D1776" w14:textId="77777777" w:rsidR="0027381A" w:rsidRPr="00940B7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  <w:r w:rsidRPr="00940B78">
        <w:rPr>
          <w:b/>
          <w:bCs/>
          <w:color w:val="000000" w:themeColor="text1"/>
          <w:lang w:val="en-US"/>
        </w:rPr>
        <w:t xml:space="preserve">Supplementary Table 1. </w:t>
      </w:r>
      <w:r w:rsidRPr="00940B78">
        <w:rPr>
          <w:color w:val="000000" w:themeColor="text1"/>
          <w:lang w:val="en-US"/>
        </w:rPr>
        <w:t xml:space="preserve">ICD-9 codes used to identify outcomes and co-morbidities. All hereby listed codes include the corresponding sub-codes. </w:t>
      </w:r>
    </w:p>
    <w:tbl>
      <w:tblPr>
        <w:tblStyle w:val="TableGrid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9"/>
        <w:gridCol w:w="6477"/>
      </w:tblGrid>
      <w:tr w:rsidR="0027381A" w:rsidRPr="00940B78" w14:paraId="2CEBFA9C" w14:textId="77777777" w:rsidTr="0027381A">
        <w:tc>
          <w:tcPr>
            <w:tcW w:w="1412" w:type="pct"/>
          </w:tcPr>
          <w:p w14:paraId="6729BC38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Prostate cancer</w:t>
            </w:r>
          </w:p>
        </w:tc>
        <w:tc>
          <w:tcPr>
            <w:tcW w:w="3588" w:type="pct"/>
          </w:tcPr>
          <w:p w14:paraId="47268C95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>185</w:t>
            </w:r>
          </w:p>
        </w:tc>
      </w:tr>
      <w:tr w:rsidR="0027381A" w:rsidRPr="00940B78" w14:paraId="51DEF3E0" w14:textId="77777777" w:rsidTr="0027381A">
        <w:tc>
          <w:tcPr>
            <w:tcW w:w="1412" w:type="pct"/>
          </w:tcPr>
          <w:p w14:paraId="73F9FB46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Diabetes Mellitus</w:t>
            </w:r>
          </w:p>
        </w:tc>
        <w:tc>
          <w:tcPr>
            <w:tcW w:w="3588" w:type="pct"/>
          </w:tcPr>
          <w:p w14:paraId="5829AD01" w14:textId="77777777" w:rsidR="0027381A" w:rsidRPr="00940B7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>250</w:t>
            </w:r>
          </w:p>
        </w:tc>
      </w:tr>
      <w:tr w:rsidR="0027381A" w:rsidRPr="00940B78" w14:paraId="1533A1E1" w14:textId="77777777" w:rsidTr="0027381A">
        <w:tc>
          <w:tcPr>
            <w:tcW w:w="1412" w:type="pct"/>
          </w:tcPr>
          <w:p w14:paraId="713EC385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Anemia</w:t>
            </w:r>
          </w:p>
        </w:tc>
        <w:tc>
          <w:tcPr>
            <w:tcW w:w="3588" w:type="pct"/>
          </w:tcPr>
          <w:p w14:paraId="0FDFBBC8" w14:textId="77777777" w:rsidR="0027381A" w:rsidRPr="00940B7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>280-283, 284.0, 284.1, 284.8, 284.9, 285</w:t>
            </w:r>
          </w:p>
        </w:tc>
      </w:tr>
      <w:tr w:rsidR="0027381A" w:rsidRPr="00940B78" w14:paraId="2F3C0597" w14:textId="77777777" w:rsidTr="0027381A">
        <w:tc>
          <w:tcPr>
            <w:tcW w:w="1412" w:type="pct"/>
          </w:tcPr>
          <w:p w14:paraId="78D5ED62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Heart failure</w:t>
            </w:r>
          </w:p>
        </w:tc>
        <w:tc>
          <w:tcPr>
            <w:tcW w:w="3588" w:type="pct"/>
          </w:tcPr>
          <w:p w14:paraId="4200AEBB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428</w:t>
            </w:r>
          </w:p>
        </w:tc>
      </w:tr>
      <w:tr w:rsidR="0027381A" w:rsidRPr="00940B78" w14:paraId="252AACAC" w14:textId="77777777" w:rsidTr="0027381A">
        <w:tc>
          <w:tcPr>
            <w:tcW w:w="1412" w:type="pct"/>
          </w:tcPr>
          <w:p w14:paraId="2CAF3A8A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Myocardial infarction</w:t>
            </w:r>
          </w:p>
        </w:tc>
        <w:tc>
          <w:tcPr>
            <w:tcW w:w="3588" w:type="pct"/>
          </w:tcPr>
          <w:p w14:paraId="59657AF3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410</w:t>
            </w:r>
          </w:p>
        </w:tc>
      </w:tr>
      <w:tr w:rsidR="0027381A" w:rsidRPr="00940B78" w14:paraId="58BDE75E" w14:textId="77777777" w:rsidTr="0027381A">
        <w:tc>
          <w:tcPr>
            <w:tcW w:w="1412" w:type="pct"/>
          </w:tcPr>
          <w:p w14:paraId="712F07A4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3588" w:type="pct"/>
          </w:tcPr>
          <w:p w14:paraId="34451185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401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402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403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404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405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437.2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</w:r>
          </w:p>
        </w:tc>
      </w:tr>
      <w:tr w:rsidR="0027381A" w:rsidRPr="00940B78" w14:paraId="0A88A013" w14:textId="77777777" w:rsidTr="0027381A">
        <w:tc>
          <w:tcPr>
            <w:tcW w:w="1412" w:type="pct"/>
          </w:tcPr>
          <w:p w14:paraId="0861E901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Atrial fibrillation</w:t>
            </w:r>
          </w:p>
        </w:tc>
        <w:tc>
          <w:tcPr>
            <w:tcW w:w="3588" w:type="pct"/>
          </w:tcPr>
          <w:p w14:paraId="2F347566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427.31</w:t>
            </w:r>
          </w:p>
        </w:tc>
      </w:tr>
      <w:tr w:rsidR="0027381A" w:rsidRPr="00940B78" w14:paraId="746E5CBB" w14:textId="77777777" w:rsidTr="0027381A">
        <w:tc>
          <w:tcPr>
            <w:tcW w:w="1412" w:type="pct"/>
          </w:tcPr>
          <w:p w14:paraId="3671C076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Stroke or transient ischaemic attack</w:t>
            </w:r>
          </w:p>
        </w:tc>
        <w:tc>
          <w:tcPr>
            <w:tcW w:w="3588" w:type="pct"/>
          </w:tcPr>
          <w:p w14:paraId="44F13440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430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431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432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433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434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435</w:t>
            </w:r>
          </w:p>
        </w:tc>
      </w:tr>
      <w:tr w:rsidR="0027381A" w:rsidRPr="00940B78" w14:paraId="552BD1BB" w14:textId="77777777" w:rsidTr="0027381A">
        <w:tc>
          <w:tcPr>
            <w:tcW w:w="1412" w:type="pct"/>
          </w:tcPr>
          <w:p w14:paraId="48E857D6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Chronic obstructive pulmonary disease</w:t>
            </w:r>
          </w:p>
        </w:tc>
        <w:tc>
          <w:tcPr>
            <w:tcW w:w="3588" w:type="pct"/>
          </w:tcPr>
          <w:p w14:paraId="147E87C8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490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491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492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496.0</w:t>
            </w:r>
          </w:p>
        </w:tc>
      </w:tr>
      <w:tr w:rsidR="0027381A" w:rsidRPr="00940B78" w14:paraId="42F3973F" w14:textId="77777777" w:rsidTr="0027381A">
        <w:tc>
          <w:tcPr>
            <w:tcW w:w="1412" w:type="pct"/>
          </w:tcPr>
          <w:p w14:paraId="0D19D71E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Ischaemic heart disease</w:t>
            </w:r>
          </w:p>
        </w:tc>
        <w:tc>
          <w:tcPr>
            <w:tcW w:w="3588" w:type="pct"/>
          </w:tcPr>
          <w:p w14:paraId="335E47C1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410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411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412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413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414</w:t>
            </w:r>
          </w:p>
        </w:tc>
      </w:tr>
      <w:tr w:rsidR="0027381A" w:rsidRPr="00940B78" w14:paraId="6C540165" w14:textId="77777777" w:rsidTr="0027381A">
        <w:tc>
          <w:tcPr>
            <w:tcW w:w="1412" w:type="pct"/>
          </w:tcPr>
          <w:p w14:paraId="15FE2774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Chronic kidney disease</w:t>
            </w:r>
          </w:p>
        </w:tc>
        <w:tc>
          <w:tcPr>
            <w:tcW w:w="3588" w:type="pct"/>
          </w:tcPr>
          <w:p w14:paraId="523C3F44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582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585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586</w:t>
            </w:r>
          </w:p>
        </w:tc>
      </w:tr>
      <w:tr w:rsidR="0027381A" w:rsidRPr="00940B78" w14:paraId="3CF85CFF" w14:textId="77777777" w:rsidTr="0027381A">
        <w:tc>
          <w:tcPr>
            <w:tcW w:w="1412" w:type="pct"/>
          </w:tcPr>
          <w:p w14:paraId="6DC67CE5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Chronic liver disease</w:t>
            </w:r>
          </w:p>
        </w:tc>
        <w:tc>
          <w:tcPr>
            <w:tcW w:w="3588" w:type="pct"/>
          </w:tcPr>
          <w:p w14:paraId="72B24B1C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571</w:t>
            </w:r>
          </w:p>
        </w:tc>
      </w:tr>
      <w:tr w:rsidR="0027381A" w:rsidRPr="00940B78" w14:paraId="7EEBA536" w14:textId="77777777" w:rsidTr="0027381A">
        <w:tc>
          <w:tcPr>
            <w:tcW w:w="1412" w:type="pct"/>
          </w:tcPr>
          <w:p w14:paraId="1F1464CD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Hyperlipidaemia</w:t>
            </w:r>
          </w:p>
        </w:tc>
        <w:tc>
          <w:tcPr>
            <w:tcW w:w="3588" w:type="pct"/>
          </w:tcPr>
          <w:p w14:paraId="6C6BCEDB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272.0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272.1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272.2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272.3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272.4</w:t>
            </w:r>
          </w:p>
        </w:tc>
      </w:tr>
      <w:tr w:rsidR="0027381A" w:rsidRPr="00940B78" w14:paraId="53B77D46" w14:textId="77777777" w:rsidTr="0027381A">
        <w:tc>
          <w:tcPr>
            <w:tcW w:w="1412" w:type="pct"/>
          </w:tcPr>
          <w:p w14:paraId="312DF9FC" w14:textId="77777777" w:rsidR="0027381A" w:rsidRPr="00940B78" w:rsidRDefault="0027381A" w:rsidP="001D3FEB">
            <w:pPr>
              <w:spacing w:line="480" w:lineRule="auto"/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DengXian"/>
                <w:color w:val="000000" w:themeColor="text1"/>
                <w:sz w:val="24"/>
                <w:szCs w:val="24"/>
                <w:lang w:val="en-US"/>
              </w:rPr>
              <w:t>Malignancy</w:t>
            </w:r>
          </w:p>
        </w:tc>
        <w:tc>
          <w:tcPr>
            <w:tcW w:w="3588" w:type="pct"/>
          </w:tcPr>
          <w:p w14:paraId="4BDC0BA4" w14:textId="77777777" w:rsidR="0027381A" w:rsidRPr="00940B78" w:rsidRDefault="0027381A" w:rsidP="001D3FEB">
            <w:pPr>
              <w:spacing w:line="480" w:lineRule="auto"/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>140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146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147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148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149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156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157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158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159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160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161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162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163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164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165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179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lastRenderedPageBreak/>
              <w:tab/>
              <w:t>179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186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187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188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189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196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197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198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199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203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204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205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206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207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208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209.0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209.1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209.2</w:t>
            </w:r>
            <w:r w:rsidRPr="00940B78">
              <w:rPr>
                <w:rFonts w:eastAsia="SimSun"/>
                <w:color w:val="000000" w:themeColor="text1"/>
                <w:sz w:val="24"/>
                <w:szCs w:val="24"/>
                <w:lang w:val="en-US"/>
              </w:rPr>
              <w:tab/>
              <w:t>209.3</w:t>
            </w:r>
          </w:p>
        </w:tc>
      </w:tr>
    </w:tbl>
    <w:p w14:paraId="414DD972" w14:textId="77777777" w:rsidR="0027381A" w:rsidRPr="00940B78" w:rsidRDefault="0027381A" w:rsidP="0027381A">
      <w:pPr>
        <w:spacing w:line="480" w:lineRule="auto"/>
        <w:rPr>
          <w:b/>
          <w:bCs/>
          <w:color w:val="000000" w:themeColor="text1"/>
        </w:rPr>
        <w:sectPr w:rsidR="0027381A" w:rsidRPr="00940B78" w:rsidSect="0059524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29BBD48" w14:textId="77777777" w:rsidR="0027381A" w:rsidRPr="00940B7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  <w:r w:rsidRPr="00940B78">
        <w:rPr>
          <w:b/>
          <w:bCs/>
          <w:color w:val="000000" w:themeColor="text1"/>
          <w:lang w:val="en-US"/>
        </w:rPr>
        <w:br w:type="page"/>
      </w:r>
    </w:p>
    <w:p w14:paraId="0BB96F51" w14:textId="77777777" w:rsidR="0027381A" w:rsidRPr="00940B78" w:rsidRDefault="0027381A" w:rsidP="0027381A">
      <w:pPr>
        <w:spacing w:line="480" w:lineRule="auto"/>
        <w:rPr>
          <w:color w:val="000000" w:themeColor="text1"/>
          <w:lang w:val="en-US"/>
        </w:rPr>
      </w:pPr>
      <w:r w:rsidRPr="00940B78">
        <w:rPr>
          <w:b/>
          <w:bCs/>
          <w:color w:val="000000" w:themeColor="text1"/>
          <w:lang w:val="en-US"/>
        </w:rPr>
        <w:lastRenderedPageBreak/>
        <w:t xml:space="preserve">Supplementary Table 2. </w:t>
      </w:r>
      <w:r w:rsidRPr="00940B78">
        <w:rPr>
          <w:color w:val="000000" w:themeColor="text1"/>
          <w:lang w:val="en-US"/>
        </w:rPr>
        <w:t xml:space="preserve">ICD-9 and ICD-10 codes used to identify outcomes and co-morbidities. All hereby listed codes include the corresponding sub-codes.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5614"/>
      </w:tblGrid>
      <w:tr w:rsidR="0027381A" w:rsidRPr="00940B78" w14:paraId="67B9343A" w14:textId="77777777" w:rsidTr="0027381A">
        <w:tc>
          <w:tcPr>
            <w:tcW w:w="3402" w:type="dxa"/>
          </w:tcPr>
          <w:p w14:paraId="63F02913" w14:textId="77777777" w:rsidR="0027381A" w:rsidRPr="00940B7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>Prostate cancer-related mortality</w:t>
            </w:r>
          </w:p>
        </w:tc>
        <w:tc>
          <w:tcPr>
            <w:tcW w:w="5614" w:type="dxa"/>
          </w:tcPr>
          <w:p w14:paraId="0F64B604" w14:textId="77777777" w:rsidR="0027381A" w:rsidRPr="00940B7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>ICD-9:</w:t>
            </w: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ab/>
            </w: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ab/>
              <w:t>185</w:t>
            </w:r>
          </w:p>
          <w:p w14:paraId="25A77173" w14:textId="77777777" w:rsidR="0027381A" w:rsidRPr="00940B7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</w:p>
          <w:p w14:paraId="23B812E2" w14:textId="77777777" w:rsidR="0027381A" w:rsidRPr="00940B7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>ICD-10:</w:t>
            </w:r>
            <w:r w:rsidRPr="00940B78">
              <w:rPr>
                <w:color w:val="000000" w:themeColor="text1"/>
                <w:sz w:val="24"/>
                <w:szCs w:val="24"/>
                <w:lang w:val="en-US"/>
              </w:rPr>
              <w:tab/>
              <w:t>C61</w:t>
            </w:r>
          </w:p>
        </w:tc>
      </w:tr>
    </w:tbl>
    <w:p w14:paraId="471583E4" w14:textId="77777777" w:rsidR="0027381A" w:rsidRPr="00E93918" w:rsidRDefault="0027381A" w:rsidP="0027381A">
      <w:pPr>
        <w:spacing w:line="480" w:lineRule="auto"/>
        <w:rPr>
          <w:color w:val="000000" w:themeColor="text1"/>
          <w:lang w:val="en-US"/>
        </w:rPr>
      </w:pPr>
    </w:p>
    <w:p w14:paraId="1F718E1C" w14:textId="77777777" w:rsidR="0027381A" w:rsidRPr="00E9391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  <w:sectPr w:rsidR="0027381A" w:rsidRPr="00E93918" w:rsidSect="009F3DB4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2657833" w14:textId="753E6880" w:rsidR="0027381A" w:rsidRPr="00E9391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  <w:r w:rsidRPr="00E93918">
        <w:rPr>
          <w:b/>
          <w:bCs/>
          <w:color w:val="000000" w:themeColor="text1"/>
          <w:lang w:val="en-US"/>
        </w:rPr>
        <w:lastRenderedPageBreak/>
        <w:t xml:space="preserve">Supplementary Table </w:t>
      </w:r>
      <w:r w:rsidR="00971AAF">
        <w:rPr>
          <w:b/>
          <w:bCs/>
          <w:color w:val="000000" w:themeColor="text1"/>
          <w:lang w:val="en-US"/>
        </w:rPr>
        <w:t>3</w:t>
      </w:r>
      <w:r w:rsidRPr="00E93918">
        <w:rPr>
          <w:b/>
          <w:bCs/>
          <w:color w:val="000000" w:themeColor="text1"/>
          <w:lang w:val="en-US"/>
        </w:rPr>
        <w:t xml:space="preserve">. </w:t>
      </w:r>
      <w:r w:rsidRPr="00E93918">
        <w:rPr>
          <w:color w:val="000000" w:themeColor="text1"/>
          <w:lang w:val="en-US"/>
        </w:rPr>
        <w:t>Weighted comparisons of outcomes by statin usage with subgroups for the type of ADT. Hazard ratios were referenced against statin non-users.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1512"/>
        <w:gridCol w:w="951"/>
        <w:gridCol w:w="1512"/>
        <w:gridCol w:w="951"/>
        <w:gridCol w:w="1617"/>
        <w:gridCol w:w="827"/>
      </w:tblGrid>
      <w:tr w:rsidR="0027381A" w:rsidRPr="00940B78" w14:paraId="2A914FFD" w14:textId="77777777" w:rsidTr="0027381A">
        <w:tc>
          <w:tcPr>
            <w:tcW w:w="3397" w:type="dxa"/>
          </w:tcPr>
          <w:p w14:paraId="69C126EC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gridSpan w:val="2"/>
          </w:tcPr>
          <w:p w14:paraId="31FF293E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Bilateral orchidectomy only (N=1681)</w:t>
            </w:r>
          </w:p>
        </w:tc>
        <w:tc>
          <w:tcPr>
            <w:tcW w:w="3402" w:type="dxa"/>
            <w:gridSpan w:val="2"/>
          </w:tcPr>
          <w:p w14:paraId="24DDEC84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GnRH agonist or antagonist only (N=2870)</w:t>
            </w:r>
          </w:p>
        </w:tc>
        <w:tc>
          <w:tcPr>
            <w:tcW w:w="3747" w:type="dxa"/>
            <w:gridSpan w:val="2"/>
          </w:tcPr>
          <w:p w14:paraId="70C7583F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Both bilateral orchidectomy and GnRH agonist or antagonist (N=369)</w:t>
            </w:r>
          </w:p>
        </w:tc>
      </w:tr>
      <w:tr w:rsidR="0027381A" w:rsidRPr="00940B78" w14:paraId="54978D9E" w14:textId="77777777" w:rsidTr="0027381A">
        <w:tc>
          <w:tcPr>
            <w:tcW w:w="3397" w:type="dxa"/>
          </w:tcPr>
          <w:p w14:paraId="23B6745B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99A7990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Hazard ratio [95% confidence interval]</w:t>
            </w:r>
          </w:p>
        </w:tc>
        <w:tc>
          <w:tcPr>
            <w:tcW w:w="1134" w:type="dxa"/>
          </w:tcPr>
          <w:p w14:paraId="26364D20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2268" w:type="dxa"/>
          </w:tcPr>
          <w:p w14:paraId="0C3986D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Hazard ratio [95% confidence interval]</w:t>
            </w:r>
          </w:p>
        </w:tc>
        <w:tc>
          <w:tcPr>
            <w:tcW w:w="1134" w:type="dxa"/>
          </w:tcPr>
          <w:p w14:paraId="15F795A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2700" w:type="dxa"/>
          </w:tcPr>
          <w:p w14:paraId="563487BF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Hazard ratio [95% confidence interval]</w:t>
            </w:r>
          </w:p>
        </w:tc>
        <w:tc>
          <w:tcPr>
            <w:tcW w:w="1047" w:type="dxa"/>
          </w:tcPr>
          <w:p w14:paraId="38489C0E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</w:tr>
      <w:tr w:rsidR="0027381A" w:rsidRPr="00940B78" w14:paraId="070F5441" w14:textId="77777777" w:rsidTr="0027381A">
        <w:tc>
          <w:tcPr>
            <w:tcW w:w="3397" w:type="dxa"/>
          </w:tcPr>
          <w:p w14:paraId="5520B9A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Prostate cancer-related mortality</w:t>
            </w:r>
          </w:p>
        </w:tc>
        <w:tc>
          <w:tcPr>
            <w:tcW w:w="2268" w:type="dxa"/>
          </w:tcPr>
          <w:p w14:paraId="637EC136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0.47 [0.38, 0.59]</w:t>
            </w:r>
          </w:p>
        </w:tc>
        <w:tc>
          <w:tcPr>
            <w:tcW w:w="1134" w:type="dxa"/>
          </w:tcPr>
          <w:p w14:paraId="10C71F6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2268" w:type="dxa"/>
          </w:tcPr>
          <w:p w14:paraId="420C12F3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0.60 [0.48, 0.76]</w:t>
            </w:r>
          </w:p>
        </w:tc>
        <w:tc>
          <w:tcPr>
            <w:tcW w:w="1134" w:type="dxa"/>
          </w:tcPr>
          <w:p w14:paraId="643FC306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2700" w:type="dxa"/>
          </w:tcPr>
          <w:p w14:paraId="7D29B9B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0.70 [0.41, 1.19]</w:t>
            </w:r>
          </w:p>
        </w:tc>
        <w:tc>
          <w:tcPr>
            <w:tcW w:w="1047" w:type="dxa"/>
          </w:tcPr>
          <w:p w14:paraId="44C6509C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0.188</w:t>
            </w:r>
          </w:p>
        </w:tc>
      </w:tr>
      <w:tr w:rsidR="0027381A" w:rsidRPr="00940B78" w14:paraId="31A51D70" w14:textId="77777777" w:rsidTr="0027381A">
        <w:tc>
          <w:tcPr>
            <w:tcW w:w="3397" w:type="dxa"/>
          </w:tcPr>
          <w:p w14:paraId="72200472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All-cause mortality</w:t>
            </w:r>
          </w:p>
        </w:tc>
        <w:tc>
          <w:tcPr>
            <w:tcW w:w="2268" w:type="dxa"/>
          </w:tcPr>
          <w:p w14:paraId="51578A84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0.48 [0.42, 0.55]</w:t>
            </w:r>
          </w:p>
        </w:tc>
        <w:tc>
          <w:tcPr>
            <w:tcW w:w="1134" w:type="dxa"/>
          </w:tcPr>
          <w:p w14:paraId="2669C298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2268" w:type="dxa"/>
          </w:tcPr>
          <w:p w14:paraId="425B167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0.63 [0.55, 0.73]</w:t>
            </w:r>
          </w:p>
        </w:tc>
        <w:tc>
          <w:tcPr>
            <w:tcW w:w="1134" w:type="dxa"/>
          </w:tcPr>
          <w:p w14:paraId="3B7A8803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2700" w:type="dxa"/>
          </w:tcPr>
          <w:p w14:paraId="66C0A352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0.62 [0.42, 0.91]</w:t>
            </w:r>
          </w:p>
        </w:tc>
        <w:tc>
          <w:tcPr>
            <w:tcW w:w="1047" w:type="dxa"/>
          </w:tcPr>
          <w:p w14:paraId="07465E87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0.015</w:t>
            </w:r>
          </w:p>
        </w:tc>
      </w:tr>
    </w:tbl>
    <w:p w14:paraId="2667149A" w14:textId="77777777" w:rsidR="0027381A" w:rsidRPr="00E9391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5B8E134A" w14:textId="77777777" w:rsidR="0027381A" w:rsidRPr="00E9391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  <w:r w:rsidRPr="00E93918">
        <w:rPr>
          <w:b/>
          <w:bCs/>
          <w:color w:val="000000" w:themeColor="text1"/>
          <w:lang w:val="en-US"/>
        </w:rPr>
        <w:br w:type="page"/>
      </w:r>
    </w:p>
    <w:p w14:paraId="7486D253" w14:textId="74ADD222" w:rsidR="0027381A" w:rsidRPr="00E93918" w:rsidRDefault="0027381A" w:rsidP="0027381A">
      <w:pPr>
        <w:spacing w:line="480" w:lineRule="auto"/>
        <w:rPr>
          <w:color w:val="000000" w:themeColor="text1"/>
          <w:lang w:val="en-US"/>
        </w:rPr>
      </w:pPr>
      <w:r w:rsidRPr="00E93918">
        <w:rPr>
          <w:b/>
          <w:bCs/>
          <w:color w:val="000000" w:themeColor="text1"/>
          <w:lang w:val="en-US"/>
        </w:rPr>
        <w:lastRenderedPageBreak/>
        <w:t xml:space="preserve">Supplementary Table </w:t>
      </w:r>
      <w:r w:rsidR="00971AAF">
        <w:rPr>
          <w:b/>
          <w:bCs/>
          <w:color w:val="000000" w:themeColor="text1"/>
          <w:lang w:val="en-US"/>
        </w:rPr>
        <w:t>4</w:t>
      </w:r>
      <w:r w:rsidRPr="00E93918">
        <w:rPr>
          <w:b/>
          <w:bCs/>
          <w:color w:val="000000" w:themeColor="text1"/>
          <w:lang w:val="en-US"/>
        </w:rPr>
        <w:t xml:space="preserve">. </w:t>
      </w:r>
      <w:r w:rsidRPr="00E93918">
        <w:rPr>
          <w:color w:val="000000" w:themeColor="text1"/>
          <w:lang w:val="en-US"/>
        </w:rPr>
        <w:t>Sensitivity analysis including only patients who had statin exposure at the time of ADT initiation as the user group (total N=4436). Weighted comparisons of outcomes by statin usage were presented. Hazard ratios were referenced against statin non-users.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3093"/>
        <w:gridCol w:w="2920"/>
      </w:tblGrid>
      <w:tr w:rsidR="0027381A" w:rsidRPr="00940B78" w14:paraId="2E28FCE5" w14:textId="77777777" w:rsidTr="0027381A">
        <w:tc>
          <w:tcPr>
            <w:tcW w:w="4649" w:type="dxa"/>
          </w:tcPr>
          <w:p w14:paraId="733FAF30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649" w:type="dxa"/>
          </w:tcPr>
          <w:p w14:paraId="6D30BA26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Hazard ratio [95% confidence interval]</w:t>
            </w:r>
          </w:p>
        </w:tc>
        <w:tc>
          <w:tcPr>
            <w:tcW w:w="4650" w:type="dxa"/>
          </w:tcPr>
          <w:p w14:paraId="01622B6F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</w:tr>
      <w:tr w:rsidR="0027381A" w:rsidRPr="00940B78" w14:paraId="6D7A4F02" w14:textId="77777777" w:rsidTr="0027381A">
        <w:tc>
          <w:tcPr>
            <w:tcW w:w="4649" w:type="dxa"/>
          </w:tcPr>
          <w:p w14:paraId="757AA02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Prostate cancer-related mortality</w:t>
            </w:r>
          </w:p>
        </w:tc>
        <w:tc>
          <w:tcPr>
            <w:tcW w:w="4649" w:type="dxa"/>
          </w:tcPr>
          <w:p w14:paraId="7C5FD28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0.64 [0.54, 0.75]</w:t>
            </w:r>
          </w:p>
        </w:tc>
        <w:tc>
          <w:tcPr>
            <w:tcW w:w="4650" w:type="dxa"/>
          </w:tcPr>
          <w:p w14:paraId="031C3DC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</w:tr>
      <w:tr w:rsidR="0027381A" w:rsidRPr="00940B78" w14:paraId="26B27D48" w14:textId="77777777" w:rsidTr="0027381A">
        <w:tc>
          <w:tcPr>
            <w:tcW w:w="4649" w:type="dxa"/>
          </w:tcPr>
          <w:p w14:paraId="0835F286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All-cause mortality</w:t>
            </w:r>
          </w:p>
        </w:tc>
        <w:tc>
          <w:tcPr>
            <w:tcW w:w="4649" w:type="dxa"/>
          </w:tcPr>
          <w:p w14:paraId="18A5AD5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0.68 [0.61, 0.76]</w:t>
            </w:r>
          </w:p>
        </w:tc>
        <w:tc>
          <w:tcPr>
            <w:tcW w:w="4650" w:type="dxa"/>
          </w:tcPr>
          <w:p w14:paraId="26F8827B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CA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</w:tr>
    </w:tbl>
    <w:p w14:paraId="287CE968" w14:textId="77777777" w:rsidR="0027381A" w:rsidRPr="00E9391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5B1301BD" w14:textId="71C5D029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4CCFB459" w14:textId="5746931F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4986EF77" w14:textId="589D94F3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30681D9F" w14:textId="25453375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6AD3C90C" w14:textId="59D4BE61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5198742A" w14:textId="60AD62CC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76B40964" w14:textId="73D946FF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7185A6A2" w14:textId="2F569AC0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287B8201" w14:textId="25373A6E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52C94E2C" w14:textId="0FC8E161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287AEF3A" w14:textId="0F384543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7CC5CFDC" w14:textId="4BC437C9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419D0671" w14:textId="400CF085" w:rsidR="0027381A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4B74057E" w14:textId="77777777" w:rsidR="0027381A" w:rsidRPr="00E93918" w:rsidRDefault="0027381A" w:rsidP="0027381A">
      <w:pPr>
        <w:spacing w:line="480" w:lineRule="auto"/>
        <w:rPr>
          <w:b/>
          <w:bCs/>
          <w:color w:val="000000" w:themeColor="text1"/>
          <w:lang w:val="en-US"/>
        </w:rPr>
      </w:pPr>
    </w:p>
    <w:p w14:paraId="03368A07" w14:textId="3D6FC2DA" w:rsidR="0027381A" w:rsidRPr="00E93918" w:rsidRDefault="0027381A" w:rsidP="0027381A">
      <w:pPr>
        <w:spacing w:line="480" w:lineRule="auto"/>
        <w:rPr>
          <w:color w:val="000000" w:themeColor="text1"/>
          <w:lang w:val="en-US"/>
        </w:rPr>
      </w:pPr>
      <w:r w:rsidRPr="00E93918">
        <w:rPr>
          <w:b/>
          <w:bCs/>
          <w:color w:val="000000" w:themeColor="text1"/>
          <w:lang w:val="en-US"/>
        </w:rPr>
        <w:lastRenderedPageBreak/>
        <w:t xml:space="preserve">Supplementary Table </w:t>
      </w:r>
      <w:r w:rsidR="00971AAF">
        <w:rPr>
          <w:b/>
          <w:bCs/>
          <w:color w:val="000000" w:themeColor="text1"/>
          <w:lang w:val="en-US"/>
        </w:rPr>
        <w:t>5</w:t>
      </w:r>
      <w:r w:rsidRPr="00E93918">
        <w:rPr>
          <w:b/>
          <w:bCs/>
          <w:color w:val="000000" w:themeColor="text1"/>
          <w:lang w:val="en-US"/>
        </w:rPr>
        <w:t xml:space="preserve">. </w:t>
      </w:r>
      <w:r w:rsidRPr="00E93918">
        <w:rPr>
          <w:color w:val="000000" w:themeColor="text1"/>
          <w:lang w:val="en-US"/>
        </w:rPr>
        <w:t>Sensitivity analysis excluding patients who had any hydrophilic statin exposure from the user group (total N=4686). Weighted comparisons of outcomes by statin usage were presented. Hazard ratios were referenced against statin non-users.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3093"/>
        <w:gridCol w:w="2920"/>
      </w:tblGrid>
      <w:tr w:rsidR="0027381A" w:rsidRPr="00940B78" w14:paraId="53056C14" w14:textId="77777777" w:rsidTr="0027381A">
        <w:tc>
          <w:tcPr>
            <w:tcW w:w="4649" w:type="dxa"/>
          </w:tcPr>
          <w:p w14:paraId="5E59E444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649" w:type="dxa"/>
          </w:tcPr>
          <w:p w14:paraId="3996E79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Hazard ratio [95% confidence interval]</w:t>
            </w:r>
          </w:p>
        </w:tc>
        <w:tc>
          <w:tcPr>
            <w:tcW w:w="4650" w:type="dxa"/>
          </w:tcPr>
          <w:p w14:paraId="6D403385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</w:tr>
      <w:tr w:rsidR="0027381A" w:rsidRPr="00940B78" w14:paraId="455412FD" w14:textId="77777777" w:rsidTr="0027381A">
        <w:tc>
          <w:tcPr>
            <w:tcW w:w="4649" w:type="dxa"/>
          </w:tcPr>
          <w:p w14:paraId="1210115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Prostate cancer-related mortality</w:t>
            </w:r>
          </w:p>
        </w:tc>
        <w:tc>
          <w:tcPr>
            <w:tcW w:w="4649" w:type="dxa"/>
          </w:tcPr>
          <w:p w14:paraId="0D76C4F3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0.57 [0.49, 0.67]</w:t>
            </w:r>
          </w:p>
        </w:tc>
        <w:tc>
          <w:tcPr>
            <w:tcW w:w="4650" w:type="dxa"/>
          </w:tcPr>
          <w:p w14:paraId="206E5F8B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</w:tr>
      <w:tr w:rsidR="0027381A" w:rsidRPr="00940B78" w14:paraId="0335778B" w14:textId="77777777" w:rsidTr="0027381A">
        <w:tc>
          <w:tcPr>
            <w:tcW w:w="4649" w:type="dxa"/>
          </w:tcPr>
          <w:p w14:paraId="4569564A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All-cause mortality</w:t>
            </w:r>
          </w:p>
        </w:tc>
        <w:tc>
          <w:tcPr>
            <w:tcW w:w="4649" w:type="dxa"/>
          </w:tcPr>
          <w:p w14:paraId="752041AD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0.58 [0.52, 0.64]</w:t>
            </w:r>
          </w:p>
        </w:tc>
        <w:tc>
          <w:tcPr>
            <w:tcW w:w="4650" w:type="dxa"/>
          </w:tcPr>
          <w:p w14:paraId="71848028" w14:textId="77777777" w:rsidR="0027381A" w:rsidRPr="00E93918" w:rsidRDefault="0027381A" w:rsidP="001D3FEB">
            <w:pPr>
              <w:spacing w:line="480" w:lineRule="auto"/>
              <w:rPr>
                <w:color w:val="000000" w:themeColor="text1"/>
                <w:sz w:val="24"/>
                <w:szCs w:val="24"/>
                <w:lang w:val="en-CA"/>
              </w:rPr>
            </w:pPr>
            <w:r w:rsidRPr="00E93918">
              <w:rPr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</w:tr>
    </w:tbl>
    <w:p w14:paraId="3537D076" w14:textId="77777777" w:rsidR="0027381A" w:rsidRPr="00940B78" w:rsidRDefault="0027381A" w:rsidP="0027381A">
      <w:pPr>
        <w:spacing w:line="480" w:lineRule="auto"/>
        <w:rPr>
          <w:b/>
          <w:bCs/>
          <w:color w:val="000000" w:themeColor="text1"/>
        </w:rPr>
      </w:pPr>
    </w:p>
    <w:p w14:paraId="7C7EC446" w14:textId="77777777" w:rsidR="00EE505F" w:rsidRDefault="00EE505F"/>
    <w:sectPr w:rsidR="00EE505F" w:rsidSect="000029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81A"/>
    <w:rsid w:val="00004061"/>
    <w:rsid w:val="00045BCB"/>
    <w:rsid w:val="000F6AEB"/>
    <w:rsid w:val="0011310C"/>
    <w:rsid w:val="0027381A"/>
    <w:rsid w:val="00460B84"/>
    <w:rsid w:val="00691CFF"/>
    <w:rsid w:val="00707BBC"/>
    <w:rsid w:val="008B66BE"/>
    <w:rsid w:val="009357CD"/>
    <w:rsid w:val="00963BCE"/>
    <w:rsid w:val="00971AAF"/>
    <w:rsid w:val="00A515A5"/>
    <w:rsid w:val="00AF0C40"/>
    <w:rsid w:val="00C0268E"/>
    <w:rsid w:val="00C83FB3"/>
    <w:rsid w:val="00D93353"/>
    <w:rsid w:val="00E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8C0738"/>
  <w15:chartTrackingRefBased/>
  <w15:docId w15:val="{0A4DFA30-82A7-A84E-8A4F-A1D3F67D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81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81A"/>
    <w:rPr>
      <w:sz w:val="22"/>
      <w:szCs w:val="22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qFormat/>
    <w:rsid w:val="0027381A"/>
    <w:pPr>
      <w:spacing w:after="160" w:line="259" w:lineRule="auto"/>
    </w:pPr>
    <w:rPr>
      <w:sz w:val="2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Yan Hiu Athena</dc:creator>
  <cp:keywords/>
  <dc:description/>
  <cp:lastModifiedBy>LEE, Yan Hiu Athena</cp:lastModifiedBy>
  <cp:revision>2</cp:revision>
  <dcterms:created xsi:type="dcterms:W3CDTF">2022-04-24T12:42:00Z</dcterms:created>
  <dcterms:modified xsi:type="dcterms:W3CDTF">2022-04-24T12:51:00Z</dcterms:modified>
</cp:coreProperties>
</file>