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D12" w:rsidRPr="00A46698" w:rsidRDefault="00000D12" w:rsidP="00000D12">
      <w:pPr>
        <w:spacing w:line="276" w:lineRule="auto"/>
        <w:rPr>
          <w:b/>
          <w:bCs/>
          <w:color w:val="0D0D0D" w:themeColor="text1" w:themeTint="F2"/>
          <w:sz w:val="21"/>
          <w:szCs w:val="21"/>
          <w:lang w:eastAsia="zh-CN"/>
        </w:rPr>
      </w:pPr>
      <w:r w:rsidRPr="00A46698">
        <w:rPr>
          <w:rFonts w:eastAsiaTheme="minorEastAsia"/>
          <w:b/>
          <w:bCs/>
          <w:color w:val="0D0D0D" w:themeColor="text1" w:themeTint="F2"/>
          <w:sz w:val="21"/>
          <w:szCs w:val="21"/>
          <w:lang w:eastAsia="zh-CN"/>
        </w:rPr>
        <w:t>Supplemental table 1 Comparison of clinical information between NCI and CI groups at baseline</w:t>
      </w:r>
    </w:p>
    <w:tbl>
      <w:tblPr>
        <w:tblW w:w="8581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668"/>
        <w:gridCol w:w="1768"/>
        <w:gridCol w:w="1134"/>
        <w:gridCol w:w="42"/>
      </w:tblGrid>
      <w:tr w:rsidR="00000D12" w:rsidRPr="00A46698" w:rsidTr="000A35D7">
        <w:tc>
          <w:tcPr>
            <w:tcW w:w="3969" w:type="dxa"/>
            <w:tcBorders>
              <w:top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 xml:space="preserve">Baseline </w:t>
            </w:r>
            <w:r w:rsidRPr="00A46698">
              <w:rPr>
                <w:b/>
                <w:color w:val="0D0D0D" w:themeColor="text1" w:themeTint="F2"/>
                <w:sz w:val="21"/>
                <w:szCs w:val="21"/>
                <w:lang w:val="en-GB"/>
              </w:rPr>
              <w:t>Variables</w:t>
            </w:r>
          </w:p>
        </w:tc>
        <w:tc>
          <w:tcPr>
            <w:tcW w:w="1668" w:type="dxa"/>
            <w:tcBorders>
              <w:top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 xml:space="preserve">NCI group </w:t>
            </w:r>
          </w:p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>(n=686)</w:t>
            </w:r>
          </w:p>
        </w:tc>
        <w:tc>
          <w:tcPr>
            <w:tcW w:w="1768" w:type="dxa"/>
            <w:tcBorders>
              <w:top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 xml:space="preserve">CI group </w:t>
            </w:r>
          </w:p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>(n=368)</w:t>
            </w:r>
          </w:p>
        </w:tc>
        <w:tc>
          <w:tcPr>
            <w:tcW w:w="1176" w:type="dxa"/>
            <w:gridSpan w:val="2"/>
            <w:tcBorders>
              <w:top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>P value</w:t>
            </w:r>
          </w:p>
        </w:tc>
      </w:tr>
      <w:tr w:rsidR="00000D12" w:rsidRPr="00A46698" w:rsidTr="000A35D7">
        <w:tc>
          <w:tcPr>
            <w:tcW w:w="3969" w:type="dxa"/>
            <w:tcBorders>
              <w:top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Gender</w:t>
            </w: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(male, n,%)</w:t>
            </w:r>
          </w:p>
        </w:tc>
        <w:tc>
          <w:tcPr>
            <w:tcW w:w="1668" w:type="dxa"/>
            <w:tcBorders>
              <w:top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530(77.26)</w:t>
            </w:r>
          </w:p>
        </w:tc>
        <w:tc>
          <w:tcPr>
            <w:tcW w:w="1768" w:type="dxa"/>
            <w:tcBorders>
              <w:top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253(68.75)</w:t>
            </w:r>
          </w:p>
        </w:tc>
        <w:tc>
          <w:tcPr>
            <w:tcW w:w="1176" w:type="dxa"/>
            <w:gridSpan w:val="2"/>
            <w:tcBorders>
              <w:top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eastAsia="zh-CN"/>
              </w:rPr>
              <w:t>0.003</w:t>
            </w:r>
            <w:r w:rsidRPr="00A46698">
              <w:rPr>
                <w:b/>
                <w:color w:val="0D0D0D" w:themeColor="text1" w:themeTint="F2"/>
                <w:sz w:val="21"/>
                <w:szCs w:val="21"/>
                <w:vertAlign w:val="superscript"/>
                <w:lang w:eastAsia="zh-CN"/>
              </w:rPr>
              <w:t>**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Average</w:t>
            </w: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 xml:space="preserve"> age (years, </w:t>
            </w:r>
            <w:proofErr w:type="spellStart"/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>mean±SD</w:t>
            </w:r>
            <w:proofErr w:type="spellEnd"/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58.85±10.67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62.87±9.60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eastAsia="zh-CN"/>
              </w:rPr>
              <w:t>&lt;0.0001</w:t>
            </w:r>
            <w:r w:rsidRPr="00A46698">
              <w:rPr>
                <w:b/>
                <w:color w:val="0D0D0D" w:themeColor="text1" w:themeTint="F2"/>
                <w:sz w:val="21"/>
                <w:szCs w:val="21"/>
                <w:vertAlign w:val="superscript"/>
                <w:lang w:eastAsia="zh-CN"/>
              </w:rPr>
              <w:t>**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rFonts w:eastAsiaTheme="minorEastAsia"/>
                <w:color w:val="0D0D0D" w:themeColor="text1" w:themeTint="F2"/>
                <w:sz w:val="21"/>
                <w:szCs w:val="21"/>
              </w:rPr>
              <w:t>Body mass index</w:t>
            </w:r>
            <w:r w:rsidRPr="00A46698" w:rsidDel="002E10AC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 xml:space="preserve"> </w:t>
            </w:r>
            <w:r w:rsidRPr="00A46698">
              <w:rPr>
                <w:rFonts w:eastAsiaTheme="minorEastAsia"/>
                <w:color w:val="0D0D0D" w:themeColor="text1" w:themeTint="F2"/>
                <w:sz w:val="21"/>
                <w:szCs w:val="21"/>
              </w:rPr>
              <w:t>(kg/m</w:t>
            </w:r>
            <w:r w:rsidRPr="00A46698">
              <w:rPr>
                <w:rFonts w:eastAsiaTheme="minorEastAsia"/>
                <w:color w:val="0D0D0D" w:themeColor="text1" w:themeTint="F2"/>
                <w:sz w:val="21"/>
                <w:szCs w:val="21"/>
                <w:vertAlign w:val="superscript"/>
              </w:rPr>
              <w:t>2</w:t>
            </w:r>
            <w:r w:rsidRPr="00A46698">
              <w:rPr>
                <w:rFonts w:eastAsiaTheme="minorEastAsia"/>
                <w:color w:val="0D0D0D" w:themeColor="text1" w:themeTint="F2"/>
                <w:sz w:val="21"/>
                <w:szCs w:val="21"/>
              </w:rPr>
              <w:t>,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 xml:space="preserve"> </w:t>
            </w:r>
            <w:proofErr w:type="spellStart"/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>mean±SD</w:t>
            </w:r>
            <w:proofErr w:type="spellEnd"/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>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25.20±3.37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24.92±3.16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0.17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u w:val="single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u w:val="single"/>
                <w:lang w:eastAsia="zh-CN"/>
              </w:rPr>
              <w:t>Risk factors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rFonts w:eastAsiaTheme="minorEastAsia"/>
                <w:color w:val="0D0D0D" w:themeColor="text1" w:themeTint="F2"/>
                <w:sz w:val="21"/>
                <w:szCs w:val="21"/>
              </w:rPr>
              <w:t>Current or previous smoking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 xml:space="preserve"> (n, 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258(37.61)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137(37.23)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0.90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Diabetes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 xml:space="preserve"> (n, 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206(30.03)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121(32.88)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0.34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Hypertension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 xml:space="preserve"> (n, 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511(74.49)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280(76.09)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0.57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val="en-GB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Lipid metabolism disorders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 xml:space="preserve"> (n, 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342(49.85)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164(44.57)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0.10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Atrial fibrillation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 xml:space="preserve"> (n, 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25(3.64)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18(4.89)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0.33</w:t>
            </w:r>
          </w:p>
        </w:tc>
      </w:tr>
      <w:tr w:rsidR="00000D12" w:rsidRPr="00A46698" w:rsidTr="000A35D7">
        <w:trPr>
          <w:gridAfter w:val="1"/>
          <w:wAfter w:w="42" w:type="dxa"/>
        </w:trPr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color w:val="0D0D0D" w:themeColor="text1" w:themeTint="F2"/>
                <w:sz w:val="21"/>
                <w:szCs w:val="21"/>
              </w:rPr>
              <w:t>Previous stroke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 xml:space="preserve"> (n, 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129(18.80)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90(24.46)</w:t>
            </w:r>
          </w:p>
        </w:tc>
        <w:tc>
          <w:tcPr>
            <w:tcW w:w="1134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>0.03</w:t>
            </w:r>
            <w:r w:rsidRPr="00A46698">
              <w:rPr>
                <w:b/>
                <w:color w:val="0D0D0D" w:themeColor="text1" w:themeTint="F2"/>
                <w:sz w:val="21"/>
                <w:szCs w:val="21"/>
                <w:vertAlign w:val="superscript"/>
                <w:lang w:eastAsia="zh-CN"/>
              </w:rPr>
              <w:t>*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proofErr w:type="spellStart"/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mRS</w:t>
            </w:r>
            <w:proofErr w:type="spellEnd"/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 xml:space="preserve"> at 3 months 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>[scores, median (IQR)])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1.00(1.00)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1.00(1.00)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>0.0005</w:t>
            </w:r>
            <w:r w:rsidRPr="00A46698">
              <w:rPr>
                <w:b/>
                <w:color w:val="0D0D0D" w:themeColor="text1" w:themeTint="F2"/>
                <w:sz w:val="21"/>
                <w:szCs w:val="21"/>
                <w:vertAlign w:val="superscript"/>
                <w:lang w:eastAsia="zh-CN"/>
              </w:rPr>
              <w:t>**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Neuropsychiatric symptom at 3 months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>(n, 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PSQI &gt; 5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263(38.34)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160(43.48)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0.10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 xml:space="preserve">ESS </w:t>
            </w: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&gt;</w:t>
            </w: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10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77(11.24)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33(8.99)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0.26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PHQ-9 scale &gt;9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31(4.53)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31(8.49)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>0.01</w:t>
            </w:r>
            <w:r w:rsidRPr="00A46698">
              <w:rPr>
                <w:b/>
                <w:color w:val="0D0D0D" w:themeColor="text1" w:themeTint="F2"/>
                <w:sz w:val="21"/>
                <w:szCs w:val="21"/>
                <w:vertAlign w:val="superscript"/>
                <w:lang w:eastAsia="zh-CN"/>
              </w:rPr>
              <w:t>*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GAD-7 scale &gt;9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19(2.77)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17(4.64)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0.11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Stroke subtype</w:t>
            </w: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 xml:space="preserve"> for TOAST 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>(n, 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>0.005</w:t>
            </w:r>
            <w:r w:rsidRPr="00A46698">
              <w:rPr>
                <w:b/>
                <w:color w:val="0D0D0D" w:themeColor="text1" w:themeTint="F2"/>
                <w:sz w:val="21"/>
                <w:szCs w:val="21"/>
                <w:vertAlign w:val="superscript"/>
                <w:lang w:eastAsia="zh-CN"/>
              </w:rPr>
              <w:t>**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large artery atherosclerosis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139(20.26)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97(26.36)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cardiogenic embolism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31(4.52)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21(5.71)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small artery occlusion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208(30.32)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95(25.82)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Other/Unknown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308(44.90)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155(42.12)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Acute infarction type</w:t>
            </w:r>
            <w:r w:rsidRPr="00A46698">
              <w:rPr>
                <w:rFonts w:eastAsia="DengXian"/>
                <w:color w:val="0D0D0D" w:themeColor="text1" w:themeTint="F2"/>
                <w:sz w:val="21"/>
                <w:szCs w:val="21"/>
              </w:rPr>
              <w:t>(n, %)</w:t>
            </w: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 xml:space="preserve"> 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>0.03</w:t>
            </w:r>
            <w:r w:rsidRPr="00A46698">
              <w:rPr>
                <w:b/>
                <w:color w:val="0D0D0D" w:themeColor="text1" w:themeTint="F2"/>
                <w:sz w:val="21"/>
                <w:szCs w:val="21"/>
                <w:vertAlign w:val="superscript"/>
                <w:lang w:eastAsia="zh-CN"/>
              </w:rPr>
              <w:t>*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 xml:space="preserve">  Single infarction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321(46.79)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160(43.48)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 xml:space="preserve">  Multiple infarction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248(36.15)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164(44.57)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00" w:firstLine="210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>Simple watershed infarction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14(2.04)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5(1.36)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/>
              </w:rPr>
              <w:t xml:space="preserve">  No infarction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103(15.01)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39(10.60)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color w:val="0D0D0D" w:themeColor="text1" w:themeTint="F2"/>
                <w:sz w:val="21"/>
                <w:szCs w:val="21"/>
              </w:rPr>
              <w:t>Intracranial atherosclerotic stenosis (ICAS) (n,%)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133(29.36)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101(37.55)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>0.04</w:t>
            </w:r>
            <w:r w:rsidRPr="00A46698">
              <w:rPr>
                <w:b/>
                <w:color w:val="0D0D0D" w:themeColor="text1" w:themeTint="F2"/>
                <w:sz w:val="21"/>
                <w:szCs w:val="21"/>
                <w:vertAlign w:val="superscript"/>
                <w:lang w:eastAsia="zh-CN"/>
              </w:rPr>
              <w:t>*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u w:val="single"/>
                <w:lang w:val="en-GB" w:eastAsia="zh-CN"/>
              </w:rPr>
            </w:pPr>
            <w:r w:rsidRPr="00A46698">
              <w:rPr>
                <w:color w:val="0D0D0D" w:themeColor="text1" w:themeTint="F2"/>
                <w:sz w:val="21"/>
                <w:szCs w:val="21"/>
                <w:shd w:val="clear" w:color="auto" w:fill="FFFFFF"/>
              </w:rPr>
              <w:t>Intravenous thrombolysis (n,%)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30(4.37)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20(5.43)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0.44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u w:val="single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shd w:val="clear" w:color="auto" w:fill="FFFFFF"/>
              </w:rPr>
              <w:t>Dual antiplatelet th</w:t>
            </w:r>
            <w:r w:rsidRPr="00A46698">
              <w:rPr>
                <w:color w:val="0D0D0D" w:themeColor="text1" w:themeTint="F2"/>
                <w:sz w:val="21"/>
                <w:szCs w:val="21"/>
                <w:shd w:val="clear" w:color="auto" w:fill="FFFFFF"/>
              </w:rPr>
              <w:t>erapy (n,%)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284(47.73)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168(50.30)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0.45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u w:val="single"/>
                <w:lang w:val="en-GB" w:eastAsia="zh-CN"/>
              </w:rPr>
            </w:pPr>
            <w:r w:rsidRPr="00A46698">
              <w:rPr>
                <w:rStyle w:val="tran"/>
                <w:color w:val="0D0D0D" w:themeColor="text1" w:themeTint="F2"/>
                <w:sz w:val="21"/>
                <w:szCs w:val="21"/>
              </w:rPr>
              <w:lastRenderedPageBreak/>
              <w:t>Secondary</w:t>
            </w:r>
            <w:r w:rsidRPr="00A46698">
              <w:rPr>
                <w:rStyle w:val="apple-converted-space"/>
                <w:color w:val="0D0D0D" w:themeColor="text1" w:themeTint="F2"/>
                <w:sz w:val="21"/>
                <w:szCs w:val="21"/>
              </w:rPr>
              <w:t> </w:t>
            </w:r>
            <w:r w:rsidRPr="00A46698">
              <w:rPr>
                <w:rStyle w:val="tran"/>
                <w:color w:val="0D0D0D" w:themeColor="text1" w:themeTint="F2"/>
                <w:sz w:val="21"/>
                <w:szCs w:val="21"/>
              </w:rPr>
              <w:t xml:space="preserve">prevention of stroke at 3 months </w:t>
            </w:r>
            <w:r w:rsidRPr="00A46698">
              <w:rPr>
                <w:color w:val="0D0D0D" w:themeColor="text1" w:themeTint="F2"/>
                <w:sz w:val="21"/>
                <w:szCs w:val="21"/>
              </w:rPr>
              <w:t>(n,%)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 xml:space="preserve">   Antiplatelet or anticoagulant therapy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626(91.25)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338(91.85)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0.74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 xml:space="preserve">   Antihypertensive therapy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376(54.89)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204(55.43)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0.87</w:t>
            </w:r>
          </w:p>
        </w:tc>
      </w:tr>
      <w:tr w:rsidR="00000D12" w:rsidRPr="00A46698" w:rsidTr="000A35D7">
        <w:tc>
          <w:tcPr>
            <w:tcW w:w="3969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 xml:space="preserve">   Lipid-lowering therapy</w:t>
            </w:r>
          </w:p>
        </w:tc>
        <w:tc>
          <w:tcPr>
            <w:tcW w:w="16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539(78.69)</w:t>
            </w:r>
          </w:p>
        </w:tc>
        <w:tc>
          <w:tcPr>
            <w:tcW w:w="1768" w:type="dxa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309(83.97)</w:t>
            </w:r>
          </w:p>
        </w:tc>
        <w:tc>
          <w:tcPr>
            <w:tcW w:w="1176" w:type="dxa"/>
            <w:gridSpan w:val="2"/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/>
                <w:color w:val="0D0D0D" w:themeColor="text1" w:themeTint="F2"/>
                <w:sz w:val="21"/>
                <w:szCs w:val="21"/>
                <w:lang w:val="en-GB" w:eastAsia="zh-CN"/>
              </w:rPr>
              <w:t>0.04</w:t>
            </w:r>
            <w:r w:rsidRPr="00A46698">
              <w:rPr>
                <w:b/>
                <w:color w:val="0D0D0D" w:themeColor="text1" w:themeTint="F2"/>
                <w:sz w:val="21"/>
                <w:szCs w:val="21"/>
                <w:vertAlign w:val="superscript"/>
                <w:lang w:eastAsia="zh-CN"/>
              </w:rPr>
              <w:t>**</w:t>
            </w:r>
          </w:p>
        </w:tc>
      </w:tr>
      <w:tr w:rsidR="00000D12" w:rsidRPr="00A46698" w:rsidTr="000A35D7">
        <w:tc>
          <w:tcPr>
            <w:tcW w:w="3969" w:type="dxa"/>
            <w:tcBorders>
              <w:bottom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ind w:firstLineChars="150" w:firstLine="315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proofErr w:type="spellStart"/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Hypoglycemic</w:t>
            </w:r>
            <w:proofErr w:type="spellEnd"/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 xml:space="preserve"> therapy</w:t>
            </w:r>
          </w:p>
        </w:tc>
        <w:tc>
          <w:tcPr>
            <w:tcW w:w="1668" w:type="dxa"/>
            <w:tcBorders>
              <w:bottom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152(22.19)</w:t>
            </w:r>
          </w:p>
        </w:tc>
        <w:tc>
          <w:tcPr>
            <w:tcW w:w="1768" w:type="dxa"/>
            <w:tcBorders>
              <w:bottom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eastAsia="zh-CN"/>
              </w:rPr>
              <w:t>87(23.64)</w:t>
            </w:r>
          </w:p>
        </w:tc>
        <w:tc>
          <w:tcPr>
            <w:tcW w:w="1176" w:type="dxa"/>
            <w:gridSpan w:val="2"/>
            <w:tcBorders>
              <w:bottom w:val="single" w:sz="12" w:space="0" w:color="auto"/>
            </w:tcBorders>
          </w:tcPr>
          <w:p w:rsidR="00000D12" w:rsidRPr="00A46698" w:rsidRDefault="00000D12" w:rsidP="000A35D7">
            <w:pPr>
              <w:adjustRightInd w:val="0"/>
              <w:snapToGrid w:val="0"/>
              <w:spacing w:line="360" w:lineRule="auto"/>
              <w:jc w:val="both"/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</w:pPr>
            <w:r w:rsidRPr="00A46698">
              <w:rPr>
                <w:bCs/>
                <w:color w:val="0D0D0D" w:themeColor="text1" w:themeTint="F2"/>
                <w:sz w:val="21"/>
                <w:szCs w:val="21"/>
                <w:lang w:val="en-GB" w:eastAsia="zh-CN"/>
              </w:rPr>
              <w:t>0.59</w:t>
            </w:r>
          </w:p>
        </w:tc>
      </w:tr>
    </w:tbl>
    <w:p w:rsidR="00000D12" w:rsidRPr="00A46698" w:rsidRDefault="00000D12" w:rsidP="00000D12">
      <w:pPr>
        <w:spacing w:line="276" w:lineRule="auto"/>
        <w:jc w:val="both"/>
        <w:rPr>
          <w:bCs/>
          <w:color w:val="0D0D0D" w:themeColor="text1" w:themeTint="F2"/>
          <w:sz w:val="21"/>
          <w:szCs w:val="21"/>
          <w:lang w:val="en-GB" w:eastAsia="zh-CN"/>
        </w:rPr>
      </w:pPr>
      <w:proofErr w:type="spellStart"/>
      <w:r w:rsidRPr="00A46698">
        <w:rPr>
          <w:bCs/>
          <w:color w:val="0D0D0D" w:themeColor="text1" w:themeTint="F2"/>
          <w:sz w:val="21"/>
          <w:szCs w:val="21"/>
          <w:lang w:eastAsia="zh-CN"/>
        </w:rPr>
        <w:t>mRS</w:t>
      </w:r>
      <w:proofErr w:type="spellEnd"/>
      <w:r w:rsidRPr="00A46698">
        <w:rPr>
          <w:bCs/>
          <w:color w:val="0D0D0D" w:themeColor="text1" w:themeTint="F2"/>
          <w:sz w:val="21"/>
          <w:szCs w:val="21"/>
          <w:lang w:eastAsia="zh-CN"/>
        </w:rPr>
        <w:t>=</w:t>
      </w:r>
      <w:r w:rsidRPr="00A46698">
        <w:rPr>
          <w:color w:val="0D0D0D" w:themeColor="text1" w:themeTint="F2"/>
          <w:sz w:val="21"/>
          <w:szCs w:val="21"/>
        </w:rPr>
        <w:t xml:space="preserve"> </w:t>
      </w:r>
      <w:r w:rsidRPr="00A46698">
        <w:rPr>
          <w:rStyle w:val="A9"/>
          <w:color w:val="0D0D0D" w:themeColor="text1" w:themeTint="F2"/>
          <w:sz w:val="21"/>
          <w:szCs w:val="21"/>
        </w:rPr>
        <w:t xml:space="preserve">modified Rankin </w:t>
      </w:r>
      <w:proofErr w:type="spellStart"/>
      <w:proofErr w:type="gramStart"/>
      <w:r w:rsidRPr="00A46698">
        <w:rPr>
          <w:rStyle w:val="A9"/>
          <w:color w:val="0D0D0D" w:themeColor="text1" w:themeTint="F2"/>
          <w:sz w:val="21"/>
          <w:szCs w:val="21"/>
        </w:rPr>
        <w:t>Scale</w:t>
      </w:r>
      <w:r w:rsidRPr="00A46698">
        <w:rPr>
          <w:bCs/>
          <w:color w:val="0D0D0D" w:themeColor="text1" w:themeTint="F2"/>
          <w:sz w:val="21"/>
          <w:szCs w:val="21"/>
          <w:lang w:eastAsia="zh-CN"/>
        </w:rPr>
        <w:t>;NIHSS</w:t>
      </w:r>
      <w:proofErr w:type="spellEnd"/>
      <w:proofErr w:type="gramEnd"/>
      <w:r w:rsidRPr="00A46698">
        <w:rPr>
          <w:bCs/>
          <w:color w:val="0D0D0D" w:themeColor="text1" w:themeTint="F2"/>
          <w:sz w:val="21"/>
          <w:szCs w:val="21"/>
          <w:lang w:eastAsia="zh-CN"/>
        </w:rPr>
        <w:t>=</w:t>
      </w:r>
      <w:r w:rsidRPr="00A46698">
        <w:rPr>
          <w:rFonts w:eastAsiaTheme="minorEastAsia"/>
          <w:color w:val="0D0D0D" w:themeColor="text1" w:themeTint="F2"/>
          <w:sz w:val="21"/>
          <w:szCs w:val="21"/>
        </w:rPr>
        <w:t xml:space="preserve"> National Institutes of Health Stroke Scale</w:t>
      </w:r>
      <w:r w:rsidRPr="00A46698">
        <w:rPr>
          <w:bCs/>
          <w:color w:val="0D0D0D" w:themeColor="text1" w:themeTint="F2"/>
          <w:sz w:val="21"/>
          <w:szCs w:val="21"/>
          <w:lang w:eastAsia="zh-CN"/>
        </w:rPr>
        <w:t>;</w:t>
      </w:r>
      <w:r w:rsidRPr="00A46698">
        <w:rPr>
          <w:bCs/>
          <w:color w:val="0D0D0D" w:themeColor="text1" w:themeTint="F2"/>
          <w:sz w:val="21"/>
          <w:szCs w:val="21"/>
          <w:lang w:val="en-GB" w:eastAsia="zh-CN"/>
        </w:rPr>
        <w:t>PSQI</w:t>
      </w:r>
      <w:r w:rsidRPr="00A46698">
        <w:rPr>
          <w:bCs/>
          <w:color w:val="0D0D0D" w:themeColor="text1" w:themeTint="F2"/>
          <w:sz w:val="21"/>
          <w:szCs w:val="21"/>
          <w:lang w:val="en-GB"/>
        </w:rPr>
        <w:t>=</w:t>
      </w:r>
      <w:r w:rsidRPr="00A46698">
        <w:rPr>
          <w:color w:val="0D0D0D" w:themeColor="text1" w:themeTint="F2"/>
          <w:sz w:val="21"/>
          <w:szCs w:val="21"/>
        </w:rPr>
        <w:t xml:space="preserve"> Pittsburgh Sleep Quality Index;</w:t>
      </w:r>
      <w:r w:rsidRPr="00A46698">
        <w:rPr>
          <w:bCs/>
          <w:color w:val="0D0D0D" w:themeColor="text1" w:themeTint="F2"/>
          <w:sz w:val="21"/>
          <w:szCs w:val="21"/>
          <w:lang w:val="en-GB"/>
        </w:rPr>
        <w:t>ESS=</w:t>
      </w:r>
      <w:r w:rsidRPr="00A46698">
        <w:rPr>
          <w:color w:val="0D0D0D" w:themeColor="text1" w:themeTint="F2"/>
          <w:sz w:val="21"/>
          <w:szCs w:val="21"/>
        </w:rPr>
        <w:t xml:space="preserve"> Epworth Sleeping Scale;</w:t>
      </w:r>
      <w:r w:rsidRPr="00A46698">
        <w:rPr>
          <w:bCs/>
          <w:color w:val="0D0D0D" w:themeColor="text1" w:themeTint="F2"/>
          <w:sz w:val="21"/>
          <w:szCs w:val="21"/>
          <w:lang w:val="en-GB"/>
        </w:rPr>
        <w:t xml:space="preserve"> GAD-7=</w:t>
      </w:r>
      <w:r w:rsidRPr="00A46698">
        <w:rPr>
          <w:color w:val="0D0D0D" w:themeColor="text1" w:themeTint="F2"/>
          <w:sz w:val="21"/>
          <w:szCs w:val="21"/>
        </w:rPr>
        <w:t>Anxiety Disorder-7;PHQ-9</w:t>
      </w:r>
      <w:r w:rsidRPr="00A46698">
        <w:rPr>
          <w:color w:val="0D0D0D" w:themeColor="text1" w:themeTint="F2"/>
          <w:sz w:val="21"/>
          <w:szCs w:val="21"/>
          <w:vertAlign w:val="superscript"/>
        </w:rPr>
        <w:t>=</w:t>
      </w:r>
      <w:r w:rsidRPr="00A46698">
        <w:rPr>
          <w:color w:val="0D0D0D" w:themeColor="text1" w:themeTint="F2"/>
          <w:sz w:val="21"/>
          <w:szCs w:val="21"/>
        </w:rPr>
        <w:t xml:space="preserve">Patient Health Questionnaire-9. </w:t>
      </w:r>
      <w:proofErr w:type="gramStart"/>
      <w:r w:rsidRPr="00A46698">
        <w:rPr>
          <w:color w:val="0D0D0D" w:themeColor="text1" w:themeTint="F2"/>
          <w:sz w:val="21"/>
          <w:szCs w:val="21"/>
        </w:rPr>
        <w:t>*:</w:t>
      </w:r>
      <w:r w:rsidRPr="00A46698">
        <w:rPr>
          <w:color w:val="0D0D0D" w:themeColor="text1" w:themeTint="F2"/>
          <w:sz w:val="21"/>
          <w:szCs w:val="21"/>
          <w:lang w:eastAsia="zh-CN"/>
        </w:rPr>
        <w:t>＜</w:t>
      </w:r>
      <w:proofErr w:type="gramEnd"/>
      <w:r w:rsidRPr="00A46698">
        <w:rPr>
          <w:color w:val="0D0D0D" w:themeColor="text1" w:themeTint="F2"/>
          <w:sz w:val="21"/>
          <w:szCs w:val="21"/>
          <w:lang w:eastAsia="zh-CN"/>
        </w:rPr>
        <w:t>0.05</w:t>
      </w:r>
      <w:r w:rsidRPr="00A46698">
        <w:rPr>
          <w:color w:val="0D0D0D" w:themeColor="text1" w:themeTint="F2"/>
          <w:sz w:val="21"/>
          <w:szCs w:val="21"/>
          <w:lang w:eastAsia="zh-CN"/>
        </w:rPr>
        <w:t>；</w:t>
      </w:r>
      <w:r w:rsidRPr="00A46698">
        <w:rPr>
          <w:color w:val="0D0D0D" w:themeColor="text1" w:themeTint="F2"/>
          <w:sz w:val="21"/>
          <w:szCs w:val="21"/>
          <w:lang w:eastAsia="zh-CN"/>
        </w:rPr>
        <w:t>**:</w:t>
      </w:r>
      <w:r w:rsidRPr="00A46698">
        <w:rPr>
          <w:color w:val="0D0D0D" w:themeColor="text1" w:themeTint="F2"/>
          <w:sz w:val="21"/>
          <w:szCs w:val="21"/>
          <w:lang w:eastAsia="zh-CN"/>
        </w:rPr>
        <w:t>＜</w:t>
      </w:r>
      <w:r w:rsidRPr="00A46698">
        <w:rPr>
          <w:color w:val="0D0D0D" w:themeColor="text1" w:themeTint="F2"/>
          <w:sz w:val="21"/>
          <w:szCs w:val="21"/>
          <w:lang w:eastAsia="zh-CN"/>
        </w:rPr>
        <w:t>0.01.</w:t>
      </w:r>
    </w:p>
    <w:p w:rsidR="002F0F5E" w:rsidRDefault="00000D12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Janson Text LT">
    <w:altName w:val="Janson Text LT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D12"/>
    <w:rsid w:val="00000D12"/>
    <w:rsid w:val="0021090F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040EE-3728-4135-A194-3975D2880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D12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ran">
    <w:name w:val="tran"/>
    <w:basedOn w:val="DefaultParagraphFont"/>
    <w:rsid w:val="00000D12"/>
  </w:style>
  <w:style w:type="character" w:customStyle="1" w:styleId="apple-converted-space">
    <w:name w:val="apple-converted-space"/>
    <w:basedOn w:val="DefaultParagraphFont"/>
    <w:rsid w:val="00000D12"/>
  </w:style>
  <w:style w:type="character" w:customStyle="1" w:styleId="A9">
    <w:name w:val="A9"/>
    <w:uiPriority w:val="99"/>
    <w:rsid w:val="00000D12"/>
    <w:rPr>
      <w:rFonts w:cs="Janson Text LT"/>
      <w:color w:val="00000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2022-05-19T16:50:00Z</dcterms:created>
  <dcterms:modified xsi:type="dcterms:W3CDTF">2022-05-19T16:50:00Z</dcterms:modified>
</cp:coreProperties>
</file>