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3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charts/chartEx4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B9" w:rsidRPr="0070516A" w:rsidRDefault="005625B9" w:rsidP="005625B9">
      <w:pPr>
        <w:keepNext/>
        <w:spacing w:line="360" w:lineRule="auto"/>
      </w:pPr>
      <w:bookmarkStart w:id="0" w:name="_GoBack"/>
      <w:bookmarkEnd w:id="0"/>
      <w:r w:rsidRPr="0070516A">
        <w:rPr>
          <w:noProof/>
          <w:lang w:val="en-US" w:eastAsia="en-US"/>
        </w:rPr>
        <mc:AlternateContent>
          <mc:Choice Requires="cx1">
            <w:drawing>
              <wp:inline distT="0" distB="0" distL="0" distR="0" wp14:anchorId="3B8587FA" wp14:editId="0CBE60AF">
                <wp:extent cx="4021667" cy="2015913"/>
                <wp:effectExtent l="0" t="0" r="4445" b="3810"/>
                <wp:docPr id="6" name="Char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3B8587FA" wp14:editId="0CBE60AF">
                <wp:extent cx="4021667" cy="2015913"/>
                <wp:effectExtent l="0" t="0" r="4445" b="3810"/>
                <wp:docPr id="6" name="Char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hart 6">
                          <a:extLst>
                            <a:ext uri="{FF2B5EF4-FFF2-40B4-BE49-F238E27FC236}">
                              <a16:creationId xmlns:a16="http://schemas.microsoft.com/office/drawing/2014/main" id="{00000000-0008-0000-0000-000005000000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1455" cy="2015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625B9" w:rsidRPr="0070516A" w:rsidRDefault="005625B9" w:rsidP="005625B9">
      <w:pPr>
        <w:pStyle w:val="Caption"/>
        <w:spacing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70516A">
        <w:rPr>
          <w:rFonts w:ascii="Times New Roman" w:hAnsi="Times New Roman" w:cs="Times New Roman"/>
          <w:sz w:val="24"/>
          <w:szCs w:val="24"/>
        </w:rPr>
        <w:t xml:space="preserve">Table </w:t>
      </w:r>
      <w:r w:rsidRPr="0070516A">
        <w:rPr>
          <w:rFonts w:ascii="Times New Roman" w:hAnsi="Times New Roman" w:cs="Times New Roman"/>
          <w:sz w:val="24"/>
          <w:szCs w:val="24"/>
        </w:rPr>
        <w:fldChar w:fldCharType="begin"/>
      </w:r>
      <w:r w:rsidRPr="0070516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70516A">
        <w:rPr>
          <w:rFonts w:ascii="Times New Roman" w:hAnsi="Times New Roman" w:cs="Times New Roman"/>
          <w:sz w:val="24"/>
          <w:szCs w:val="24"/>
        </w:rPr>
        <w:fldChar w:fldCharType="separate"/>
      </w:r>
      <w:r w:rsidRPr="0070516A">
        <w:rPr>
          <w:rFonts w:ascii="Times New Roman" w:hAnsi="Times New Roman" w:cs="Times New Roman"/>
          <w:noProof/>
          <w:sz w:val="24"/>
          <w:szCs w:val="24"/>
        </w:rPr>
        <w:t>2</w:t>
      </w:r>
      <w:r w:rsidRPr="0070516A">
        <w:rPr>
          <w:rFonts w:ascii="Times New Roman" w:hAnsi="Times New Roman" w:cs="Times New Roman"/>
          <w:sz w:val="24"/>
          <w:szCs w:val="24"/>
        </w:rPr>
        <w:fldChar w:fldCharType="end"/>
      </w:r>
      <w:r w:rsidRPr="0070516A">
        <w:rPr>
          <w:rFonts w:ascii="Times New Roman" w:hAnsi="Times New Roman" w:cs="Times New Roman"/>
          <w:sz w:val="24"/>
          <w:szCs w:val="24"/>
        </w:rPr>
        <w:t>: Errors in Inclination Angles in degrees.</w:t>
      </w:r>
    </w:p>
    <w:p w:rsidR="005625B9" w:rsidRPr="0070516A" w:rsidRDefault="005625B9" w:rsidP="005625B9">
      <w:pPr>
        <w:spacing w:line="360" w:lineRule="auto"/>
        <w:rPr>
          <w:color w:val="212121"/>
          <w:shd w:val="clear" w:color="auto" w:fill="FFFFFF"/>
        </w:rPr>
      </w:pPr>
    </w:p>
    <w:p w:rsidR="005625B9" w:rsidRPr="0070516A" w:rsidRDefault="005625B9" w:rsidP="005625B9">
      <w:pPr>
        <w:keepNext/>
        <w:spacing w:line="360" w:lineRule="auto"/>
      </w:pPr>
      <w:r w:rsidRPr="0070516A">
        <w:rPr>
          <w:noProof/>
          <w:lang w:val="en-US" w:eastAsia="en-US"/>
        </w:rPr>
        <mc:AlternateContent>
          <mc:Choice Requires="cx1">
            <w:drawing>
              <wp:inline distT="0" distB="0" distL="0" distR="0" wp14:anchorId="7E8FCB66" wp14:editId="6D7B003D">
                <wp:extent cx="4047067" cy="2294044"/>
                <wp:effectExtent l="0" t="0" r="4445" b="5080"/>
                <wp:docPr id="7" name="Char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7E8FCB66" wp14:editId="6D7B003D">
                <wp:extent cx="4047067" cy="2294044"/>
                <wp:effectExtent l="0" t="0" r="4445" b="5080"/>
                <wp:docPr id="7" name="Char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6000000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hart 7">
                          <a:extLst>
                            <a:ext uri="{FF2B5EF4-FFF2-40B4-BE49-F238E27FC236}">
                              <a16:creationId xmlns:a16="http://schemas.microsoft.com/office/drawing/2014/main" id="{00000000-0008-0000-0000-000006000000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6855" cy="2293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625B9" w:rsidRPr="0070516A" w:rsidRDefault="005625B9" w:rsidP="005625B9">
      <w:pPr>
        <w:pStyle w:val="Caption"/>
        <w:spacing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70516A">
        <w:rPr>
          <w:rFonts w:ascii="Times New Roman" w:hAnsi="Times New Roman" w:cs="Times New Roman"/>
          <w:sz w:val="24"/>
          <w:szCs w:val="24"/>
        </w:rPr>
        <w:t xml:space="preserve">Table </w:t>
      </w:r>
      <w:r w:rsidRPr="0070516A">
        <w:rPr>
          <w:rFonts w:ascii="Times New Roman" w:hAnsi="Times New Roman" w:cs="Times New Roman"/>
          <w:sz w:val="24"/>
          <w:szCs w:val="24"/>
        </w:rPr>
        <w:fldChar w:fldCharType="begin"/>
      </w:r>
      <w:r w:rsidRPr="0070516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70516A">
        <w:rPr>
          <w:rFonts w:ascii="Times New Roman" w:hAnsi="Times New Roman" w:cs="Times New Roman"/>
          <w:sz w:val="24"/>
          <w:szCs w:val="24"/>
        </w:rPr>
        <w:fldChar w:fldCharType="separate"/>
      </w:r>
      <w:r w:rsidRPr="0070516A">
        <w:rPr>
          <w:rFonts w:ascii="Times New Roman" w:hAnsi="Times New Roman" w:cs="Times New Roman"/>
          <w:noProof/>
          <w:sz w:val="24"/>
          <w:szCs w:val="24"/>
        </w:rPr>
        <w:t>3</w:t>
      </w:r>
      <w:r w:rsidRPr="0070516A">
        <w:rPr>
          <w:rFonts w:ascii="Times New Roman" w:hAnsi="Times New Roman" w:cs="Times New Roman"/>
          <w:sz w:val="24"/>
          <w:szCs w:val="24"/>
        </w:rPr>
        <w:fldChar w:fldCharType="end"/>
      </w:r>
      <w:r w:rsidRPr="0070516A">
        <w:rPr>
          <w:rFonts w:ascii="Times New Roman" w:hAnsi="Times New Roman" w:cs="Times New Roman"/>
          <w:sz w:val="24"/>
          <w:szCs w:val="24"/>
        </w:rPr>
        <w:t>: Errors in Anteversion Angles in degrees.</w:t>
      </w:r>
    </w:p>
    <w:p w:rsidR="005625B9" w:rsidRPr="0070516A" w:rsidRDefault="005625B9" w:rsidP="005625B9">
      <w:pPr>
        <w:spacing w:line="360" w:lineRule="auto"/>
        <w:rPr>
          <w:color w:val="212121"/>
          <w:shd w:val="clear" w:color="auto" w:fill="FFFFFF"/>
        </w:rPr>
      </w:pPr>
    </w:p>
    <w:p w:rsidR="005625B9" w:rsidRPr="0070516A" w:rsidRDefault="005625B9" w:rsidP="005625B9">
      <w:pPr>
        <w:spacing w:line="360" w:lineRule="auto"/>
        <w:rPr>
          <w:color w:val="212121"/>
          <w:shd w:val="clear" w:color="auto" w:fill="FFFFFF"/>
        </w:rPr>
      </w:pPr>
    </w:p>
    <w:p w:rsidR="005625B9" w:rsidRPr="0070516A" w:rsidRDefault="005625B9" w:rsidP="005625B9">
      <w:pPr>
        <w:keepNext/>
        <w:spacing w:line="360" w:lineRule="auto"/>
      </w:pPr>
      <w:r w:rsidRPr="0070516A">
        <w:rPr>
          <w:noProof/>
          <w:lang w:val="en-US" w:eastAsia="en-US"/>
        </w:rPr>
        <w:lastRenderedPageBreak/>
        <mc:AlternateContent>
          <mc:Choice Requires="cx1">
            <w:drawing>
              <wp:inline distT="0" distB="0" distL="0" distR="0" wp14:anchorId="22C50B7D" wp14:editId="7C568077">
                <wp:extent cx="4030133" cy="2201122"/>
                <wp:effectExtent l="0" t="0" r="8890" b="8890"/>
                <wp:docPr id="8" name="Char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22C50B7D" wp14:editId="7C568077">
                <wp:extent cx="4030133" cy="2201122"/>
                <wp:effectExtent l="0" t="0" r="8890" b="8890"/>
                <wp:docPr id="8" name="Char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8000000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hart 8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9710" cy="2200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625B9" w:rsidRPr="0070516A" w:rsidRDefault="005625B9" w:rsidP="005625B9">
      <w:pPr>
        <w:pStyle w:val="Caption"/>
        <w:spacing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70516A">
        <w:rPr>
          <w:rFonts w:ascii="Times New Roman" w:hAnsi="Times New Roman" w:cs="Times New Roman"/>
          <w:sz w:val="24"/>
          <w:szCs w:val="24"/>
        </w:rPr>
        <w:t xml:space="preserve">Table </w:t>
      </w:r>
      <w:r w:rsidRPr="0070516A">
        <w:rPr>
          <w:rFonts w:ascii="Times New Roman" w:hAnsi="Times New Roman" w:cs="Times New Roman"/>
          <w:sz w:val="24"/>
          <w:szCs w:val="24"/>
        </w:rPr>
        <w:fldChar w:fldCharType="begin"/>
      </w:r>
      <w:r w:rsidRPr="0070516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70516A">
        <w:rPr>
          <w:rFonts w:ascii="Times New Roman" w:hAnsi="Times New Roman" w:cs="Times New Roman"/>
          <w:sz w:val="24"/>
          <w:szCs w:val="24"/>
        </w:rPr>
        <w:fldChar w:fldCharType="separate"/>
      </w:r>
      <w:r w:rsidRPr="0070516A">
        <w:rPr>
          <w:rFonts w:ascii="Times New Roman" w:hAnsi="Times New Roman" w:cs="Times New Roman"/>
          <w:noProof/>
          <w:sz w:val="24"/>
          <w:szCs w:val="24"/>
        </w:rPr>
        <w:t>4</w:t>
      </w:r>
      <w:r w:rsidRPr="0070516A">
        <w:rPr>
          <w:rFonts w:ascii="Times New Roman" w:hAnsi="Times New Roman" w:cs="Times New Roman"/>
          <w:sz w:val="24"/>
          <w:szCs w:val="24"/>
        </w:rPr>
        <w:fldChar w:fldCharType="end"/>
      </w:r>
      <w:r w:rsidRPr="0070516A">
        <w:rPr>
          <w:rFonts w:ascii="Times New Roman" w:hAnsi="Times New Roman" w:cs="Times New Roman"/>
          <w:sz w:val="24"/>
          <w:szCs w:val="24"/>
        </w:rPr>
        <w:t>: Values in various error range- inclination.</w:t>
      </w:r>
    </w:p>
    <w:p w:rsidR="005625B9" w:rsidRPr="0070516A" w:rsidRDefault="005625B9" w:rsidP="005625B9">
      <w:pPr>
        <w:spacing w:line="360" w:lineRule="auto"/>
        <w:rPr>
          <w:color w:val="212121"/>
          <w:shd w:val="clear" w:color="auto" w:fill="FFFFFF"/>
        </w:rPr>
      </w:pPr>
    </w:p>
    <w:p w:rsidR="005625B9" w:rsidRPr="0070516A" w:rsidRDefault="005625B9" w:rsidP="005625B9">
      <w:pPr>
        <w:keepNext/>
        <w:spacing w:line="360" w:lineRule="auto"/>
      </w:pPr>
      <w:r w:rsidRPr="0070516A">
        <w:rPr>
          <w:noProof/>
          <w:lang w:val="en-US" w:eastAsia="en-US"/>
        </w:rPr>
        <mc:AlternateContent>
          <mc:Choice Requires="cx1">
            <w:drawing>
              <wp:inline distT="0" distB="0" distL="0" distR="0" wp14:anchorId="1D8B4F11" wp14:editId="04650024">
                <wp:extent cx="4114800" cy="1890607"/>
                <wp:effectExtent l="0" t="0" r="0" b="1905"/>
                <wp:docPr id="9" name="Chart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</wp:inline>
            </w:drawing>
          </mc:Choice>
          <mc:Fallback>
            <w:drawing>
              <wp:inline distT="0" distB="0" distL="0" distR="0" wp14:anchorId="1D8B4F11" wp14:editId="04650024">
                <wp:extent cx="4114800" cy="1890607"/>
                <wp:effectExtent l="0" t="0" r="0" b="1905"/>
                <wp:docPr id="9" name="Chart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9000000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Chart 9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1890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625B9" w:rsidRPr="0070516A" w:rsidRDefault="005625B9" w:rsidP="005625B9">
      <w:pPr>
        <w:pStyle w:val="Caption"/>
        <w:spacing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en-GB"/>
        </w:rPr>
      </w:pPr>
      <w:r w:rsidRPr="0070516A">
        <w:rPr>
          <w:rFonts w:ascii="Times New Roman" w:hAnsi="Times New Roman" w:cs="Times New Roman"/>
          <w:sz w:val="24"/>
          <w:szCs w:val="24"/>
        </w:rPr>
        <w:t xml:space="preserve">Table </w:t>
      </w:r>
      <w:r w:rsidRPr="0070516A">
        <w:rPr>
          <w:rFonts w:ascii="Times New Roman" w:hAnsi="Times New Roman" w:cs="Times New Roman"/>
          <w:sz w:val="24"/>
          <w:szCs w:val="24"/>
        </w:rPr>
        <w:fldChar w:fldCharType="begin"/>
      </w:r>
      <w:r w:rsidRPr="0070516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70516A">
        <w:rPr>
          <w:rFonts w:ascii="Times New Roman" w:hAnsi="Times New Roman" w:cs="Times New Roman"/>
          <w:sz w:val="24"/>
          <w:szCs w:val="24"/>
        </w:rPr>
        <w:fldChar w:fldCharType="separate"/>
      </w:r>
      <w:r w:rsidRPr="0070516A">
        <w:rPr>
          <w:rFonts w:ascii="Times New Roman" w:hAnsi="Times New Roman" w:cs="Times New Roman"/>
          <w:noProof/>
          <w:sz w:val="24"/>
          <w:szCs w:val="24"/>
        </w:rPr>
        <w:t>5</w:t>
      </w:r>
      <w:r w:rsidRPr="0070516A">
        <w:rPr>
          <w:rFonts w:ascii="Times New Roman" w:hAnsi="Times New Roman" w:cs="Times New Roman"/>
          <w:sz w:val="24"/>
          <w:szCs w:val="24"/>
        </w:rPr>
        <w:fldChar w:fldCharType="end"/>
      </w:r>
      <w:r w:rsidRPr="0070516A">
        <w:rPr>
          <w:rFonts w:ascii="Times New Roman" w:hAnsi="Times New Roman" w:cs="Times New Roman"/>
          <w:sz w:val="24"/>
          <w:szCs w:val="24"/>
        </w:rPr>
        <w:t>: Values in various error range - Anteversion.</w:t>
      </w:r>
    </w:p>
    <w:p w:rsidR="001760E5" w:rsidRDefault="005625B9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B9"/>
    <w:rsid w:val="005625B9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12BC"/>
  <w15:chartTrackingRefBased/>
  <w15:docId w15:val="{93D1B1C6-C9A9-454C-82C1-71AE6AB4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625B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4/relationships/chartEx" Target="charts/chart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4/relationships/chartEx" Target="charts/chartEx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14/relationships/chartEx" Target="charts/chartEx4.xml"/><Relationship Id="rId4" Type="http://schemas.microsoft.com/office/2014/relationships/chartEx" Target="charts/chartEx1.xml"/><Relationship Id="rId9" Type="http://schemas.openxmlformats.org/officeDocument/2006/relationships/image" Target="media/image3.png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Users\bishnu\Desktop\ijo%20navigation\Results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\\Users\bishnu\Desktop\ijo%20navigation\Results.xlsx" TargetMode="External"/></Relationships>
</file>

<file path=word/charts/_rels/chartEx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\\Users\bishnu\Desktop\ijo%20navigation\Results.xlsx" TargetMode="External"/></Relationships>
</file>

<file path=word/charts/_rels/chartEx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\\Users\bishnu\Desktop\ijo%20navigation\Result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Sheet1!$C$2:$C$52</cx:f>
        <cx:lvl ptCount="51" formatCode="General">
          <cx:pt idx="0">1.0500000000000043</cx:pt>
          <cx:pt idx="1">0.64000000000000057</cx:pt>
          <cx:pt idx="2">-2.0599999999999952</cx:pt>
          <cx:pt idx="3">0.26999999999999602</cx:pt>
          <cx:pt idx="4">-0.10999999999999943</cx:pt>
          <cx:pt idx="5">-1.2899999999999991</cx:pt>
          <cx:pt idx="6">-0.82000000000000028</cx:pt>
          <cx:pt idx="7">-1.2000000000000028</cx:pt>
          <cx:pt idx="8">-0.61999999999999744</cx:pt>
          <cx:pt idx="9">1.9099999999999966</cx:pt>
          <cx:pt idx="10">1.2800000000000011</cx:pt>
          <cx:pt idx="11">0.57000000000000028</cx:pt>
          <cx:pt idx="12">-0.60000000000000142</cx:pt>
          <cx:pt idx="13">-0.42000000000000171</cx:pt>
          <cx:pt idx="14">0.39999999999999858</cx:pt>
          <cx:pt idx="15">1.7800000000000011</cx:pt>
          <cx:pt idx="16">1.4299999999999997</cx:pt>
          <cx:pt idx="17">-1.0500000000000043</cx:pt>
          <cx:pt idx="18">1.3500000000000014</cx:pt>
          <cx:pt idx="19">1.4199999999999946</cx:pt>
          <cx:pt idx="20">-0.85000000000000142</cx:pt>
          <cx:pt idx="21">1.5399999999999991</cx:pt>
          <cx:pt idx="22">-1.5500000000000043</cx:pt>
          <cx:pt idx="23">0.74000000000000199</cx:pt>
          <cx:pt idx="24">0.020000000000003126</cx:pt>
          <cx:pt idx="25">0.51999999999999602</cx:pt>
          <cx:pt idx="26">2.6300000000000026</cx:pt>
          <cx:pt idx="27">-0.11999999999999744</cx:pt>
          <cx:pt idx="28">-1.1699999999999946</cx:pt>
          <cx:pt idx="29">0.80999999999999517</cx:pt>
          <cx:pt idx="30">-0.76999999999999602</cx:pt>
          <cx:pt idx="31">-0.10999999999999943</cx:pt>
          <cx:pt idx="32">0.81000000000000227</cx:pt>
          <cx:pt idx="33">-1.9799999999999969</cx:pt>
          <cx:pt idx="34">-0.41000000000000369</cx:pt>
          <cx:pt idx="35">0.099999999999994316</cx:pt>
          <cx:pt idx="36">2</cx:pt>
          <cx:pt idx="37">1</cx:pt>
          <cx:pt idx="38">0.43999999999999773</cx:pt>
          <cx:pt idx="39">1.6700000000000017</cx:pt>
          <cx:pt idx="40">1.8299999999999983</cx:pt>
          <cx:pt idx="41">0.90999999999999659</cx:pt>
          <cx:pt idx="42">1.0900000000000034</cx:pt>
          <cx:pt idx="43">-0.6699999999999946</cx:pt>
          <cx:pt idx="44">0.92000000000000171</cx:pt>
          <cx:pt idx="45">-0.85000000000000142</cx:pt>
          <cx:pt idx="46">0.050000000000004263</cx:pt>
          <cx:pt idx="47">-0.85000000000000142</cx:pt>
          <cx:pt idx="48">-1.730000000000004</cx:pt>
          <cx:pt idx="49">-0.27000000000000313</cx:pt>
          <cx:pt idx="50">-1.8799999999999955</cx:pt>
        </cx:lvl>
      </cx:numDim>
    </cx:data>
  </cx:chartData>
  <cx:chart>
    <cx:title pos="t" align="ctr" overlay="0">
      <cx:tx>
        <cx:txData>
          <cx:v>Errors in Inclination Angles in degrees</cx:v>
        </cx:txData>
      </cx:tx>
      <cx:txPr>
        <a:bodyPr rot="0" spcFirstLastPara="1" vertOverflow="ellipsis" vert="horz" wrap="square" lIns="0" tIns="0" rIns="0" bIns="0" anchor="ctr" anchorCtr="1"/>
        <a:lstStyle/>
        <a:p>
          <a:pPr algn="ctr">
            <a:defRPr/>
          </a:pPr>
          <a:r>
            <a:rPr lang="en-US"/>
            <a:t>Errors in Inclination Angles in degrees</a:t>
          </a:r>
        </a:p>
      </cx:txPr>
    </cx:title>
    <cx:plotArea>
      <cx:plotAreaRegion>
        <cx:series layoutId="boxWhisker" uniqueId="{FE6EE110-69AE-41B0-B139-2437F2FE74C4}">
          <cx:dataLabels>
            <cx:visibility seriesName="0" categoryName="0" value="1"/>
            <cx:separator>, </cx:separator>
            <cx:dataLabel idx="54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en-GB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0.152941176</a:t>
                  </a:r>
                </a:p>
              </cx:txPr>
              <cx:visibility seriesName="0" categoryName="0" value="1"/>
              <cx:separator>, </cx:separator>
            </cx:dataLabel>
          </cx:dataLabels>
          <cx:dataId val="0"/>
          <cx:layoutPr>
            <cx:visibility meanLine="0" meanMarker="1" nonoutliers="0" outliers="1"/>
            <cx:statistics quartileMethod="exclusive"/>
          </cx:layoutPr>
        </cx:series>
      </cx:plotAreaRegion>
      <cx:axis id="0">
        <cx:catScaling gapWidth="1"/>
        <cx:tickLabels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Sheet1!$I$2:$I$52</cx:f>
        <cx:lvl ptCount="51" formatCode="General">
          <cx:pt idx="0">-1.2799999999999976</cx:pt>
          <cx:pt idx="1">-1.9699999999999989</cx:pt>
          <cx:pt idx="2">-2.9400000000000013</cx:pt>
          <cx:pt idx="3">-0.25</cx:pt>
          <cx:pt idx="4">-0.84999999999999787</cx:pt>
          <cx:pt idx="5">-0.30000000000000071</cx:pt>
          <cx:pt idx="6">-2.1899999999999977</cx:pt>
          <cx:pt idx="7">-3.1499999999999986</cx:pt>
          <cx:pt idx="8">-0.33000000000000185</cx:pt>
          <cx:pt idx="9">-2.1600000000000001</cx:pt>
          <cx:pt idx="10">0.10000000000000142</cx:pt>
          <cx:pt idx="11">-2.3200000000000003</cx:pt>
          <cx:pt idx="12">-2.0199999999999996</cx:pt>
          <cx:pt idx="13">-1.6099999999999994</cx:pt>
          <cx:pt idx="14">-1.2000000000000028</cx:pt>
          <cx:pt idx="15">-0.029999999999997584</cx:pt>
          <cx:pt idx="16">-1.2899999999999991</cx:pt>
          <cx:pt idx="17">-0.69999999999999929</cx:pt>
          <cx:pt idx="18">-1.7600000000000016</cx:pt>
          <cx:pt idx="19">-2.8200000000000003</cx:pt>
          <cx:pt idx="20">0.29999999999999716</cx:pt>
          <cx:pt idx="21">0.51999999999999957</cx:pt>
          <cx:pt idx="22">0.26999999999999957</cx:pt>
          <cx:pt idx="23">-2.8299999999999983</cx:pt>
          <cx:pt idx="24">-1.2300000000000004</cx:pt>
          <cx:pt idx="25">-0.61999999999999744</cx:pt>
          <cx:pt idx="26">-0.10999999999999943</cx:pt>
          <cx:pt idx="27">-1.7000000000000028</cx:pt>
          <cx:pt idx="28">-1.4299999999999997</cx:pt>
          <cx:pt idx="29">0.35999999999999943</cx:pt>
          <cx:pt idx="30">-0.84999999999999787</cx:pt>
          <cx:pt idx="31">0.35999999999999943</cx:pt>
          <cx:pt idx="32">0.86999999999999744</cx:pt>
          <cx:pt idx="33">-1.4700000000000024</cx:pt>
          <cx:pt idx="34">-0.76000000000000156</cx:pt>
          <cx:pt idx="35">-1.3599999999999994</cx:pt>
          <cx:pt idx="36">-0.62000000000000099</cx:pt>
          <cx:pt idx="37">-2.0100000000000016</cx:pt>
          <cx:pt idx="38">-0.83999999999999986</cx:pt>
          <cx:pt idx="39">-3.3999999999999986</cx:pt>
          <cx:pt idx="40">-0.96999999999999886</cx:pt>
          <cx:pt idx="41">-0.039999999999999147</cx:pt>
          <cx:pt idx="42">-0.37000000000000099</cx:pt>
          <cx:pt idx="43">-2.2200000000000024</cx:pt>
          <cx:pt idx="44">-1.0799999999999983</cx:pt>
          <cx:pt idx="45">-0.86999999999999744</cx:pt>
          <cx:pt idx="46">-1.2000000000000028</cx:pt>
          <cx:pt idx="47">-1.3399999999999999</cx:pt>
          <cx:pt idx="48">1.3500000000000014</cx:pt>
          <cx:pt idx="49">0.39999999999999858</cx:pt>
          <cx:pt idx="50">-2.2100000000000009</cx:pt>
        </cx:lvl>
      </cx:numDim>
    </cx:data>
  </cx:chartData>
  <cx:chart>
    <cx:title pos="t" align="ctr" overlay="0">
      <cx:tx>
        <cx:txData>
          <cx:v>Errors in Anteversion Angles in degrees</cx:v>
        </cx:txData>
      </cx:tx>
      <cx:txPr>
        <a:bodyPr rot="0" spcFirstLastPara="1" vertOverflow="ellipsis" vert="horz" wrap="square" lIns="0" tIns="0" rIns="0" bIns="0" anchor="ctr" anchorCtr="1"/>
        <a:lstStyle/>
        <a:p>
          <a:pPr algn="ctr">
            <a:defRPr/>
          </a:pPr>
          <a:r>
            <a:rPr lang="en-US"/>
            <a:t>Errors in Anteversion Angles in degrees</a:t>
          </a:r>
        </a:p>
      </cx:txPr>
    </cx:title>
    <cx:plotArea>
      <cx:plotAreaRegion>
        <cx:series layoutId="boxWhisker" uniqueId="{17BFCF91-E7A1-44EE-97A3-544FF34697FE}">
          <cx:dataLabels>
            <cx:visibility seriesName="0" categoryName="0" value="1"/>
            <cx:dataLabel idx="54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en-GB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-1.062156863</a:t>
                  </a:r>
                </a:p>
              </cx:txPr>
              <cx:visibility seriesName="0" categoryName="0" value="1"/>
            </cx:dataLabel>
          </cx:dataLabels>
          <cx:dataId val="0"/>
          <cx:layoutPr>
            <cx:visibility meanLine="0" meanMarker="1" nonoutliers="0" outliers="1"/>
            <cx:statistics quartileMethod="exclusive"/>
          </cx:layoutPr>
        </cx:series>
      </cx:plotAreaRegion>
      <cx:axis id="0">
        <cx:catScaling gapWidth="1"/>
        <cx:tickLabels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Sheet1!$C$2:$C$52</cx:f>
        <cx:lvl ptCount="51" formatCode="General">
          <cx:pt idx="0">1.0500000000000043</cx:pt>
          <cx:pt idx="1">0.64000000000000057</cx:pt>
          <cx:pt idx="2">-2.0599999999999952</cx:pt>
          <cx:pt idx="3">0.26999999999999602</cx:pt>
          <cx:pt idx="4">-0.10999999999999943</cx:pt>
          <cx:pt idx="5">-1.2899999999999991</cx:pt>
          <cx:pt idx="6">-0.82000000000000028</cx:pt>
          <cx:pt idx="7">-1.2000000000000028</cx:pt>
          <cx:pt idx="8">-0.61999999999999744</cx:pt>
          <cx:pt idx="9">1.9099999999999966</cx:pt>
          <cx:pt idx="10">1.2800000000000011</cx:pt>
          <cx:pt idx="11">0.57000000000000028</cx:pt>
          <cx:pt idx="12">-0.60000000000000142</cx:pt>
          <cx:pt idx="13">-0.42000000000000171</cx:pt>
          <cx:pt idx="14">0.39999999999999858</cx:pt>
          <cx:pt idx="15">1.7800000000000011</cx:pt>
          <cx:pt idx="16">1.4299999999999997</cx:pt>
          <cx:pt idx="17">-1.0500000000000043</cx:pt>
          <cx:pt idx="18">1.3500000000000014</cx:pt>
          <cx:pt idx="19">1.4199999999999946</cx:pt>
          <cx:pt idx="20">-0.85000000000000142</cx:pt>
          <cx:pt idx="21">1.5399999999999991</cx:pt>
          <cx:pt idx="22">-1.5500000000000043</cx:pt>
          <cx:pt idx="23">0.74000000000000199</cx:pt>
          <cx:pt idx="24">0.020000000000003126</cx:pt>
          <cx:pt idx="25">0.51999999999999602</cx:pt>
          <cx:pt idx="26">2.6300000000000026</cx:pt>
          <cx:pt idx="27">-0.11999999999999744</cx:pt>
          <cx:pt idx="28">-1.1699999999999946</cx:pt>
          <cx:pt idx="29">0.80999999999999517</cx:pt>
          <cx:pt idx="30">-0.76999999999999602</cx:pt>
          <cx:pt idx="31">-0.10999999999999943</cx:pt>
          <cx:pt idx="32">0.81000000000000227</cx:pt>
          <cx:pt idx="33">-1.9799999999999969</cx:pt>
          <cx:pt idx="34">-0.41000000000000369</cx:pt>
          <cx:pt idx="35">0.099999999999994316</cx:pt>
          <cx:pt idx="36">2</cx:pt>
          <cx:pt idx="37">1</cx:pt>
          <cx:pt idx="38">0.43999999999999773</cx:pt>
          <cx:pt idx="39">1.6700000000000017</cx:pt>
          <cx:pt idx="40">1.8299999999999983</cx:pt>
          <cx:pt idx="41">0.90999999999999659</cx:pt>
          <cx:pt idx="42">1.0900000000000034</cx:pt>
          <cx:pt idx="43">-0.6699999999999946</cx:pt>
          <cx:pt idx="44">0.92000000000000171</cx:pt>
          <cx:pt idx="45">-0.85000000000000142</cx:pt>
          <cx:pt idx="46">0.050000000000004263</cx:pt>
          <cx:pt idx="47">-0.85000000000000142</cx:pt>
          <cx:pt idx="48">-1.730000000000004</cx:pt>
          <cx:pt idx="49">-0.27000000000000313</cx:pt>
          <cx:pt idx="50">-1.8799999999999955</cx:pt>
        </cx:lvl>
      </cx:numDim>
    </cx:data>
  </cx:chartData>
  <cx:chart>
    <cx:title pos="t" align="ctr" overlay="0">
      <cx:tx>
        <cx:txData>
          <cx:v>Values in various Error range - Inclination </cx:v>
        </cx:txData>
      </cx:tx>
      <cx:txPr>
        <a:bodyPr spcFirstLastPara="1" vertOverflow="ellipsis" wrap="square" lIns="0" tIns="0" rIns="0" bIns="0" anchor="ctr" anchorCtr="1"/>
        <a:lstStyle/>
        <a:p>
          <a:pPr algn="ctr">
            <a:defRPr/>
          </a:pPr>
          <a:r>
            <a:rPr lang="en-US"/>
            <a:t>Values in various Error range - Inclination </a:t>
          </a:r>
        </a:p>
      </cx:txPr>
    </cx:title>
    <cx:plotArea>
      <cx:plotAreaRegion>
        <cx:series layoutId="clusteredColumn" uniqueId="{4720A143-0155-41DF-9063-EDA5B890510B}">
          <cx:spPr>
            <a:ln>
              <a:solidFill>
                <a:schemeClr val="accent1">
                  <a:alpha val="96000"/>
                </a:schemeClr>
              </a:solidFill>
            </a:ln>
          </cx:spPr>
          <cx:dataLabels>
            <cx:numFmt formatCode="#,##0" sourceLinked="0"/>
            <cx:visibility seriesName="0" categoryName="0" value="1"/>
            <cx:separator>, </cx:separator>
          </cx:dataLabels>
          <cx:dataId val="0"/>
          <cx:layoutPr>
            <cx:binning intervalClosed="r"/>
          </cx:layoutPr>
        </cx:series>
      </cx:plotAreaRegion>
      <cx:axis id="0">
        <cx:catScaling gapWidth="0.400000006"/>
        <cx:title>
          <cx:tx>
            <cx:txData>
              <cx:v>Error Range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/>
                <a:t>Error Range</a:t>
              </a:r>
            </a:p>
          </cx:txPr>
        </cx:title>
        <cx:tickLabels/>
      </cx:axis>
      <cx:axis id="1">
        <cx:valScaling/>
        <cx:title>
          <cx:tx>
            <cx:txData>
              <cx:v>Number of Readings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/>
                <a:t>Number of Readings</a:t>
              </a:r>
            </a:p>
          </cx:txPr>
        </cx:title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4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Sheet1!$I$2:$I$52</cx:f>
        <cx:lvl ptCount="51" formatCode="General">
          <cx:pt idx="0">-1.2799999999999976</cx:pt>
          <cx:pt idx="1">-1.9699999999999989</cx:pt>
          <cx:pt idx="2">-2.9400000000000013</cx:pt>
          <cx:pt idx="3">-0.25</cx:pt>
          <cx:pt idx="4">-0.84999999999999787</cx:pt>
          <cx:pt idx="5">-0.30000000000000071</cx:pt>
          <cx:pt idx="6">-2.1899999999999977</cx:pt>
          <cx:pt idx="7">-3.1499999999999986</cx:pt>
          <cx:pt idx="8">-0.33000000000000185</cx:pt>
          <cx:pt idx="9">-2.1600000000000001</cx:pt>
          <cx:pt idx="10">0.10000000000000142</cx:pt>
          <cx:pt idx="11">-2.3200000000000003</cx:pt>
          <cx:pt idx="12">-2.0199999999999996</cx:pt>
          <cx:pt idx="13">-1.6099999999999994</cx:pt>
          <cx:pt idx="14">-1.2000000000000028</cx:pt>
          <cx:pt idx="15">-0.029999999999997584</cx:pt>
          <cx:pt idx="16">-1.2899999999999991</cx:pt>
          <cx:pt idx="17">-0.69999999999999929</cx:pt>
          <cx:pt idx="18">-1.7600000000000016</cx:pt>
          <cx:pt idx="19">-2.8200000000000003</cx:pt>
          <cx:pt idx="20">0.29999999999999716</cx:pt>
          <cx:pt idx="21">0.51999999999999957</cx:pt>
          <cx:pt idx="22">0.26999999999999957</cx:pt>
          <cx:pt idx="23">-2.8299999999999983</cx:pt>
          <cx:pt idx="24">-1.2300000000000004</cx:pt>
          <cx:pt idx="25">-0.61999999999999744</cx:pt>
          <cx:pt idx="26">-0.10999999999999943</cx:pt>
          <cx:pt idx="27">-1.7000000000000028</cx:pt>
          <cx:pt idx="28">-1.4299999999999997</cx:pt>
          <cx:pt idx="29">0.35999999999999943</cx:pt>
          <cx:pt idx="30">-0.84999999999999787</cx:pt>
          <cx:pt idx="31">0.35999999999999943</cx:pt>
          <cx:pt idx="32">0.86999999999999744</cx:pt>
          <cx:pt idx="33">-1.4700000000000024</cx:pt>
          <cx:pt idx="34">-0.76000000000000156</cx:pt>
          <cx:pt idx="35">-1.3599999999999994</cx:pt>
          <cx:pt idx="36">-0.62000000000000099</cx:pt>
          <cx:pt idx="37">-2.0100000000000016</cx:pt>
          <cx:pt idx="38">-0.83999999999999986</cx:pt>
          <cx:pt idx="39">-3.3999999999999986</cx:pt>
          <cx:pt idx="40">-0.96999999999999886</cx:pt>
          <cx:pt idx="41">-0.039999999999999147</cx:pt>
          <cx:pt idx="42">-0.37000000000000099</cx:pt>
          <cx:pt idx="43">-2.2200000000000024</cx:pt>
          <cx:pt idx="44">-1.0799999999999983</cx:pt>
          <cx:pt idx="45">-0.86999999999999744</cx:pt>
          <cx:pt idx="46">-1.2000000000000028</cx:pt>
          <cx:pt idx="47">-1.3399999999999999</cx:pt>
          <cx:pt idx="48">1.3500000000000014</cx:pt>
          <cx:pt idx="49">0.39999999999999858</cx:pt>
          <cx:pt idx="50">-2.2100000000000009</cx:pt>
        </cx:lvl>
      </cx:numDim>
    </cx:data>
  </cx:chartData>
  <cx:chart>
    <cx:title pos="t" align="ctr" overlay="0">
      <cx:tx>
        <cx:txData>
          <cx:v>Values in various error range - Anteversion</cx:v>
        </cx:txData>
      </cx:tx>
      <cx:txPr>
        <a:bodyPr spcFirstLastPara="1" vertOverflow="ellipsis" wrap="square" lIns="0" tIns="0" rIns="0" bIns="0" anchor="ctr" anchorCtr="1"/>
        <a:lstStyle/>
        <a:p>
          <a:pPr algn="ctr">
            <a:defRPr/>
          </a:pPr>
          <a:r>
            <a:rPr lang="en-US"/>
            <a:t>Values in various error range - Anteversion</a:t>
          </a:r>
        </a:p>
      </cx:txPr>
    </cx:title>
    <cx:plotArea>
      <cx:plotAreaRegion>
        <cx:series layoutId="clusteredColumn" uniqueId="{E6CA89EC-76BD-4E54-ADA9-3426227B24D4}">
          <cx:dataLabels>
            <cx:visibility seriesName="0" categoryName="0" value="1"/>
          </cx:dataLabels>
          <cx:dataId val="0"/>
          <cx:layoutPr>
            <cx:binning intervalClosed="r"/>
          </cx:layoutPr>
        </cx:series>
      </cx:plotAreaRegion>
      <cx:axis id="0">
        <cx:catScaling gapWidth="0.400000006"/>
        <cx:title>
          <cx:tx>
            <cx:txData>
              <cx:v>Error Range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/>
                <a:t>Error Range</a:t>
              </a:r>
            </a:p>
          </cx:txPr>
        </cx:title>
        <cx:tickLabels/>
      </cx:axis>
      <cx:axis id="1">
        <cx:valScaling/>
        <cx:title>
          <cx:tx>
            <cx:txData>
              <cx:v>Number of Readings</cx:v>
            </cx:txData>
          </cx:tx>
          <cx:txPr>
            <a:bodyPr spcFirstLastPara="1" vertOverflow="ellipsis" wrap="square" lIns="0" tIns="0" rIns="0" bIns="0" anchor="ctr" anchorCtr="1"/>
            <a:lstStyle/>
            <a:p>
              <a:pPr algn="ctr">
                <a:defRPr/>
              </a:pPr>
              <a:r>
                <a:rPr lang="en-US"/>
                <a:t>Number of Readings</a:t>
              </a:r>
            </a:p>
          </cx:txPr>
        </cx:title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2022-08-30T09:45:00Z</dcterms:created>
  <dcterms:modified xsi:type="dcterms:W3CDTF">2022-08-30T09:45:00Z</dcterms:modified>
</cp:coreProperties>
</file>