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spacing w:line="480" w:lineRule="auto"/>
        <w:jc w:val="center"/>
        <w:rPr>
          <w:rFonts w:hint="default" w:ascii="Times New Roman" w:hAnsi="Times New Roman" w:cs="Rotis SemiSans Std" w:eastAsiaTheme="minorEastAsia"/>
          <w:b/>
          <w:sz w:val="24"/>
          <w:lang w:val="en-US" w:eastAsia="zh-CN"/>
        </w:rPr>
      </w:pPr>
      <w:r>
        <w:rPr>
          <w:rFonts w:hint="eastAsia" w:ascii="Times New Roman" w:hAnsi="Times New Roman" w:cs="Rotis SemiSans Std"/>
          <w:b/>
          <w:sz w:val="24"/>
          <w:lang w:val="en-US" w:eastAsia="zh-CN"/>
        </w:rPr>
        <w:t>Supplementary Information</w:t>
      </w:r>
    </w:p>
    <w:p>
      <w:pPr>
        <w:pStyle w:val="8"/>
        <w:spacing w:line="480" w:lineRule="auto"/>
        <w:jc w:val="center"/>
        <w:rPr>
          <w:rFonts w:ascii="Times New Roman" w:hAnsi="Times New Roman" w:cs="Rotis SemiSans Std"/>
          <w:sz w:val="24"/>
        </w:rPr>
      </w:pPr>
      <w:r>
        <w:rPr>
          <w:rFonts w:ascii="Times New Roman" w:hAnsi="Times New Roman" w:cs="Rotis SemiSans Std"/>
          <w:b/>
          <w:sz w:val="24"/>
        </w:rPr>
        <w:t>C/EBP</w:t>
      </w:r>
      <w:r>
        <w:rPr>
          <w:rFonts w:ascii="Symbol" w:hAnsi="Symbol" w:cs="Rotis SemiSans Std"/>
          <w:b/>
          <w:sz w:val="24"/>
        </w:rPr>
        <w:t></w:t>
      </w:r>
      <w:r>
        <w:rPr>
          <w:rFonts w:ascii="Times New Roman" w:hAnsi="Times New Roman" w:cs="Rotis SemiSans Std"/>
          <w:b/>
          <w:sz w:val="24"/>
        </w:rPr>
        <w:t>/AEP Signaling Activated by ApoE4 and 27-Hydroxycholesterol in Macrophages Mediates Cerebral Amyloid Angiopathies in Alzheimer’s Disease</w:t>
      </w:r>
    </w:p>
    <w:p>
      <w:pPr>
        <w:pStyle w:val="8"/>
        <w:spacing w:line="480" w:lineRule="auto"/>
        <w:jc w:val="center"/>
        <w:rPr>
          <w:rFonts w:ascii="Times New Roman" w:hAnsi="Times New Roman" w:cs="Rotis SemiSans Std"/>
          <w:sz w:val="24"/>
        </w:rPr>
      </w:pPr>
      <w:r>
        <w:rPr>
          <w:rFonts w:ascii="Times New Roman" w:hAnsi="Times New Roman" w:cs="Rotis SemiSans Std"/>
          <w:sz w:val="24"/>
        </w:rPr>
        <w:t>By</w:t>
      </w:r>
      <w:bookmarkStart w:id="0" w:name="_GoBack"/>
      <w:bookmarkEnd w:id="0"/>
    </w:p>
    <w:p>
      <w:pPr>
        <w:pStyle w:val="8"/>
        <w:spacing w:line="480" w:lineRule="auto"/>
        <w:jc w:val="center"/>
        <w:rPr>
          <w:rFonts w:ascii="Times New Roman" w:hAnsi="Times New Roman" w:cs="Rotis SemiSans Std"/>
          <w:sz w:val="24"/>
        </w:rPr>
      </w:pPr>
      <w:r>
        <w:rPr>
          <w:rFonts w:ascii="Times New Roman" w:hAnsi="Times New Roman" w:cs="Rotis SemiSans Std"/>
          <w:sz w:val="24"/>
        </w:rPr>
        <w:t>Jianming Liao</w:t>
      </w:r>
      <w:r>
        <w:rPr>
          <w:rFonts w:ascii="Times New Roman" w:hAnsi="Times New Roman" w:cs="Rotis SemiSans Std"/>
          <w:sz w:val="24"/>
          <w:vertAlign w:val="superscript"/>
        </w:rPr>
        <w:t>1,2</w:t>
      </w:r>
      <w:r>
        <w:rPr>
          <w:rFonts w:ascii="Times New Roman" w:hAnsi="Times New Roman" w:cs="Rotis SemiSans Std"/>
          <w:sz w:val="24"/>
        </w:rPr>
        <w:t>, Xia Liu</w:t>
      </w:r>
      <w:r>
        <w:rPr>
          <w:rFonts w:ascii="Times New Roman" w:hAnsi="Times New Roman" w:cs="Rotis SemiSans Std"/>
          <w:sz w:val="24"/>
          <w:vertAlign w:val="superscript"/>
        </w:rPr>
        <w:t>1</w:t>
      </w:r>
      <w:r>
        <w:rPr>
          <w:rFonts w:ascii="Times New Roman" w:hAnsi="Times New Roman" w:cs="Rotis SemiSans Std"/>
          <w:sz w:val="24"/>
        </w:rPr>
        <w:t>, Guiqin Chen</w:t>
      </w:r>
      <w:r>
        <w:rPr>
          <w:rFonts w:ascii="Times New Roman" w:hAnsi="Times New Roman" w:cs="Rotis SemiSans Std"/>
          <w:sz w:val="24"/>
          <w:vertAlign w:val="superscript"/>
        </w:rPr>
        <w:t>1, 3</w:t>
      </w:r>
      <w:r>
        <w:rPr>
          <w:rFonts w:ascii="Times New Roman" w:hAnsi="Times New Roman" w:cs="Rotis SemiSans Std"/>
          <w:sz w:val="24"/>
        </w:rPr>
        <w:t>, ZhiHao Wang</w:t>
      </w:r>
      <w:r>
        <w:rPr>
          <w:rFonts w:ascii="Times New Roman" w:hAnsi="Times New Roman" w:cs="Rotis SemiSans Std"/>
          <w:sz w:val="24"/>
          <w:vertAlign w:val="superscript"/>
        </w:rPr>
        <w:t>1,3</w:t>
      </w:r>
      <w:r>
        <w:rPr>
          <w:rFonts w:ascii="Times New Roman" w:hAnsi="Times New Roman" w:cs="Rotis SemiSans Std"/>
          <w:sz w:val="24"/>
        </w:rPr>
        <w:t>, Xiaohuan Gu</w:t>
      </w:r>
      <w:r>
        <w:rPr>
          <w:rFonts w:ascii="Times New Roman" w:hAnsi="Times New Roman" w:cs="Rotis SemiSans Std"/>
          <w:sz w:val="24"/>
          <w:vertAlign w:val="superscript"/>
        </w:rPr>
        <w:t>4</w:t>
      </w:r>
      <w:r>
        <w:rPr>
          <w:rFonts w:ascii="Times New Roman" w:hAnsi="Times New Roman" w:cs="Rotis SemiSans Std"/>
          <w:sz w:val="24"/>
        </w:rPr>
        <w:t>, Ling Wei</w:t>
      </w:r>
      <w:r>
        <w:rPr>
          <w:rFonts w:ascii="Times New Roman" w:hAnsi="Times New Roman" w:cs="Rotis SemiSans Std"/>
          <w:sz w:val="24"/>
          <w:vertAlign w:val="superscript"/>
        </w:rPr>
        <w:t>4</w:t>
      </w:r>
      <w:r>
        <w:rPr>
          <w:rFonts w:ascii="Times New Roman" w:hAnsi="Times New Roman" w:cs="Rotis SemiSans Std"/>
          <w:sz w:val="24"/>
        </w:rPr>
        <w:t>, Shan Ping Yu</w:t>
      </w:r>
      <w:r>
        <w:rPr>
          <w:rFonts w:ascii="Times New Roman" w:hAnsi="Times New Roman" w:cs="Rotis SemiSans Std"/>
          <w:sz w:val="24"/>
          <w:vertAlign w:val="superscript"/>
        </w:rPr>
        <w:t>4</w:t>
      </w:r>
      <w:r>
        <w:rPr>
          <w:rFonts w:ascii="Times New Roman" w:hAnsi="Times New Roman" w:cs="Rotis SemiSans Std"/>
          <w:sz w:val="24"/>
        </w:rPr>
        <w:t>, Keqiang Ye</w:t>
      </w:r>
      <w:r>
        <w:rPr>
          <w:rFonts w:ascii="Times New Roman" w:hAnsi="Times New Roman" w:cs="Rotis SemiSans Std"/>
          <w:sz w:val="24"/>
          <w:vertAlign w:val="superscript"/>
        </w:rPr>
        <w:t>1,</w:t>
      </w:r>
      <w:r>
        <w:rPr>
          <w:rFonts w:hint="eastAsia" w:ascii="Times New Roman" w:hAnsi="Times New Roman" w:cs="Rotis SemiSans Std"/>
          <w:sz w:val="24"/>
          <w:vertAlign w:val="superscript"/>
          <w:lang w:val="en-US" w:eastAsia="zh-CN"/>
        </w:rPr>
        <w:t xml:space="preserve"> 5,</w:t>
      </w:r>
      <w:r>
        <w:rPr>
          <w:rFonts w:ascii="Times New Roman" w:hAnsi="Times New Roman" w:cs="Rotis SemiSans Std"/>
          <w:sz w:val="24"/>
          <w:vertAlign w:val="superscript"/>
        </w:rPr>
        <w:t xml:space="preserve"> #</w:t>
      </w:r>
    </w:p>
    <w:p>
      <w:pPr>
        <w:pStyle w:val="8"/>
        <w:spacing w:line="480" w:lineRule="auto"/>
        <w:jc w:val="center"/>
        <w:rPr>
          <w:rFonts w:ascii="Times New Roman" w:hAnsi="Times New Roman" w:cs="Rotis SemiSans Std"/>
          <w:sz w:val="24"/>
        </w:rPr>
      </w:pPr>
    </w:p>
    <w:p>
      <w:pPr>
        <w:autoSpaceDE w:val="0"/>
        <w:autoSpaceDN w:val="0"/>
        <w:adjustRightInd w:val="0"/>
        <w:spacing w:line="480" w:lineRule="auto"/>
        <w:jc w:val="center"/>
        <w:rPr>
          <w:rFonts w:ascii="Times New Roman" w:hAnsi="Times New Roman"/>
          <w:color w:val="000000"/>
          <w:sz w:val="24"/>
        </w:rPr>
      </w:pPr>
      <w:r>
        <w:rPr>
          <w:rFonts w:ascii="Times New Roman" w:hAnsi="Times New Roman"/>
          <w:color w:val="000000"/>
          <w:sz w:val="24"/>
          <w:vertAlign w:val="superscript"/>
        </w:rPr>
        <w:t>1</w:t>
      </w:r>
      <w:r>
        <w:rPr>
          <w:rFonts w:ascii="Times New Roman" w:hAnsi="Times New Roman"/>
          <w:color w:val="000000"/>
          <w:sz w:val="24"/>
        </w:rPr>
        <w:t>Department of Pathology and Laboratory Medicine</w:t>
      </w:r>
    </w:p>
    <w:p>
      <w:pPr>
        <w:autoSpaceDE w:val="0"/>
        <w:autoSpaceDN w:val="0"/>
        <w:adjustRightInd w:val="0"/>
        <w:spacing w:line="480" w:lineRule="auto"/>
        <w:jc w:val="center"/>
        <w:rPr>
          <w:rFonts w:ascii="Times New Roman" w:hAnsi="Times New Roman"/>
          <w:color w:val="000000"/>
          <w:sz w:val="24"/>
        </w:rPr>
      </w:pPr>
      <w:r>
        <w:rPr>
          <w:rFonts w:ascii="Times New Roman" w:hAnsi="Times New Roman"/>
          <w:color w:val="000000"/>
          <w:sz w:val="24"/>
          <w:vertAlign w:val="superscript"/>
        </w:rPr>
        <w:t>4</w:t>
      </w:r>
      <w:r>
        <w:rPr>
          <w:rFonts w:ascii="Times New Roman" w:hAnsi="Times New Roman"/>
          <w:color w:val="000000"/>
          <w:sz w:val="24"/>
        </w:rPr>
        <w:t>Department of Anesthesiology</w:t>
      </w:r>
    </w:p>
    <w:p>
      <w:pPr>
        <w:autoSpaceDE w:val="0"/>
        <w:autoSpaceDN w:val="0"/>
        <w:adjustRightInd w:val="0"/>
        <w:spacing w:line="480" w:lineRule="auto"/>
        <w:jc w:val="center"/>
        <w:rPr>
          <w:rFonts w:ascii="Times New Roman" w:hAnsi="Times New Roman"/>
          <w:color w:val="000000"/>
          <w:sz w:val="24"/>
        </w:rPr>
      </w:pPr>
      <w:r>
        <w:rPr>
          <w:rFonts w:ascii="Times New Roman" w:hAnsi="Times New Roman"/>
          <w:color w:val="000000"/>
          <w:sz w:val="24"/>
        </w:rPr>
        <w:t>Emory University School of Medicine</w:t>
      </w:r>
    </w:p>
    <w:p>
      <w:pPr>
        <w:autoSpaceDE w:val="0"/>
        <w:autoSpaceDN w:val="0"/>
        <w:adjustRightInd w:val="0"/>
        <w:spacing w:line="480" w:lineRule="auto"/>
        <w:jc w:val="center"/>
        <w:rPr>
          <w:rFonts w:ascii="Times New Roman" w:hAnsi="Times New Roman"/>
          <w:color w:val="000000"/>
          <w:sz w:val="24"/>
        </w:rPr>
      </w:pPr>
      <w:r>
        <w:rPr>
          <w:rFonts w:ascii="Times New Roman" w:hAnsi="Times New Roman"/>
          <w:color w:val="000000"/>
          <w:sz w:val="24"/>
        </w:rPr>
        <w:t>Atlanta, GA 30322, USA</w:t>
      </w:r>
    </w:p>
    <w:p>
      <w:pPr>
        <w:autoSpaceDE w:val="0"/>
        <w:autoSpaceDN w:val="0"/>
        <w:adjustRightInd w:val="0"/>
        <w:spacing w:line="480" w:lineRule="auto"/>
        <w:jc w:val="center"/>
        <w:rPr>
          <w:rFonts w:ascii="Times New Roman" w:hAnsi="Times New Roman"/>
          <w:color w:val="000000"/>
          <w:sz w:val="24"/>
        </w:rPr>
      </w:pPr>
      <w:r>
        <w:rPr>
          <w:rFonts w:ascii="Times New Roman" w:hAnsi="Times New Roman"/>
          <w:color w:val="000000"/>
          <w:sz w:val="24"/>
          <w:vertAlign w:val="superscript"/>
        </w:rPr>
        <w:t>2</w:t>
      </w:r>
      <w:r>
        <w:rPr>
          <w:rFonts w:ascii="Times New Roman" w:hAnsi="Times New Roman"/>
          <w:color w:val="000000"/>
          <w:sz w:val="24"/>
        </w:rPr>
        <w:t xml:space="preserve">Department of Neurosurgery and </w:t>
      </w:r>
      <w:r>
        <w:rPr>
          <w:rFonts w:ascii="Times New Roman" w:hAnsi="Times New Roman"/>
          <w:color w:val="000000"/>
          <w:sz w:val="24"/>
          <w:vertAlign w:val="superscript"/>
        </w:rPr>
        <w:t>3</w:t>
      </w:r>
      <w:r>
        <w:rPr>
          <w:rFonts w:ascii="Times New Roman" w:hAnsi="Times New Roman"/>
          <w:color w:val="000000"/>
          <w:sz w:val="24"/>
        </w:rPr>
        <w:t>Neurology</w:t>
      </w:r>
    </w:p>
    <w:p>
      <w:pPr>
        <w:autoSpaceDE w:val="0"/>
        <w:autoSpaceDN w:val="0"/>
        <w:adjustRightInd w:val="0"/>
        <w:spacing w:line="480" w:lineRule="auto"/>
        <w:jc w:val="center"/>
        <w:rPr>
          <w:rFonts w:ascii="Times New Roman" w:hAnsi="Times New Roman"/>
          <w:color w:val="000000"/>
          <w:sz w:val="24"/>
        </w:rPr>
      </w:pPr>
      <w:r>
        <w:rPr>
          <w:rFonts w:ascii="Times New Roman" w:hAnsi="Times New Roman"/>
          <w:color w:val="000000"/>
          <w:sz w:val="24"/>
        </w:rPr>
        <w:t>Renmin Hospital of Wuhan University</w:t>
      </w:r>
    </w:p>
    <w:p>
      <w:pPr>
        <w:autoSpaceDE w:val="0"/>
        <w:autoSpaceDN w:val="0"/>
        <w:adjustRightInd w:val="0"/>
        <w:spacing w:line="480" w:lineRule="auto"/>
        <w:jc w:val="center"/>
        <w:rPr>
          <w:rFonts w:ascii="Times New Roman" w:hAnsi="Times New Roman"/>
          <w:color w:val="000000"/>
          <w:sz w:val="24"/>
        </w:rPr>
      </w:pPr>
      <w:r>
        <w:rPr>
          <w:rFonts w:ascii="Times New Roman" w:hAnsi="Times New Roman"/>
          <w:color w:val="000000"/>
          <w:sz w:val="24"/>
        </w:rPr>
        <w:t>Wuhan 430060, Hubei Province, China</w:t>
      </w:r>
    </w:p>
    <w:p>
      <w:pPr>
        <w:autoSpaceDE w:val="0"/>
        <w:autoSpaceDN w:val="0"/>
        <w:adjustRightInd w:val="0"/>
        <w:spacing w:line="480" w:lineRule="auto"/>
        <w:jc w:val="center"/>
        <w:rPr>
          <w:rFonts w:ascii="Times New Roman" w:hAnsi="Times New Roman"/>
          <w:color w:val="000000"/>
          <w:sz w:val="24"/>
        </w:rPr>
      </w:pPr>
      <w:r>
        <w:rPr>
          <w:rFonts w:ascii="Times New Roman" w:hAnsi="Times New Roman"/>
          <w:color w:val="000000"/>
          <w:sz w:val="24"/>
          <w:vertAlign w:val="superscript"/>
        </w:rPr>
        <w:t>5</w:t>
      </w:r>
      <w:r>
        <w:rPr>
          <w:rFonts w:ascii="Times New Roman" w:hAnsi="Times New Roman"/>
          <w:color w:val="000000"/>
          <w:sz w:val="24"/>
        </w:rPr>
        <w:t xml:space="preserve">Faculty of Life and Health Sciences, </w:t>
      </w:r>
    </w:p>
    <w:p>
      <w:pPr>
        <w:autoSpaceDE w:val="0"/>
        <w:autoSpaceDN w:val="0"/>
        <w:adjustRightInd w:val="0"/>
        <w:spacing w:line="480" w:lineRule="auto"/>
        <w:jc w:val="center"/>
        <w:rPr>
          <w:rFonts w:ascii="Times New Roman" w:hAnsi="Times New Roman"/>
          <w:color w:val="000000"/>
          <w:sz w:val="24"/>
        </w:rPr>
      </w:pPr>
      <w:r>
        <w:rPr>
          <w:rFonts w:ascii="Times New Roman" w:hAnsi="Times New Roman"/>
          <w:color w:val="000000"/>
          <w:sz w:val="24"/>
        </w:rPr>
        <w:t xml:space="preserve">Shenzhen Institute of Advanced Technology (SIAT), </w:t>
      </w:r>
    </w:p>
    <w:p>
      <w:pPr>
        <w:autoSpaceDE w:val="0"/>
        <w:autoSpaceDN w:val="0"/>
        <w:adjustRightInd w:val="0"/>
        <w:spacing w:line="480" w:lineRule="auto"/>
        <w:jc w:val="center"/>
        <w:rPr>
          <w:rFonts w:ascii="Times New Roman" w:hAnsi="Times New Roman"/>
          <w:color w:val="000000"/>
          <w:sz w:val="24"/>
        </w:rPr>
      </w:pPr>
      <w:r>
        <w:rPr>
          <w:rFonts w:ascii="Times New Roman" w:hAnsi="Times New Roman"/>
          <w:color w:val="000000"/>
          <w:sz w:val="24"/>
        </w:rPr>
        <w:t>Chinese Academy of Science, Shenzhen, Guangdong, China</w:t>
      </w:r>
    </w:p>
    <w:p>
      <w:pPr>
        <w:spacing w:line="480" w:lineRule="auto"/>
        <w:rPr>
          <w:rFonts w:ascii="Times New Roman" w:hAnsi="Times New Roman" w:cs="Times New Roman"/>
          <w:sz w:val="24"/>
        </w:rPr>
      </w:pPr>
      <w:r>
        <w:rPr>
          <w:rFonts w:ascii="Times New Roman" w:hAnsi="Times New Roman" w:cs="Times New Roman"/>
          <w:sz w:val="24"/>
        </w:rPr>
        <w:t xml:space="preserve"> </w:t>
      </w:r>
    </w:p>
    <w:p>
      <w:pPr>
        <w:spacing w:line="480" w:lineRule="auto"/>
        <w:rPr>
          <w:rFonts w:ascii="Times New Roman" w:hAnsi="Times New Roman" w:cs="Times New Roman"/>
          <w:sz w:val="24"/>
        </w:rPr>
      </w:pPr>
      <w:r>
        <w:rPr>
          <w:rFonts w:ascii="Times New Roman" w:hAnsi="Times New Roman" w:cs="Times New Roman"/>
          <w:sz w:val="24"/>
          <w:vertAlign w:val="superscript"/>
        </w:rPr>
        <w:t xml:space="preserve"># </w:t>
      </w:r>
      <w:r>
        <w:rPr>
          <w:rFonts w:ascii="Times New Roman" w:hAnsi="Times New Roman" w:cs="Times New Roman"/>
          <w:sz w:val="24"/>
        </w:rPr>
        <w:t xml:space="preserve">To whom all the correspondence should be addressed to: </w:t>
      </w:r>
      <w:r>
        <w:rPr>
          <w:rFonts w:hint="eastAsia" w:ascii="Times New Roman" w:hAnsi="Times New Roman" w:cs="Times New Roman"/>
          <w:sz w:val="24"/>
          <w:lang w:val="en-US" w:eastAsia="zh-CN"/>
        </w:rPr>
        <w:t>kq.ye@siat.ac.cn</w:t>
      </w:r>
    </w:p>
    <w:p>
      <w:pPr>
        <w:spacing w:line="480" w:lineRule="auto"/>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HYPERLINK "mailto:kye@emory.edu" </w:instrText>
      </w:r>
      <w:r>
        <w:rPr>
          <w:rFonts w:ascii="Times New Roman" w:hAnsi="Times New Roman" w:cs="Times New Roman"/>
          <w:sz w:val="24"/>
        </w:rPr>
        <w:fldChar w:fldCharType="separate"/>
      </w:r>
      <w:r>
        <w:rPr>
          <w:rStyle w:val="7"/>
          <w:rFonts w:ascii="Times New Roman" w:hAnsi="Times New Roman" w:cs="Times New Roman"/>
          <w:sz w:val="24"/>
        </w:rPr>
        <w:br w:type="page"/>
      </w:r>
      <w:r>
        <w:rPr>
          <w:rFonts w:ascii="Times New Roman" w:hAnsi="Times New Roman" w:cs="Times New Roman"/>
          <w:sz w:val="24"/>
        </w:rPr>
        <w:fldChar w:fldCharType="end"/>
      </w:r>
    </w:p>
    <w:p>
      <w:pPr>
        <w:spacing w:line="480" w:lineRule="auto"/>
        <w:rPr>
          <w:rFonts w:hint="eastAsia" w:ascii="Times New Roman" w:hAnsi="Times New Roman" w:cs="Times New Roman" w:eastAsiaTheme="minorEastAsia"/>
          <w:sz w:val="24"/>
          <w:lang w:eastAsia="zh-CN"/>
        </w:rPr>
      </w:pPr>
      <w:r>
        <w:rPr>
          <w:rFonts w:hint="eastAsia" w:ascii="Times New Roman" w:hAnsi="Times New Roman" w:cs="Times New Roman" w:eastAsiaTheme="minorEastAsia"/>
          <w:sz w:val="24"/>
          <w:lang w:eastAsia="zh-CN"/>
        </w:rPr>
        <w:drawing>
          <wp:inline distT="0" distB="0" distL="114300" distR="114300">
            <wp:extent cx="5274310" cy="5330825"/>
            <wp:effectExtent l="0" t="0" r="2540" b="3175"/>
            <wp:docPr id="1" name="图片 1" descr="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 S1"/>
                    <pic:cNvPicPr>
                      <a:picLocks noChangeAspect="1"/>
                    </pic:cNvPicPr>
                  </pic:nvPicPr>
                  <pic:blipFill>
                    <a:blip r:embed="rId5"/>
                    <a:srcRect b="28535"/>
                    <a:stretch>
                      <a:fillRect/>
                    </a:stretch>
                  </pic:blipFill>
                  <pic:spPr>
                    <a:xfrm>
                      <a:off x="0" y="0"/>
                      <a:ext cx="5274310" cy="5330825"/>
                    </a:xfrm>
                    <a:prstGeom prst="rect">
                      <a:avLst/>
                    </a:prstGeom>
                  </pic:spPr>
                </pic:pic>
              </a:graphicData>
            </a:graphic>
          </wp:inline>
        </w:drawing>
      </w:r>
    </w:p>
    <w:p>
      <w:pPr>
        <w:spacing w:line="480" w:lineRule="auto"/>
        <w:jc w:val="left"/>
        <w:rPr>
          <w:rFonts w:ascii="Times New Roman" w:hAnsi="Times New Roman" w:cs="Times New Roman"/>
          <w:b/>
          <w:bCs/>
          <w:sz w:val="24"/>
        </w:rPr>
      </w:pPr>
      <w:r>
        <w:rPr>
          <w:rFonts w:ascii="Times New Roman" w:hAnsi="Times New Roman" w:cs="Times New Roman"/>
          <w:b/>
          <w:bCs/>
          <w:sz w:val="24"/>
        </w:rPr>
        <w:t>Supplementary Figure 1. rApoE4 and 27-OHC activate C/EBPβ/AEP pathway in primary endothelial cells.</w:t>
      </w:r>
    </w:p>
    <w:p>
      <w:pPr>
        <w:spacing w:line="480" w:lineRule="auto"/>
        <w:jc w:val="left"/>
        <w:rPr>
          <w:rFonts w:ascii="Times New Roman" w:hAnsi="Times New Roman" w:cs="Times New Roman"/>
          <w:sz w:val="24"/>
        </w:rPr>
      </w:pPr>
      <w:r>
        <w:rPr>
          <w:rFonts w:ascii="Times New Roman" w:hAnsi="Times New Roman" w:cs="Times New Roman"/>
          <w:b/>
          <w:bCs/>
          <w:sz w:val="24"/>
        </w:rPr>
        <w:t>(A-C)</w:t>
      </w:r>
      <w:r>
        <w:rPr>
          <w:rFonts w:ascii="Times New Roman" w:hAnsi="Times New Roman" w:cs="Times New Roman"/>
          <w:sz w:val="24"/>
        </w:rPr>
        <w:t xml:space="preserve"> Primary endothelial cells were treated with Vehicle or 27-OHC (1.25, 2.5, 3.75, 5 μg/ml) for 2 days. Then cells were harvested for Western blot (A), real-time PCR (B), and AEP enzymatic activity assay (C). </w:t>
      </w:r>
      <w:r>
        <w:rPr>
          <w:rFonts w:ascii="Times New Roman" w:hAnsi="Times New Roman" w:cs="Times New Roman"/>
          <w:b/>
          <w:bCs/>
          <w:sz w:val="24"/>
        </w:rPr>
        <w:t>(D-G)</w:t>
      </w:r>
      <w:r>
        <w:rPr>
          <w:rFonts w:ascii="Times New Roman" w:hAnsi="Times New Roman" w:cs="Times New Roman"/>
          <w:sz w:val="24"/>
        </w:rPr>
        <w:t xml:space="preserve"> Primary endothelial cells were treated with Vehicle, 27-OHC (5 μg/ml) or/and recombinant human ApoE3/4 (rApoE3/4) proteins (10 μg/ml) for 2 days, respectively. Then cells were harvested for Western Blot (D), real-time PCR (E), AEP enzymatic activity assay (F), and Elisa assay (G). (Data represent mean ± SEM, *p&lt; 0.05, **p&lt;0.01, one-way ANOVA).</w:t>
      </w:r>
    </w:p>
    <w:p>
      <w:pPr>
        <w:rPr>
          <w:rFonts w:hint="eastAsia" w:ascii="Times New Roman" w:hAnsi="Times New Roman" w:cs="Times New Roman" w:eastAsiaTheme="minorEastAsia"/>
          <w:sz w:val="24"/>
          <w:lang w:eastAsia="zh-CN"/>
        </w:rPr>
      </w:pPr>
      <w:r>
        <w:rPr>
          <w:rFonts w:hint="eastAsia" w:ascii="Times New Roman" w:hAnsi="Times New Roman" w:cs="Times New Roman" w:eastAsiaTheme="minorEastAsia"/>
          <w:sz w:val="24"/>
          <w:lang w:eastAsia="zh-CN"/>
        </w:rPr>
        <w:drawing>
          <wp:inline distT="0" distB="0" distL="114300" distR="114300">
            <wp:extent cx="5274310" cy="3448685"/>
            <wp:effectExtent l="0" t="0" r="2540" b="8890"/>
            <wp:docPr id="2" name="图片 2" descr="Figure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 S2"/>
                    <pic:cNvPicPr>
                      <a:picLocks noChangeAspect="1"/>
                    </pic:cNvPicPr>
                  </pic:nvPicPr>
                  <pic:blipFill>
                    <a:blip r:embed="rId6"/>
                    <a:srcRect b="53767"/>
                    <a:stretch>
                      <a:fillRect/>
                    </a:stretch>
                  </pic:blipFill>
                  <pic:spPr>
                    <a:xfrm>
                      <a:off x="0" y="0"/>
                      <a:ext cx="5274310" cy="3448685"/>
                    </a:xfrm>
                    <a:prstGeom prst="rect">
                      <a:avLst/>
                    </a:prstGeom>
                  </pic:spPr>
                </pic:pic>
              </a:graphicData>
            </a:graphic>
          </wp:inline>
        </w:drawing>
      </w:r>
    </w:p>
    <w:p>
      <w:pPr>
        <w:spacing w:line="480" w:lineRule="auto"/>
        <w:jc w:val="left"/>
        <w:rPr>
          <w:rFonts w:ascii="Times New Roman" w:hAnsi="Times New Roman" w:cs="Times New Roman"/>
          <w:b/>
          <w:bCs/>
          <w:sz w:val="24"/>
        </w:rPr>
      </w:pPr>
      <w:r>
        <w:rPr>
          <w:rFonts w:ascii="Times New Roman" w:hAnsi="Times New Roman" w:cs="Times New Roman"/>
          <w:b/>
          <w:bCs/>
          <w:sz w:val="24"/>
        </w:rPr>
        <w:t>Supplementary Figure 2. Vascular functions in 5xFAD/SMA-GFP mice are impaired compared to SMA-GFP mice.</w:t>
      </w:r>
    </w:p>
    <w:p>
      <w:pPr>
        <w:spacing w:line="480" w:lineRule="auto"/>
        <w:jc w:val="left"/>
        <w:rPr>
          <w:rFonts w:hint="eastAsia" w:ascii="Times New Roman" w:hAnsi="Times New Roman" w:cs="Times New Roman" w:eastAsiaTheme="minorEastAsia"/>
          <w:sz w:val="24"/>
          <w:lang w:eastAsia="zh-CN"/>
        </w:rPr>
      </w:pPr>
      <w:r>
        <w:rPr>
          <w:rFonts w:ascii="Times New Roman" w:hAnsi="Times New Roman" w:cs="Times New Roman"/>
          <w:b/>
          <w:bCs/>
          <w:sz w:val="24"/>
        </w:rPr>
        <w:t>(A)</w:t>
      </w:r>
      <w:r>
        <w:rPr>
          <w:rFonts w:ascii="Times New Roman" w:hAnsi="Times New Roman" w:cs="Times New Roman"/>
          <w:sz w:val="24"/>
        </w:rPr>
        <w:t xml:space="preserve"> Representative laser Doppler flowmetry heatmaps and quantification of local cerebral blood flow of wild-type and 5xFAD mice. </w:t>
      </w:r>
      <w:r>
        <w:rPr>
          <w:rFonts w:ascii="Times New Roman" w:hAnsi="Times New Roman" w:cs="Times New Roman"/>
          <w:b/>
          <w:bCs/>
          <w:sz w:val="24"/>
        </w:rPr>
        <w:t>(B)</w:t>
      </w:r>
      <w:r>
        <w:rPr>
          <w:rFonts w:ascii="Times New Roman" w:hAnsi="Times New Roman" w:cs="Times New Roman"/>
          <w:sz w:val="24"/>
        </w:rPr>
        <w:t xml:space="preserve"> Representative images and quantification of microvascular morphology (FITC-Albumin, rendered in green) and microvascular leakages (arrowheads) in SMA-GFP and 5xFAD/SMA-GFP mice.</w:t>
      </w:r>
      <w:r>
        <w:rPr>
          <w:rFonts w:hint="eastAsia" w:ascii="Times New Roman" w:hAnsi="Times New Roman" w:cs="Times New Roman"/>
          <w:sz w:val="24"/>
        </w:rPr>
        <w:t xml:space="preserve"> Scale bar: 50 </w:t>
      </w:r>
      <w:r>
        <w:rPr>
          <w:rFonts w:ascii="Times New Roman" w:hAnsi="Times New Roman" w:cs="Times New Roman"/>
          <w:sz w:val="24"/>
        </w:rPr>
        <w:t>μm</w:t>
      </w:r>
      <w:r>
        <w:rPr>
          <w:rFonts w:hint="eastAsia" w:ascii="Times New Roman" w:hAnsi="Times New Roman" w:cs="Times New Roman"/>
          <w:sz w:val="24"/>
        </w:rPr>
        <w:t>.</w:t>
      </w:r>
      <w:r>
        <w:rPr>
          <w:rFonts w:ascii="Times New Roman" w:hAnsi="Times New Roman" w:cs="Times New Roman"/>
          <w:sz w:val="24"/>
        </w:rPr>
        <w:t xml:space="preserve"> </w:t>
      </w:r>
      <w:r>
        <w:rPr>
          <w:rFonts w:ascii="Times New Roman" w:hAnsi="Times New Roman" w:cs="Times New Roman"/>
          <w:b/>
          <w:bCs/>
          <w:sz w:val="24"/>
        </w:rPr>
        <w:t>(C)</w:t>
      </w:r>
      <w:r>
        <w:rPr>
          <w:rFonts w:ascii="Times New Roman" w:hAnsi="Times New Roman" w:cs="Times New Roman"/>
          <w:sz w:val="24"/>
        </w:rPr>
        <w:t xml:space="preserve"> Representative images of Prussian blue staining and quantification of extravascular Prussian blue-positive hemosiderin deposits in wild-type and 5xFAD mice.</w:t>
      </w:r>
      <w:r>
        <w:rPr>
          <w:rFonts w:hint="eastAsia" w:ascii="Times New Roman" w:hAnsi="Times New Roman" w:cs="Times New Roman"/>
          <w:sz w:val="24"/>
        </w:rPr>
        <w:t xml:space="preserve"> Scale bar: 20 </w:t>
      </w:r>
      <w:r>
        <w:rPr>
          <w:rFonts w:ascii="Times New Roman" w:hAnsi="Times New Roman" w:cs="Times New Roman"/>
          <w:sz w:val="24"/>
        </w:rPr>
        <w:t>μm</w:t>
      </w:r>
      <w:r>
        <w:rPr>
          <w:rFonts w:hint="eastAsia" w:ascii="Times New Roman" w:hAnsi="Times New Roman" w:cs="Times New Roman"/>
          <w:sz w:val="24"/>
        </w:rPr>
        <w:t>.</w:t>
      </w:r>
      <w:r>
        <w:rPr>
          <w:rFonts w:ascii="Times New Roman" w:hAnsi="Times New Roman" w:cs="Times New Roman"/>
          <w:sz w:val="24"/>
        </w:rPr>
        <w:t xml:space="preserve"> </w:t>
      </w:r>
      <w:r>
        <w:rPr>
          <w:rFonts w:ascii="Times New Roman" w:hAnsi="Times New Roman" w:cs="Times New Roman"/>
          <w:b/>
          <w:bCs/>
          <w:sz w:val="24"/>
        </w:rPr>
        <w:t>(D)</w:t>
      </w:r>
      <w:r>
        <w:rPr>
          <w:rFonts w:ascii="Times New Roman" w:hAnsi="Times New Roman" w:cs="Times New Roman"/>
          <w:sz w:val="24"/>
        </w:rPr>
        <w:t xml:space="preserve"> Representative images and quantification of 4-HNE (red) in the cortex and the hippocampal CA1 region of SMA-GFP and 5xFAD/SMA-GFP mice.</w:t>
      </w:r>
      <w:r>
        <w:rPr>
          <w:rFonts w:hint="eastAsia" w:ascii="Times New Roman" w:hAnsi="Times New Roman" w:cs="Times New Roman"/>
          <w:sz w:val="24"/>
        </w:rPr>
        <w:t xml:space="preserve"> Scale bar: 20 </w:t>
      </w:r>
      <w:r>
        <w:rPr>
          <w:rFonts w:ascii="Times New Roman" w:hAnsi="Times New Roman" w:cs="Times New Roman"/>
          <w:sz w:val="24"/>
        </w:rPr>
        <w:t>μm</w:t>
      </w:r>
      <w:r>
        <w:rPr>
          <w:rFonts w:hint="eastAsia" w:ascii="Times New Roman" w:hAnsi="Times New Roman" w:cs="Times New Roman"/>
          <w:sz w:val="24"/>
        </w:rPr>
        <w:t>.</w:t>
      </w:r>
      <w:r>
        <w:rPr>
          <w:rFonts w:ascii="Times New Roman" w:hAnsi="Times New Roman" w:cs="Times New Roman"/>
          <w:sz w:val="24"/>
        </w:rPr>
        <w:t xml:space="preserve"> (Data represent mean ± SEM.*p&lt; 0.05, **p&lt;0.01, t-test).</w:t>
      </w:r>
    </w:p>
    <w:p>
      <w:pPr>
        <w:spacing w:line="480" w:lineRule="auto"/>
        <w:jc w:val="left"/>
        <w:rPr>
          <w:rFonts w:ascii="Times New Roman" w:hAnsi="Times New Roman" w:cs="Times New Roman"/>
          <w:sz w:val="24"/>
        </w:rPr>
      </w:pPr>
    </w:p>
    <w:p>
      <w:pPr>
        <w:spacing w:line="480" w:lineRule="auto"/>
        <w:jc w:val="left"/>
        <w:rPr>
          <w:rFonts w:hint="eastAsia" w:ascii="Times New Roman" w:hAnsi="Times New Roman" w:cs="Times New Roman" w:eastAsiaTheme="minorEastAsia"/>
          <w:sz w:val="24"/>
          <w:lang w:eastAsia="zh-CN"/>
        </w:rPr>
      </w:pPr>
      <w:r>
        <w:rPr>
          <w:rFonts w:hint="eastAsia" w:ascii="Times New Roman" w:hAnsi="Times New Roman" w:cs="Times New Roman" w:eastAsiaTheme="minorEastAsia"/>
          <w:sz w:val="24"/>
          <w:lang w:eastAsia="zh-CN"/>
        </w:rPr>
        <w:drawing>
          <wp:inline distT="0" distB="0" distL="114300" distR="114300">
            <wp:extent cx="5274310" cy="7120890"/>
            <wp:effectExtent l="0" t="0" r="2540" b="3810"/>
            <wp:docPr id="3" name="图片 3" descr="Figure 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ure S3"/>
                    <pic:cNvPicPr>
                      <a:picLocks noChangeAspect="1"/>
                    </pic:cNvPicPr>
                  </pic:nvPicPr>
                  <pic:blipFill>
                    <a:blip r:embed="rId7"/>
                    <a:srcRect b="4537"/>
                    <a:stretch>
                      <a:fillRect/>
                    </a:stretch>
                  </pic:blipFill>
                  <pic:spPr>
                    <a:xfrm>
                      <a:off x="0" y="0"/>
                      <a:ext cx="5274310" cy="7120890"/>
                    </a:xfrm>
                    <a:prstGeom prst="rect">
                      <a:avLst/>
                    </a:prstGeom>
                  </pic:spPr>
                </pic:pic>
              </a:graphicData>
            </a:graphic>
          </wp:inline>
        </w:drawing>
      </w:r>
    </w:p>
    <w:p>
      <w:pPr>
        <w:spacing w:line="480" w:lineRule="auto"/>
        <w:jc w:val="left"/>
        <w:rPr>
          <w:rFonts w:ascii="Times New Roman" w:hAnsi="Times New Roman" w:cs="Times New Roman"/>
          <w:b/>
          <w:bCs/>
          <w:sz w:val="24"/>
        </w:rPr>
      </w:pPr>
      <w:r>
        <w:rPr>
          <w:rFonts w:ascii="Times New Roman" w:hAnsi="Times New Roman" w:cs="Times New Roman"/>
          <w:b/>
          <w:bCs/>
          <w:sz w:val="24"/>
        </w:rPr>
        <w:t>Supplementary Figure 3. ApoE4 and 27-OHC trigger C/EBPβ/AEP activation in the hippocampus region in 5xFAD SMA-GFP mice.</w:t>
      </w:r>
    </w:p>
    <w:p>
      <w:pPr>
        <w:spacing w:line="480" w:lineRule="auto"/>
        <w:jc w:val="left"/>
        <w:rPr>
          <w:rFonts w:ascii="Times New Roman" w:hAnsi="Times New Roman" w:cs="Times New Roman"/>
          <w:sz w:val="24"/>
        </w:rPr>
      </w:pPr>
      <w:r>
        <w:rPr>
          <w:rFonts w:ascii="Times New Roman" w:hAnsi="Times New Roman" w:cs="Times New Roman"/>
          <w:b/>
          <w:bCs/>
          <w:sz w:val="24"/>
        </w:rPr>
        <w:t>(A)</w:t>
      </w:r>
      <w:r>
        <w:rPr>
          <w:rFonts w:ascii="Times New Roman" w:hAnsi="Times New Roman" w:cs="Times New Roman"/>
          <w:sz w:val="24"/>
        </w:rPr>
        <w:t xml:space="preserve"> Representative images and quantification of ApoE (green) and C/EBPβ (red) in the hippocampus CA1 region in 5xFAD mice.</w:t>
      </w:r>
      <w:r>
        <w:rPr>
          <w:rFonts w:hint="eastAsia" w:ascii="Times New Roman" w:hAnsi="Times New Roman" w:cs="Times New Roman"/>
          <w:sz w:val="24"/>
        </w:rPr>
        <w:t xml:space="preserve"> Scale bar: 20 </w:t>
      </w:r>
      <w:r>
        <w:rPr>
          <w:rFonts w:ascii="Times New Roman" w:hAnsi="Times New Roman" w:cs="Times New Roman"/>
          <w:sz w:val="24"/>
        </w:rPr>
        <w:t>μm</w:t>
      </w:r>
      <w:r>
        <w:rPr>
          <w:rFonts w:hint="eastAsia" w:ascii="Times New Roman" w:hAnsi="Times New Roman" w:cs="Times New Roman"/>
          <w:sz w:val="24"/>
        </w:rPr>
        <w:t>.</w:t>
      </w:r>
      <w:r>
        <w:rPr>
          <w:rFonts w:ascii="Times New Roman" w:hAnsi="Times New Roman" w:cs="Times New Roman"/>
          <w:sz w:val="24"/>
        </w:rPr>
        <w:t xml:space="preserve"> </w:t>
      </w:r>
      <w:r>
        <w:rPr>
          <w:rFonts w:ascii="Times New Roman" w:hAnsi="Times New Roman" w:cs="Times New Roman"/>
          <w:b/>
          <w:bCs/>
          <w:sz w:val="24"/>
        </w:rPr>
        <w:t>(B)</w:t>
      </w:r>
      <w:r>
        <w:rPr>
          <w:rFonts w:ascii="Times New Roman" w:hAnsi="Times New Roman" w:cs="Times New Roman"/>
          <w:sz w:val="24"/>
        </w:rPr>
        <w:t xml:space="preserve"> Representative images and quantification of AEP (green) and APP fragment APP C586 (red) in the hippocampus CA1 region in 5xFAD mice.</w:t>
      </w:r>
      <w:r>
        <w:rPr>
          <w:rFonts w:hint="eastAsia" w:ascii="Times New Roman" w:hAnsi="Times New Roman" w:cs="Times New Roman"/>
          <w:sz w:val="24"/>
        </w:rPr>
        <w:t xml:space="preserve"> Scale bar: 20 </w:t>
      </w:r>
      <w:r>
        <w:rPr>
          <w:rFonts w:ascii="Times New Roman" w:hAnsi="Times New Roman" w:cs="Times New Roman"/>
          <w:sz w:val="24"/>
        </w:rPr>
        <w:t>μm</w:t>
      </w:r>
      <w:r>
        <w:rPr>
          <w:rFonts w:hint="eastAsia" w:ascii="Times New Roman" w:hAnsi="Times New Roman" w:cs="Times New Roman"/>
          <w:sz w:val="24"/>
        </w:rPr>
        <w:t>.</w:t>
      </w:r>
      <w:r>
        <w:rPr>
          <w:rFonts w:ascii="Times New Roman" w:hAnsi="Times New Roman" w:cs="Times New Roman"/>
          <w:sz w:val="24"/>
        </w:rPr>
        <w:t xml:space="preserve"> </w:t>
      </w:r>
      <w:r>
        <w:rPr>
          <w:rFonts w:ascii="Times New Roman" w:hAnsi="Times New Roman" w:cs="Times New Roman"/>
          <w:b/>
          <w:bCs/>
          <w:sz w:val="24"/>
        </w:rPr>
        <w:t>(C)</w:t>
      </w:r>
      <w:r>
        <w:rPr>
          <w:rFonts w:ascii="Times New Roman" w:hAnsi="Times New Roman" w:cs="Times New Roman"/>
          <w:sz w:val="24"/>
        </w:rPr>
        <w:t xml:space="preserve"> Representative images and quantification of AT8 (green) and tau fragment Tau N368 (red) in the hippocampus CA1 region in 5xFAD mice.</w:t>
      </w:r>
      <w:r>
        <w:rPr>
          <w:rFonts w:hint="eastAsia" w:ascii="Times New Roman" w:hAnsi="Times New Roman" w:cs="Times New Roman"/>
          <w:sz w:val="24"/>
        </w:rPr>
        <w:t xml:space="preserve"> Scale bar: 20 </w:t>
      </w:r>
      <w:r>
        <w:rPr>
          <w:rFonts w:ascii="Times New Roman" w:hAnsi="Times New Roman" w:cs="Times New Roman"/>
          <w:sz w:val="24"/>
        </w:rPr>
        <w:t>μm</w:t>
      </w:r>
      <w:r>
        <w:rPr>
          <w:rFonts w:hint="eastAsia" w:ascii="Times New Roman" w:hAnsi="Times New Roman" w:cs="Times New Roman"/>
          <w:sz w:val="24"/>
        </w:rPr>
        <w:t>.</w:t>
      </w:r>
      <w:r>
        <w:rPr>
          <w:rFonts w:ascii="Times New Roman" w:hAnsi="Times New Roman" w:cs="Times New Roman"/>
          <w:sz w:val="24"/>
        </w:rPr>
        <w:t xml:space="preserve"> </w:t>
      </w:r>
      <w:r>
        <w:rPr>
          <w:rFonts w:ascii="Times New Roman" w:hAnsi="Times New Roman" w:cs="Times New Roman"/>
          <w:b/>
          <w:bCs/>
          <w:sz w:val="24"/>
        </w:rPr>
        <w:t>(D)</w:t>
      </w:r>
      <w:r>
        <w:rPr>
          <w:rFonts w:ascii="Times New Roman" w:hAnsi="Times New Roman" w:cs="Times New Roman"/>
          <w:sz w:val="24"/>
        </w:rPr>
        <w:t xml:space="preserve"> Representative images and quantification of NeuN-positive neurons (green) and TUNEL (red) in the hippocampus CA1 region in 5xFAD mice.</w:t>
      </w:r>
      <w:r>
        <w:rPr>
          <w:rFonts w:hint="eastAsia" w:ascii="Times New Roman" w:hAnsi="Times New Roman" w:cs="Times New Roman"/>
          <w:sz w:val="24"/>
        </w:rPr>
        <w:t xml:space="preserve"> Scale bar: 20 </w:t>
      </w:r>
      <w:r>
        <w:rPr>
          <w:rFonts w:ascii="Times New Roman" w:hAnsi="Times New Roman" w:cs="Times New Roman"/>
          <w:sz w:val="24"/>
        </w:rPr>
        <w:t>μm</w:t>
      </w:r>
      <w:r>
        <w:rPr>
          <w:rFonts w:hint="eastAsia" w:ascii="Times New Roman" w:hAnsi="Times New Roman" w:cs="Times New Roman"/>
          <w:sz w:val="24"/>
        </w:rPr>
        <w:t>.</w:t>
      </w:r>
      <w:r>
        <w:rPr>
          <w:rFonts w:ascii="Times New Roman" w:hAnsi="Times New Roman" w:cs="Times New Roman"/>
          <w:sz w:val="24"/>
        </w:rPr>
        <w:t xml:space="preserve"> (Data represent mean ± SEM. *p&lt; 0.05, **p&lt;0.01, ***p&lt;0.001, one-way ANOVA)</w:t>
      </w:r>
    </w:p>
    <w:p>
      <w:pPr>
        <w:rPr>
          <w:rFonts w:ascii="Times New Roman" w:hAnsi="Times New Roman" w:cs="Times New Roman"/>
          <w:sz w:val="24"/>
        </w:rPr>
      </w:pPr>
      <w:r>
        <w:rPr>
          <w:rFonts w:ascii="Times New Roman" w:hAnsi="Times New Roman" w:cs="Times New Roman"/>
          <w:sz w:val="24"/>
        </w:rPr>
        <w:br w:type="page"/>
      </w:r>
    </w:p>
    <w:p>
      <w:pPr>
        <w:spacing w:line="480" w:lineRule="auto"/>
        <w:jc w:val="left"/>
        <w:rPr>
          <w:rFonts w:hint="eastAsia" w:ascii="Times New Roman" w:hAnsi="Times New Roman" w:cs="Times New Roman" w:eastAsiaTheme="minorEastAsia"/>
          <w:sz w:val="24"/>
          <w:lang w:eastAsia="zh-CN"/>
        </w:rPr>
      </w:pPr>
      <w:r>
        <w:rPr>
          <w:rFonts w:hint="eastAsia" w:ascii="Times New Roman" w:hAnsi="Times New Roman" w:cs="Times New Roman" w:eastAsiaTheme="minorEastAsia"/>
          <w:sz w:val="24"/>
          <w:lang w:eastAsia="zh-CN"/>
        </w:rPr>
        <w:drawing>
          <wp:inline distT="0" distB="0" distL="114300" distR="114300">
            <wp:extent cx="5274310" cy="7430770"/>
            <wp:effectExtent l="0" t="0" r="2540" b="8255"/>
            <wp:docPr id="4" name="图片 4" descr="Figure 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ure S4"/>
                    <pic:cNvPicPr>
                      <a:picLocks noChangeAspect="1"/>
                    </pic:cNvPicPr>
                  </pic:nvPicPr>
                  <pic:blipFill>
                    <a:blip r:embed="rId8"/>
                    <a:srcRect b="383"/>
                    <a:stretch>
                      <a:fillRect/>
                    </a:stretch>
                  </pic:blipFill>
                  <pic:spPr>
                    <a:xfrm>
                      <a:off x="0" y="0"/>
                      <a:ext cx="5274310" cy="7430770"/>
                    </a:xfrm>
                    <a:prstGeom prst="rect">
                      <a:avLst/>
                    </a:prstGeom>
                  </pic:spPr>
                </pic:pic>
              </a:graphicData>
            </a:graphic>
          </wp:inline>
        </w:drawing>
      </w:r>
    </w:p>
    <w:p>
      <w:pPr>
        <w:spacing w:line="480" w:lineRule="auto"/>
        <w:jc w:val="left"/>
        <w:rPr>
          <w:rFonts w:ascii="Times New Roman" w:hAnsi="Times New Roman" w:cs="Times New Roman"/>
          <w:b/>
          <w:bCs/>
          <w:sz w:val="24"/>
        </w:rPr>
      </w:pPr>
      <w:r>
        <w:rPr>
          <w:rFonts w:ascii="Times New Roman" w:hAnsi="Times New Roman" w:cs="Times New Roman"/>
          <w:b/>
          <w:bCs/>
          <w:sz w:val="24"/>
        </w:rPr>
        <w:t>Supplementary Figure 4. C/EBPβ/AEP knockout alleviates extravascular microglia/ macrophage recruitment and Aβ deposition stimulated by ApoE4/27-OHC in 5xFAD/SMA-GFP mice.</w:t>
      </w:r>
    </w:p>
    <w:p>
      <w:pPr>
        <w:spacing w:line="480" w:lineRule="auto"/>
        <w:jc w:val="left"/>
        <w:rPr>
          <w:rFonts w:ascii="Times New Roman" w:hAnsi="Times New Roman" w:cs="Times New Roman"/>
          <w:sz w:val="24"/>
        </w:rPr>
      </w:pPr>
      <w:r>
        <w:rPr>
          <w:rFonts w:ascii="Times New Roman" w:hAnsi="Times New Roman" w:cs="Times New Roman"/>
          <w:b/>
          <w:bCs/>
          <w:sz w:val="24"/>
        </w:rPr>
        <w:t xml:space="preserve">(A) </w:t>
      </w:r>
      <w:r>
        <w:rPr>
          <w:rFonts w:ascii="Times New Roman" w:hAnsi="Times New Roman" w:cs="Times New Roman"/>
          <w:sz w:val="24"/>
        </w:rPr>
        <w:t xml:space="preserve">Aβ42 levels by ELISA test from the hippocampus and the cortex in 5xFAD mice. </w:t>
      </w:r>
      <w:r>
        <w:rPr>
          <w:rFonts w:ascii="Times New Roman" w:hAnsi="Times New Roman" w:cs="Times New Roman"/>
          <w:b/>
          <w:bCs/>
          <w:sz w:val="24"/>
        </w:rPr>
        <w:t>(B)</w:t>
      </w:r>
      <w:r>
        <w:rPr>
          <w:rFonts w:ascii="Times New Roman" w:hAnsi="Times New Roman" w:cs="Times New Roman"/>
          <w:sz w:val="24"/>
        </w:rPr>
        <w:t xml:space="preserve"> Representative images of Iba1-positive microglia (red) and amyloid plaques (green) in the cortex of 5xFAD mice.</w:t>
      </w:r>
      <w:r>
        <w:rPr>
          <w:rFonts w:hint="eastAsia" w:ascii="Times New Roman" w:hAnsi="Times New Roman" w:cs="Times New Roman"/>
          <w:sz w:val="24"/>
        </w:rPr>
        <w:t xml:space="preserve"> Scale bar: 20 </w:t>
      </w:r>
      <w:r>
        <w:rPr>
          <w:rFonts w:ascii="Times New Roman" w:hAnsi="Times New Roman" w:cs="Times New Roman"/>
          <w:sz w:val="24"/>
        </w:rPr>
        <w:t>μm</w:t>
      </w:r>
      <w:r>
        <w:rPr>
          <w:rFonts w:hint="eastAsia" w:ascii="Times New Roman" w:hAnsi="Times New Roman" w:cs="Times New Roman"/>
          <w:sz w:val="24"/>
        </w:rPr>
        <w:t>.</w:t>
      </w:r>
      <w:r>
        <w:rPr>
          <w:rFonts w:ascii="Times New Roman" w:hAnsi="Times New Roman" w:cs="Times New Roman"/>
          <w:sz w:val="24"/>
        </w:rPr>
        <w:t xml:space="preserve"> </w:t>
      </w:r>
      <w:r>
        <w:rPr>
          <w:rFonts w:ascii="Times New Roman" w:hAnsi="Times New Roman" w:cs="Times New Roman"/>
          <w:b/>
          <w:bCs/>
          <w:sz w:val="24"/>
        </w:rPr>
        <w:t>(C)</w:t>
      </w:r>
      <w:r>
        <w:rPr>
          <w:rFonts w:ascii="Times New Roman" w:hAnsi="Times New Roman" w:cs="Times New Roman"/>
          <w:sz w:val="24"/>
        </w:rPr>
        <w:t xml:space="preserve"> IL-1β, IL-6 and TNF-α levels by ELISA test from the cortex of 5xFAD mice. </w:t>
      </w:r>
      <w:r>
        <w:rPr>
          <w:rFonts w:ascii="Times New Roman" w:hAnsi="Times New Roman" w:cs="Times New Roman"/>
          <w:b/>
          <w:bCs/>
          <w:sz w:val="24"/>
        </w:rPr>
        <w:t>(D)</w:t>
      </w:r>
      <w:r>
        <w:rPr>
          <w:rFonts w:ascii="Times New Roman" w:hAnsi="Times New Roman" w:cs="Times New Roman"/>
          <w:sz w:val="24"/>
        </w:rPr>
        <w:t xml:space="preserve"> Representative images of CD68-positive microglia/macrophage (red) and C/EBPβ (green) in the cortex in 5xFAD mice.</w:t>
      </w:r>
      <w:r>
        <w:rPr>
          <w:rFonts w:hint="eastAsia" w:ascii="Times New Roman" w:hAnsi="Times New Roman" w:cs="Times New Roman"/>
          <w:sz w:val="24"/>
        </w:rPr>
        <w:t xml:space="preserve"> Scale bar: 20 </w:t>
      </w:r>
      <w:r>
        <w:rPr>
          <w:rFonts w:ascii="Times New Roman" w:hAnsi="Times New Roman" w:cs="Times New Roman"/>
          <w:sz w:val="24"/>
        </w:rPr>
        <w:t>μm</w:t>
      </w:r>
      <w:r>
        <w:rPr>
          <w:rFonts w:hint="eastAsia" w:ascii="Times New Roman" w:hAnsi="Times New Roman" w:cs="Times New Roman"/>
          <w:sz w:val="24"/>
        </w:rPr>
        <w:t>.</w:t>
      </w:r>
      <w:r>
        <w:rPr>
          <w:rFonts w:ascii="Times New Roman" w:hAnsi="Times New Roman" w:cs="Times New Roman"/>
          <w:sz w:val="24"/>
        </w:rPr>
        <w:t xml:space="preserve"> </w:t>
      </w:r>
      <w:r>
        <w:rPr>
          <w:rFonts w:ascii="Times New Roman" w:hAnsi="Times New Roman" w:cs="Times New Roman"/>
          <w:b/>
          <w:bCs/>
          <w:sz w:val="24"/>
        </w:rPr>
        <w:t xml:space="preserve">(E) </w:t>
      </w:r>
      <w:r>
        <w:rPr>
          <w:rFonts w:ascii="Times New Roman" w:hAnsi="Times New Roman" w:cs="Times New Roman"/>
          <w:sz w:val="24"/>
        </w:rPr>
        <w:t>Representative images of CD68-positive microglia/macrophage (purple) and C/EBPβ (red) in perivascular space (vessel, green) in 5xFAD mice.</w:t>
      </w:r>
      <w:r>
        <w:rPr>
          <w:rFonts w:hint="eastAsia" w:ascii="Times New Roman" w:hAnsi="Times New Roman" w:cs="Times New Roman"/>
          <w:sz w:val="24"/>
        </w:rPr>
        <w:t xml:space="preserve"> Scale bar: 20 </w:t>
      </w:r>
      <w:r>
        <w:rPr>
          <w:rFonts w:ascii="Times New Roman" w:hAnsi="Times New Roman" w:cs="Times New Roman"/>
          <w:sz w:val="24"/>
        </w:rPr>
        <w:t>μm</w:t>
      </w:r>
      <w:r>
        <w:rPr>
          <w:rFonts w:hint="eastAsia" w:ascii="Times New Roman" w:hAnsi="Times New Roman" w:cs="Times New Roman"/>
          <w:sz w:val="24"/>
        </w:rPr>
        <w:t>.</w:t>
      </w:r>
      <w:r>
        <w:rPr>
          <w:rFonts w:ascii="Times New Roman" w:hAnsi="Times New Roman" w:cs="Times New Roman"/>
          <w:sz w:val="24"/>
        </w:rPr>
        <w:t xml:space="preserve"> </w:t>
      </w:r>
      <w:r>
        <w:rPr>
          <w:rFonts w:ascii="Times New Roman" w:hAnsi="Times New Roman" w:cs="Times New Roman"/>
          <w:b/>
          <w:bCs/>
          <w:sz w:val="24"/>
        </w:rPr>
        <w:t>(F)</w:t>
      </w:r>
      <w:r>
        <w:rPr>
          <w:rFonts w:ascii="Times New Roman" w:hAnsi="Times New Roman" w:cs="Times New Roman"/>
          <w:sz w:val="24"/>
        </w:rPr>
        <w:t xml:space="preserve"> Representative images of CD68-positive microglia/macrophage (red) and AEP (green) in the cortex in 5xFAD mice.</w:t>
      </w:r>
      <w:r>
        <w:rPr>
          <w:rFonts w:hint="eastAsia" w:ascii="Times New Roman" w:hAnsi="Times New Roman" w:cs="Times New Roman"/>
          <w:sz w:val="24"/>
        </w:rPr>
        <w:t xml:space="preserve"> Scale bar: 20 </w:t>
      </w:r>
      <w:r>
        <w:rPr>
          <w:rFonts w:ascii="Times New Roman" w:hAnsi="Times New Roman" w:cs="Times New Roman"/>
          <w:sz w:val="24"/>
        </w:rPr>
        <w:t>μm</w:t>
      </w:r>
      <w:r>
        <w:rPr>
          <w:rFonts w:hint="eastAsia" w:ascii="Times New Roman" w:hAnsi="Times New Roman" w:cs="Times New Roman"/>
          <w:sz w:val="24"/>
        </w:rPr>
        <w:t>.</w:t>
      </w:r>
      <w:r>
        <w:rPr>
          <w:rFonts w:ascii="Times New Roman" w:hAnsi="Times New Roman" w:cs="Times New Roman"/>
          <w:sz w:val="24"/>
        </w:rPr>
        <w:t xml:space="preserve"> </w:t>
      </w:r>
      <w:r>
        <w:rPr>
          <w:rFonts w:ascii="Times New Roman" w:hAnsi="Times New Roman" w:cs="Times New Roman"/>
          <w:b/>
          <w:bCs/>
          <w:sz w:val="24"/>
        </w:rPr>
        <w:t>(G)</w:t>
      </w:r>
      <w:r>
        <w:rPr>
          <w:rFonts w:ascii="Times New Roman" w:hAnsi="Times New Roman" w:cs="Times New Roman"/>
          <w:sz w:val="24"/>
        </w:rPr>
        <w:t xml:space="preserve"> Representative images of CD68-positive microglia/macrophage (purple) and AEP (red) in perivascular space (vessel, green) in 5xFAD mice.</w:t>
      </w:r>
      <w:r>
        <w:rPr>
          <w:rFonts w:hint="eastAsia" w:ascii="Times New Roman" w:hAnsi="Times New Roman" w:cs="Times New Roman"/>
          <w:sz w:val="24"/>
        </w:rPr>
        <w:t xml:space="preserve"> Scale bar: 20 </w:t>
      </w:r>
      <w:r>
        <w:rPr>
          <w:rFonts w:ascii="Times New Roman" w:hAnsi="Times New Roman" w:cs="Times New Roman"/>
          <w:sz w:val="24"/>
        </w:rPr>
        <w:t>μm</w:t>
      </w:r>
      <w:r>
        <w:rPr>
          <w:rFonts w:hint="eastAsia" w:ascii="Times New Roman" w:hAnsi="Times New Roman" w:cs="Times New Roman"/>
          <w:sz w:val="24"/>
        </w:rPr>
        <w:t>.</w:t>
      </w:r>
      <w:r>
        <w:rPr>
          <w:rFonts w:ascii="Times New Roman" w:hAnsi="Times New Roman" w:cs="Times New Roman"/>
          <w:sz w:val="24"/>
        </w:rPr>
        <w:t xml:space="preserve"> (Data represent mean ± SEM. *p&lt; 0.05, **p&lt;0.01, ***p&lt;0.001, one-way ANOVA).</w:t>
      </w:r>
    </w:p>
    <w:p>
      <w:pPr>
        <w:rPr>
          <w:rFonts w:ascii="Times New Roman" w:hAnsi="Times New Roman" w:cs="Times New Roman"/>
          <w:sz w:val="24"/>
        </w:rPr>
      </w:pPr>
      <w:r>
        <w:rPr>
          <w:rFonts w:ascii="Times New Roman" w:hAnsi="Times New Roman" w:cs="Times New Roman"/>
          <w:sz w:val="24"/>
        </w:rPr>
        <w:br w:type="page"/>
      </w:r>
    </w:p>
    <w:p>
      <w:pPr>
        <w:spacing w:line="480" w:lineRule="auto"/>
        <w:jc w:val="left"/>
        <w:rPr>
          <w:rFonts w:hint="eastAsia" w:ascii="Times New Roman" w:hAnsi="Times New Roman" w:cs="Times New Roman" w:eastAsiaTheme="minorEastAsia"/>
          <w:sz w:val="24"/>
          <w:lang w:eastAsia="zh-CN"/>
        </w:rPr>
      </w:pPr>
      <w:r>
        <w:rPr>
          <w:rFonts w:hint="eastAsia" w:ascii="Times New Roman" w:hAnsi="Times New Roman" w:cs="Times New Roman" w:eastAsiaTheme="minorEastAsia"/>
          <w:sz w:val="24"/>
          <w:lang w:eastAsia="zh-CN"/>
        </w:rPr>
        <w:drawing>
          <wp:inline distT="0" distB="0" distL="114300" distR="114300">
            <wp:extent cx="5274310" cy="6724015"/>
            <wp:effectExtent l="0" t="0" r="2540" b="635"/>
            <wp:docPr id="5" name="图片 5" descr="Figure 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ure S5"/>
                    <pic:cNvPicPr>
                      <a:picLocks noChangeAspect="1"/>
                    </pic:cNvPicPr>
                  </pic:nvPicPr>
                  <pic:blipFill>
                    <a:blip r:embed="rId9"/>
                    <a:srcRect b="8225"/>
                    <a:stretch>
                      <a:fillRect/>
                    </a:stretch>
                  </pic:blipFill>
                  <pic:spPr>
                    <a:xfrm>
                      <a:off x="0" y="0"/>
                      <a:ext cx="5274310" cy="6724015"/>
                    </a:xfrm>
                    <a:prstGeom prst="rect">
                      <a:avLst/>
                    </a:prstGeom>
                  </pic:spPr>
                </pic:pic>
              </a:graphicData>
            </a:graphic>
          </wp:inline>
        </w:drawing>
      </w:r>
    </w:p>
    <w:p>
      <w:pPr>
        <w:spacing w:line="480" w:lineRule="auto"/>
        <w:jc w:val="left"/>
        <w:rPr>
          <w:rFonts w:ascii="Times New Roman" w:hAnsi="Times New Roman" w:cs="Times New Roman"/>
          <w:b/>
          <w:bCs/>
          <w:sz w:val="24"/>
        </w:rPr>
      </w:pPr>
      <w:r>
        <w:rPr>
          <w:rFonts w:ascii="Times New Roman" w:hAnsi="Times New Roman" w:cs="Times New Roman"/>
          <w:b/>
          <w:bCs/>
          <w:sz w:val="24"/>
        </w:rPr>
        <w:t>Supplementary Figure 5. C/EBPβ/AEP knockout alleviates ApoE4/27-OHC-triggered cognitive dysfunctions in 5xFAD/SMA-GFP mice.</w:t>
      </w:r>
    </w:p>
    <w:p>
      <w:pPr>
        <w:spacing w:line="480" w:lineRule="auto"/>
        <w:jc w:val="left"/>
        <w:rPr>
          <w:rFonts w:ascii="Times New Roman" w:hAnsi="Times New Roman" w:cs="Times New Roman"/>
          <w:sz w:val="24"/>
        </w:rPr>
      </w:pPr>
      <w:r>
        <w:rPr>
          <w:rFonts w:ascii="Times New Roman" w:hAnsi="Times New Roman" w:cs="Times New Roman"/>
          <w:b/>
          <w:bCs/>
          <w:sz w:val="24"/>
        </w:rPr>
        <w:t>(A)</w:t>
      </w:r>
      <w:r>
        <w:rPr>
          <w:rFonts w:ascii="Times New Roman" w:hAnsi="Times New Roman" w:cs="Times New Roman"/>
          <w:sz w:val="24"/>
        </w:rPr>
        <w:t xml:space="preserve"> Western blot assay of C/EBPβ, AEP, and the downstream substrate APP N585, Tau N368 fragments in 5xFAD mice. </w:t>
      </w:r>
      <w:r>
        <w:rPr>
          <w:rFonts w:ascii="Times New Roman" w:hAnsi="Times New Roman" w:cs="Times New Roman"/>
          <w:b/>
          <w:bCs/>
          <w:sz w:val="24"/>
        </w:rPr>
        <w:t>(B)</w:t>
      </w:r>
      <w:r>
        <w:rPr>
          <w:rFonts w:ascii="Times New Roman" w:hAnsi="Times New Roman" w:cs="Times New Roman"/>
          <w:sz w:val="24"/>
        </w:rPr>
        <w:t xml:space="preserve"> AEP enzymatic activity assay of 5xFAD mice brain lysates. </w:t>
      </w:r>
      <w:r>
        <w:rPr>
          <w:rFonts w:ascii="Times New Roman" w:hAnsi="Times New Roman" w:cs="Times New Roman"/>
          <w:b/>
          <w:bCs/>
          <w:sz w:val="24"/>
        </w:rPr>
        <w:t>(C)</w:t>
      </w:r>
      <w:r>
        <w:rPr>
          <w:rFonts w:ascii="Times New Roman" w:hAnsi="Times New Roman" w:cs="Times New Roman"/>
          <w:sz w:val="24"/>
        </w:rPr>
        <w:t xml:space="preserve"> Representative images of silver staining in the hippocampal CA1 region in 5xFAD mice.</w:t>
      </w:r>
      <w:r>
        <w:rPr>
          <w:rFonts w:hint="eastAsia" w:ascii="Times New Roman" w:hAnsi="Times New Roman" w:cs="Times New Roman"/>
          <w:sz w:val="24"/>
        </w:rPr>
        <w:t xml:space="preserve"> Scale bar: 20 </w:t>
      </w:r>
      <w:r>
        <w:rPr>
          <w:rFonts w:ascii="Times New Roman" w:hAnsi="Times New Roman" w:cs="Times New Roman"/>
          <w:sz w:val="24"/>
        </w:rPr>
        <w:t>μm</w:t>
      </w:r>
      <w:r>
        <w:rPr>
          <w:rFonts w:hint="eastAsia" w:ascii="Times New Roman" w:hAnsi="Times New Roman" w:cs="Times New Roman"/>
          <w:sz w:val="24"/>
        </w:rPr>
        <w:t>.</w:t>
      </w:r>
      <w:r>
        <w:rPr>
          <w:rFonts w:ascii="Times New Roman" w:hAnsi="Times New Roman" w:cs="Times New Roman"/>
          <w:sz w:val="24"/>
        </w:rPr>
        <w:t xml:space="preserve"> </w:t>
      </w:r>
      <w:r>
        <w:rPr>
          <w:rFonts w:ascii="Times New Roman" w:hAnsi="Times New Roman" w:cs="Times New Roman"/>
          <w:b/>
          <w:bCs/>
          <w:sz w:val="24"/>
        </w:rPr>
        <w:t>(D-F)</w:t>
      </w:r>
      <w:r>
        <w:rPr>
          <w:rFonts w:ascii="Times New Roman" w:hAnsi="Times New Roman" w:cs="Times New Roman"/>
          <w:sz w:val="24"/>
        </w:rPr>
        <w:t xml:space="preserve"> Morris Water Maze behavioral tests for 5xFAD mice. The latency to mount platform in Morris Water Maze test (D), the area under the latency curve (E), and the percentage of time spent in the target quadrant (F) were analyzed. </w:t>
      </w:r>
      <w:r>
        <w:rPr>
          <w:rFonts w:ascii="Times New Roman" w:hAnsi="Times New Roman" w:cs="Times New Roman"/>
          <w:b/>
          <w:bCs/>
          <w:sz w:val="24"/>
        </w:rPr>
        <w:t xml:space="preserve">(G) </w:t>
      </w:r>
      <w:r>
        <w:rPr>
          <w:rFonts w:ascii="Times New Roman" w:hAnsi="Times New Roman" w:cs="Times New Roman"/>
          <w:sz w:val="24"/>
        </w:rPr>
        <w:t>Fear conditioning tests for 5xFAD mice. (Data represent mean ± SEM. *p&lt; 0.05, **p&lt;0.01, ***p&lt;0.001, one-way ANOVA).</w:t>
      </w:r>
    </w:p>
    <w:p>
      <w:pPr>
        <w:rPr>
          <w:rFonts w:ascii="Times New Roman" w:hAnsi="Times New Roman" w:cs="Times New Roman"/>
          <w:sz w:val="24"/>
        </w:rPr>
      </w:pPr>
      <w:r>
        <w:rPr>
          <w:rFonts w:ascii="Times New Roman" w:hAnsi="Times New Roman" w:cs="Times New Roman"/>
          <w:sz w:val="24"/>
        </w:rPr>
        <w:br w:type="page"/>
      </w:r>
    </w:p>
    <w:p>
      <w:pPr>
        <w:spacing w:line="480" w:lineRule="auto"/>
        <w:jc w:val="left"/>
        <w:rPr>
          <w:rFonts w:ascii="Times New Roman" w:hAnsi="Times New Roman" w:cs="Times New Roman"/>
          <w:sz w:val="24"/>
        </w:rPr>
      </w:pPr>
    </w:p>
    <w:p>
      <w:pPr>
        <w:rPr>
          <w:rFonts w:hint="eastAsia" w:eastAsiaTheme="minorEastAsia"/>
          <w:lang w:eastAsia="zh-CN"/>
        </w:rPr>
      </w:pPr>
      <w:r>
        <w:rPr>
          <w:rFonts w:hint="eastAsia" w:eastAsiaTheme="minorEastAsia"/>
          <w:lang w:eastAsia="zh-CN"/>
        </w:rPr>
        <w:drawing>
          <wp:inline distT="0" distB="0" distL="114300" distR="114300">
            <wp:extent cx="5274310" cy="7005955"/>
            <wp:effectExtent l="0" t="0" r="2540" b="4445"/>
            <wp:docPr id="6" name="图片 6" descr="Figure 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igure S6"/>
                    <pic:cNvPicPr>
                      <a:picLocks noChangeAspect="1"/>
                    </pic:cNvPicPr>
                  </pic:nvPicPr>
                  <pic:blipFill>
                    <a:blip r:embed="rId10"/>
                    <a:srcRect b="6078"/>
                    <a:stretch>
                      <a:fillRect/>
                    </a:stretch>
                  </pic:blipFill>
                  <pic:spPr>
                    <a:xfrm>
                      <a:off x="0" y="0"/>
                      <a:ext cx="5274310" cy="7005955"/>
                    </a:xfrm>
                    <a:prstGeom prst="rect">
                      <a:avLst/>
                    </a:prstGeom>
                  </pic:spPr>
                </pic:pic>
              </a:graphicData>
            </a:graphic>
          </wp:inline>
        </w:drawing>
      </w:r>
    </w:p>
    <w:p>
      <w:pPr>
        <w:spacing w:line="480" w:lineRule="auto"/>
        <w:jc w:val="left"/>
        <w:rPr>
          <w:rFonts w:ascii="Times New Roman" w:hAnsi="Times New Roman" w:cs="Times New Roman"/>
          <w:b/>
          <w:bCs/>
          <w:sz w:val="24"/>
        </w:rPr>
      </w:pPr>
      <w:r>
        <w:rPr>
          <w:rFonts w:ascii="Times New Roman" w:hAnsi="Times New Roman" w:cs="Times New Roman"/>
          <w:b/>
          <w:bCs/>
          <w:sz w:val="24"/>
        </w:rPr>
        <w:t>Supplementary Figure 6. Inactivation of C/EBPβ/</w:t>
      </w:r>
      <w:r>
        <w:rPr>
          <w:rFonts w:hint="eastAsia" w:ascii="Times New Roman" w:hAnsi="Times New Roman" w:cs="Times New Roman"/>
          <w:b/>
          <w:bCs/>
          <w:sz w:val="24"/>
        </w:rPr>
        <w:t>AEP</w:t>
      </w:r>
      <w:r>
        <w:rPr>
          <w:rFonts w:ascii="Times New Roman" w:hAnsi="Times New Roman" w:cs="Times New Roman"/>
          <w:b/>
          <w:bCs/>
          <w:sz w:val="24"/>
        </w:rPr>
        <w:t xml:space="preserve"> diminishes APP and Tau cleavage and neuronal apoptosis in 5xFAD/SMA-GFP mice treated by ApoE4/27-OHC.</w:t>
      </w:r>
    </w:p>
    <w:p>
      <w:pPr>
        <w:spacing w:line="480" w:lineRule="auto"/>
        <w:jc w:val="left"/>
        <w:rPr>
          <w:rFonts w:ascii="Times New Roman" w:hAnsi="Times New Roman" w:cs="Times New Roman"/>
          <w:sz w:val="24"/>
        </w:rPr>
      </w:pPr>
      <w:r>
        <w:rPr>
          <w:rFonts w:ascii="Times New Roman" w:hAnsi="Times New Roman" w:cs="Times New Roman"/>
          <w:b/>
          <w:bCs/>
          <w:sz w:val="24"/>
        </w:rPr>
        <w:t xml:space="preserve">(A) </w:t>
      </w:r>
      <w:r>
        <w:rPr>
          <w:rFonts w:ascii="Times New Roman" w:hAnsi="Times New Roman" w:cs="Times New Roman"/>
          <w:sz w:val="24"/>
        </w:rPr>
        <w:t>Representative images and quantification of ApoE (green) and C/EBPβ (red) in the hippocampal CA1 region in 5xFAD mice.</w:t>
      </w:r>
      <w:r>
        <w:rPr>
          <w:rFonts w:hint="eastAsia" w:ascii="Times New Roman" w:hAnsi="Times New Roman" w:cs="Times New Roman"/>
          <w:sz w:val="24"/>
        </w:rPr>
        <w:t xml:space="preserve"> Scale bar: 20 </w:t>
      </w:r>
      <w:r>
        <w:rPr>
          <w:rFonts w:ascii="Times New Roman" w:hAnsi="Times New Roman" w:cs="Times New Roman"/>
          <w:sz w:val="24"/>
        </w:rPr>
        <w:t>μm</w:t>
      </w:r>
      <w:r>
        <w:rPr>
          <w:rFonts w:hint="eastAsia" w:ascii="Times New Roman" w:hAnsi="Times New Roman" w:cs="Times New Roman"/>
          <w:sz w:val="24"/>
        </w:rPr>
        <w:t>.</w:t>
      </w:r>
      <w:r>
        <w:rPr>
          <w:rFonts w:ascii="Times New Roman" w:hAnsi="Times New Roman" w:cs="Times New Roman"/>
          <w:sz w:val="24"/>
        </w:rPr>
        <w:t xml:space="preserve"> </w:t>
      </w:r>
      <w:r>
        <w:rPr>
          <w:rFonts w:ascii="Times New Roman" w:hAnsi="Times New Roman" w:cs="Times New Roman"/>
          <w:b/>
          <w:bCs/>
          <w:sz w:val="24"/>
        </w:rPr>
        <w:t>(B)</w:t>
      </w:r>
      <w:r>
        <w:rPr>
          <w:rFonts w:ascii="Times New Roman" w:hAnsi="Times New Roman" w:cs="Times New Roman"/>
          <w:sz w:val="24"/>
        </w:rPr>
        <w:t xml:space="preserve"> Representative images and quantification of AEP (green) and APP fragment APP C586 (red) in the hippocampal CA1 region in 5xFAD mice.</w:t>
      </w:r>
      <w:r>
        <w:rPr>
          <w:rFonts w:hint="eastAsia" w:ascii="Times New Roman" w:hAnsi="Times New Roman" w:cs="Times New Roman"/>
          <w:sz w:val="24"/>
        </w:rPr>
        <w:t xml:space="preserve"> Scale bar: 20 </w:t>
      </w:r>
      <w:r>
        <w:rPr>
          <w:rFonts w:ascii="Times New Roman" w:hAnsi="Times New Roman" w:cs="Times New Roman"/>
          <w:sz w:val="24"/>
        </w:rPr>
        <w:t>μm</w:t>
      </w:r>
      <w:r>
        <w:rPr>
          <w:rFonts w:hint="eastAsia" w:ascii="Times New Roman" w:hAnsi="Times New Roman" w:cs="Times New Roman"/>
          <w:sz w:val="24"/>
        </w:rPr>
        <w:t>.</w:t>
      </w:r>
      <w:r>
        <w:rPr>
          <w:rFonts w:ascii="Times New Roman" w:hAnsi="Times New Roman" w:cs="Times New Roman"/>
          <w:sz w:val="24"/>
        </w:rPr>
        <w:t xml:space="preserve"> </w:t>
      </w:r>
      <w:r>
        <w:rPr>
          <w:rFonts w:ascii="Times New Roman" w:hAnsi="Times New Roman" w:cs="Times New Roman"/>
          <w:b/>
          <w:bCs/>
          <w:sz w:val="24"/>
        </w:rPr>
        <w:t>(C)</w:t>
      </w:r>
      <w:r>
        <w:rPr>
          <w:rFonts w:ascii="Times New Roman" w:hAnsi="Times New Roman" w:cs="Times New Roman"/>
          <w:sz w:val="24"/>
        </w:rPr>
        <w:t xml:space="preserve"> Representative images and quantification of AT8 (green) and tau fragment Tau N368 (red) in the hippocampal CA1 region in 5xFAD mice.</w:t>
      </w:r>
      <w:r>
        <w:rPr>
          <w:rFonts w:hint="eastAsia" w:ascii="Times New Roman" w:hAnsi="Times New Roman" w:cs="Times New Roman"/>
          <w:sz w:val="24"/>
        </w:rPr>
        <w:t xml:space="preserve"> Scale bar: 20 </w:t>
      </w:r>
      <w:r>
        <w:rPr>
          <w:rFonts w:ascii="Times New Roman" w:hAnsi="Times New Roman" w:cs="Times New Roman"/>
          <w:sz w:val="24"/>
        </w:rPr>
        <w:t>μm</w:t>
      </w:r>
      <w:r>
        <w:rPr>
          <w:rFonts w:hint="eastAsia" w:ascii="Times New Roman" w:hAnsi="Times New Roman" w:cs="Times New Roman"/>
          <w:sz w:val="24"/>
        </w:rPr>
        <w:t>.</w:t>
      </w:r>
      <w:r>
        <w:rPr>
          <w:rFonts w:ascii="Times New Roman" w:hAnsi="Times New Roman" w:cs="Times New Roman"/>
          <w:sz w:val="24"/>
        </w:rPr>
        <w:t xml:space="preserve"> </w:t>
      </w:r>
      <w:r>
        <w:rPr>
          <w:rFonts w:ascii="Times New Roman" w:hAnsi="Times New Roman" w:cs="Times New Roman"/>
          <w:b/>
          <w:bCs/>
          <w:sz w:val="24"/>
        </w:rPr>
        <w:t>(D)</w:t>
      </w:r>
      <w:r>
        <w:rPr>
          <w:rFonts w:ascii="Times New Roman" w:hAnsi="Times New Roman" w:cs="Times New Roman"/>
          <w:sz w:val="24"/>
        </w:rPr>
        <w:t xml:space="preserve"> Representative images and quantification of NeuN-positive neuron (green) and TUNEL (red) in the hippocampal CA1 region in 5xFAD mice.</w:t>
      </w:r>
      <w:r>
        <w:rPr>
          <w:rFonts w:hint="eastAsia" w:ascii="Times New Roman" w:hAnsi="Times New Roman" w:cs="Times New Roman"/>
          <w:sz w:val="24"/>
        </w:rPr>
        <w:t xml:space="preserve"> Scale bar: 20 </w:t>
      </w:r>
      <w:r>
        <w:rPr>
          <w:rFonts w:ascii="Times New Roman" w:hAnsi="Times New Roman" w:cs="Times New Roman"/>
          <w:sz w:val="24"/>
        </w:rPr>
        <w:t>μm</w:t>
      </w:r>
      <w:r>
        <w:rPr>
          <w:rFonts w:hint="eastAsia" w:ascii="Times New Roman" w:hAnsi="Times New Roman" w:cs="Times New Roman"/>
          <w:sz w:val="24"/>
        </w:rPr>
        <w:t>.</w:t>
      </w:r>
      <w:r>
        <w:rPr>
          <w:rFonts w:ascii="Times New Roman" w:hAnsi="Times New Roman" w:cs="Times New Roman"/>
          <w:sz w:val="24"/>
        </w:rPr>
        <w:t xml:space="preserve"> </w:t>
      </w:r>
      <w:r>
        <w:rPr>
          <w:rFonts w:ascii="Times New Roman" w:hAnsi="Times New Roman" w:cs="Times New Roman"/>
          <w:b/>
          <w:bCs/>
          <w:sz w:val="24"/>
        </w:rPr>
        <w:t>(E)</w:t>
      </w:r>
      <w:r>
        <w:rPr>
          <w:rFonts w:ascii="Times New Roman" w:hAnsi="Times New Roman" w:cs="Times New Roman"/>
          <w:sz w:val="24"/>
        </w:rPr>
        <w:t xml:space="preserve"> Quantification analysis of immunostaining. (Data represent mean ± SEM. *p&lt; 0.05, **p&lt;0.01, ***p&lt;0.001, one-way ANOVA).</w:t>
      </w:r>
    </w:p>
    <w:p>
      <w:pPr>
        <w:rPr>
          <w:rFonts w:hint="eastAsia" w:eastAsiaTheme="minorEastAsia"/>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Rotis SemiSans Std">
    <w:altName w:val="Cambria"/>
    <w:panose1 w:val="00000000000000000000"/>
    <w:charset w:val="4D"/>
    <w:family w:val="swiss"/>
    <w:pitch w:val="default"/>
    <w:sig w:usb0="00000000" w:usb1="00000000" w:usb2="00000000" w:usb3="00000000" w:csb0="00000001" w:csb1="0000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JmYWI5YjRiNTk3YjJhNWEyNWQzZWYwMmUyM2RhZDUifQ=="/>
  </w:docVars>
  <w:rsids>
    <w:rsidRoot w:val="00000000"/>
    <w:rsid w:val="16371C5C"/>
    <w:rsid w:val="37B7796E"/>
    <w:rsid w:val="448E314A"/>
    <w:rsid w:val="498C24F4"/>
    <w:rsid w:val="607A78E4"/>
    <w:rsid w:val="60E70C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320"/>
        <w:tab w:val="right" w:pos="8640"/>
      </w:tabs>
    </w:p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page number"/>
    <w:basedOn w:val="5"/>
    <w:qFormat/>
    <w:uiPriority w:val="0"/>
  </w:style>
  <w:style w:type="character" w:styleId="7">
    <w:name w:val="Hyperlink"/>
    <w:basedOn w:val="5"/>
    <w:qFormat/>
    <w:uiPriority w:val="0"/>
    <w:rPr>
      <w:color w:val="0000FF"/>
      <w:u w:val="single"/>
    </w:rPr>
  </w:style>
  <w:style w:type="paragraph" w:customStyle="1" w:styleId="8">
    <w:name w:val="Default"/>
    <w:basedOn w:val="1"/>
    <w:qFormat/>
    <w:uiPriority w:val="0"/>
    <w:pPr>
      <w:autoSpaceDE w:val="0"/>
      <w:autoSpaceDN w:val="0"/>
      <w:adjustRightInd w:val="0"/>
    </w:pPr>
    <w:rPr>
      <w:rFonts w:ascii="Rotis SemiSans Std" w:hAnsi="Rotis SemiSans Std" w:cs="宋体"/>
      <w:color w:val="000000"/>
    </w:rPr>
  </w:style>
</w:styles>
</file>

<file path=word/_rels/document.xml.rels><?xml version="1.0" encoding="UTF-8" standalone="yes"?>
<Relationships xmlns="http://schemas.openxmlformats.org/package/2006/relationships"><Relationship Id="rId9" Type="http://schemas.openxmlformats.org/officeDocument/2006/relationships/image" Target="media/image5.tiff"/><Relationship Id="rId8" Type="http://schemas.openxmlformats.org/officeDocument/2006/relationships/image" Target="media/image4.tiff"/><Relationship Id="rId7" Type="http://schemas.openxmlformats.org/officeDocument/2006/relationships/image" Target="media/image3.tiff"/><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tif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841</Words>
  <Characters>4835</Characters>
  <Lines>0</Lines>
  <Paragraphs>0</Paragraphs>
  <TotalTime>0</TotalTime>
  <ScaleCrop>false</ScaleCrop>
  <LinksUpToDate>false</LinksUpToDate>
  <CharactersWithSpaces>5653</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11763</dc:creator>
  <cp:lastModifiedBy>廖建明</cp:lastModifiedBy>
  <dcterms:modified xsi:type="dcterms:W3CDTF">2022-05-07T08:41:22Z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E0AE301617754609B982F08FA9A68814</vt:lpwstr>
  </property>
</Properties>
</file>