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3CB" w:rsidRPr="00324588" w:rsidRDefault="009113CB" w:rsidP="009113CB">
      <w:pPr>
        <w:pStyle w:val="Paragraph"/>
        <w:spacing w:before="0" w:line="480" w:lineRule="auto"/>
        <w:ind w:firstLine="0"/>
        <w:rPr>
          <w:color w:val="000000" w:themeColor="text1"/>
        </w:rPr>
      </w:pPr>
      <w:r w:rsidRPr="00324588">
        <w:rPr>
          <w:b/>
          <w:bCs/>
          <w:color w:val="000000" w:themeColor="text1"/>
        </w:rPr>
        <w:t>Supplementary Figure 1.</w:t>
      </w:r>
      <w:r w:rsidRPr="00324588">
        <w:rPr>
          <w:color w:val="000000" w:themeColor="text1"/>
        </w:rPr>
        <w:t xml:space="preserve"> </w:t>
      </w:r>
      <w:r w:rsidRPr="00324588">
        <w:rPr>
          <w:b/>
          <w:bCs/>
          <w:color w:val="000000" w:themeColor="text1"/>
        </w:rPr>
        <w:t>CDKs and cyclin molecules are overexpressed in ACC:</w:t>
      </w:r>
      <w:r w:rsidRPr="00324588">
        <w:rPr>
          <w:color w:val="000000" w:themeColor="text1"/>
        </w:rPr>
        <w:t xml:space="preserve"> </w:t>
      </w:r>
      <w:r w:rsidRPr="00324588">
        <w:rPr>
          <w:b/>
          <w:bCs/>
          <w:color w:val="000000" w:themeColor="text1"/>
        </w:rPr>
        <w:t xml:space="preserve">A </w:t>
      </w:r>
      <w:r w:rsidRPr="00324588">
        <w:rPr>
          <w:color w:val="000000" w:themeColor="text1"/>
        </w:rPr>
        <w:t xml:space="preserve">mRNA expression of </w:t>
      </w:r>
      <w:r w:rsidRPr="00324588">
        <w:rPr>
          <w:i/>
          <w:iCs/>
          <w:color w:val="000000" w:themeColor="text1"/>
        </w:rPr>
        <w:t>CDK1</w:t>
      </w:r>
      <w:r w:rsidRPr="00324588">
        <w:rPr>
          <w:color w:val="000000" w:themeColor="text1"/>
        </w:rPr>
        <w:t xml:space="preserve"> and </w:t>
      </w:r>
      <w:r w:rsidRPr="00324588">
        <w:rPr>
          <w:i/>
          <w:iCs/>
          <w:color w:val="000000" w:themeColor="text1"/>
        </w:rPr>
        <w:t xml:space="preserve">CDK2 </w:t>
      </w:r>
      <w:r w:rsidRPr="00324588">
        <w:rPr>
          <w:color w:val="000000" w:themeColor="text1"/>
        </w:rPr>
        <w:t>(NC vs. ACC) from the publicly available data set GSE90713 (NC = 5, ACC = 57) (</w:t>
      </w:r>
      <w:r w:rsidRPr="00324588">
        <w:rPr>
          <w:i/>
          <w:iCs/>
          <w:color w:val="000000" w:themeColor="text1"/>
        </w:rPr>
        <w:t>p</w:t>
      </w:r>
      <w:r w:rsidRPr="00324588">
        <w:rPr>
          <w:color w:val="000000" w:themeColor="text1"/>
        </w:rPr>
        <w:t xml:space="preserve"> &lt; 0.05).</w:t>
      </w:r>
      <w:r w:rsidRPr="00324588">
        <w:rPr>
          <w:b/>
          <w:bCs/>
          <w:color w:val="000000" w:themeColor="text1"/>
        </w:rPr>
        <w:t xml:space="preserve"> B </w:t>
      </w:r>
      <w:r w:rsidRPr="00324588">
        <w:rPr>
          <w:color w:val="000000" w:themeColor="text1"/>
        </w:rPr>
        <w:t xml:space="preserve">mRNA expression of </w:t>
      </w:r>
      <w:r w:rsidRPr="00324588">
        <w:rPr>
          <w:i/>
          <w:iCs/>
          <w:color w:val="000000" w:themeColor="text1"/>
        </w:rPr>
        <w:t>CCNA2</w:t>
      </w:r>
      <w:r w:rsidRPr="00324588">
        <w:rPr>
          <w:color w:val="000000" w:themeColor="text1"/>
        </w:rPr>
        <w:t xml:space="preserve">, </w:t>
      </w:r>
      <w:r w:rsidRPr="00324588">
        <w:rPr>
          <w:b/>
          <w:bCs/>
          <w:color w:val="000000" w:themeColor="text1"/>
        </w:rPr>
        <w:t xml:space="preserve">C </w:t>
      </w:r>
      <w:r w:rsidRPr="00324588">
        <w:rPr>
          <w:color w:val="000000" w:themeColor="text1"/>
        </w:rPr>
        <w:t xml:space="preserve">mRNA expression of </w:t>
      </w:r>
      <w:r w:rsidRPr="00324588">
        <w:rPr>
          <w:i/>
          <w:iCs/>
          <w:color w:val="000000" w:themeColor="text1"/>
        </w:rPr>
        <w:t>CCNB1</w:t>
      </w:r>
      <w:r w:rsidRPr="00324588">
        <w:rPr>
          <w:color w:val="000000" w:themeColor="text1"/>
        </w:rPr>
        <w:t xml:space="preserve">, </w:t>
      </w:r>
      <w:r w:rsidRPr="00324588">
        <w:rPr>
          <w:b/>
          <w:bCs/>
          <w:color w:val="000000" w:themeColor="text1"/>
        </w:rPr>
        <w:t xml:space="preserve">D </w:t>
      </w:r>
      <w:r w:rsidRPr="00324588">
        <w:rPr>
          <w:color w:val="000000" w:themeColor="text1"/>
        </w:rPr>
        <w:t xml:space="preserve">mRNA expression of </w:t>
      </w:r>
      <w:r w:rsidRPr="00324588">
        <w:rPr>
          <w:i/>
          <w:iCs/>
          <w:color w:val="000000" w:themeColor="text1"/>
        </w:rPr>
        <w:t>CCNB2</w:t>
      </w:r>
      <w:r w:rsidRPr="00324588">
        <w:rPr>
          <w:color w:val="000000" w:themeColor="text1"/>
        </w:rPr>
        <w:t xml:space="preserve">, and </w:t>
      </w:r>
      <w:r w:rsidRPr="00324588">
        <w:rPr>
          <w:b/>
          <w:bCs/>
          <w:color w:val="000000" w:themeColor="text1"/>
        </w:rPr>
        <w:t xml:space="preserve">E </w:t>
      </w:r>
      <w:r w:rsidRPr="00324588">
        <w:rPr>
          <w:color w:val="000000" w:themeColor="text1"/>
        </w:rPr>
        <w:t xml:space="preserve">mRNA expression of </w:t>
      </w:r>
      <w:r w:rsidRPr="00324588">
        <w:rPr>
          <w:i/>
          <w:iCs/>
          <w:color w:val="000000" w:themeColor="text1"/>
        </w:rPr>
        <w:t>CCNE2</w:t>
      </w:r>
      <w:r w:rsidRPr="00324588">
        <w:rPr>
          <w:color w:val="000000" w:themeColor="text1"/>
        </w:rPr>
        <w:t>,</w:t>
      </w:r>
      <w:r w:rsidRPr="00324588">
        <w:rPr>
          <w:b/>
          <w:bCs/>
          <w:color w:val="000000" w:themeColor="text1"/>
        </w:rPr>
        <w:t xml:space="preserve"> </w:t>
      </w:r>
      <w:r w:rsidRPr="00324588">
        <w:rPr>
          <w:color w:val="000000" w:themeColor="text1"/>
        </w:rPr>
        <w:t>from the GSE33371, GSE12638, and GSE90713 data sets.</w:t>
      </w:r>
    </w:p>
    <w:p w:rsidR="009113CB" w:rsidRPr="00324588" w:rsidRDefault="009113CB" w:rsidP="009113CB">
      <w:pPr>
        <w:pStyle w:val="Paragraph"/>
        <w:spacing w:before="0" w:line="480" w:lineRule="auto"/>
        <w:ind w:firstLine="0"/>
        <w:rPr>
          <w:color w:val="000000" w:themeColor="text1"/>
        </w:rPr>
      </w:pPr>
      <w:r w:rsidRPr="00324588">
        <w:rPr>
          <w:color w:val="000000" w:themeColor="text1"/>
        </w:rPr>
        <w:t xml:space="preserve"> </w:t>
      </w:r>
      <w:r w:rsidRPr="00324588">
        <w:rPr>
          <w:b/>
          <w:bCs/>
          <w:color w:val="000000" w:themeColor="text1"/>
        </w:rPr>
        <w:t>Supplementary Figure 2.</w:t>
      </w:r>
      <w:r w:rsidRPr="00324588">
        <w:rPr>
          <w:color w:val="000000" w:themeColor="text1"/>
        </w:rPr>
        <w:t xml:space="preserve"> </w:t>
      </w:r>
      <w:r w:rsidRPr="00324588">
        <w:rPr>
          <w:b/>
          <w:bCs/>
          <w:color w:val="000000" w:themeColor="text1"/>
        </w:rPr>
        <w:t>Cyclin molecule overexpression correlates with poor prognosis in ACC:</w:t>
      </w:r>
      <w:r w:rsidRPr="00324588">
        <w:rPr>
          <w:color w:val="000000" w:themeColor="text1"/>
        </w:rPr>
        <w:t xml:space="preserve"> </w:t>
      </w:r>
      <w:r w:rsidRPr="00324588">
        <w:rPr>
          <w:b/>
          <w:bCs/>
          <w:color w:val="000000" w:themeColor="text1"/>
        </w:rPr>
        <w:t xml:space="preserve">A </w:t>
      </w:r>
      <w:r w:rsidRPr="00324588">
        <w:rPr>
          <w:color w:val="000000" w:themeColor="text1"/>
        </w:rPr>
        <w:t xml:space="preserve">Kaplan-Meier survival curve representing the OS in the TCGA ACC cohort with low and high expression of </w:t>
      </w:r>
      <w:r w:rsidRPr="00324588">
        <w:rPr>
          <w:i/>
          <w:iCs/>
          <w:color w:val="000000" w:themeColor="text1"/>
        </w:rPr>
        <w:t>CCNA2</w:t>
      </w:r>
      <w:r w:rsidRPr="00324588">
        <w:rPr>
          <w:color w:val="000000" w:themeColor="text1"/>
        </w:rPr>
        <w:t xml:space="preserve">, </w:t>
      </w:r>
      <w:r w:rsidRPr="00324588">
        <w:rPr>
          <w:i/>
          <w:iCs/>
          <w:color w:val="000000" w:themeColor="text1"/>
        </w:rPr>
        <w:t>CCNB1</w:t>
      </w:r>
      <w:r w:rsidRPr="00324588">
        <w:rPr>
          <w:color w:val="000000" w:themeColor="text1"/>
        </w:rPr>
        <w:t xml:space="preserve">, and </w:t>
      </w:r>
      <w:r w:rsidRPr="00324588">
        <w:rPr>
          <w:i/>
          <w:iCs/>
          <w:color w:val="000000" w:themeColor="text1"/>
        </w:rPr>
        <w:t>CCNB2</w:t>
      </w:r>
      <w:r w:rsidRPr="00324588">
        <w:rPr>
          <w:color w:val="000000" w:themeColor="text1"/>
        </w:rPr>
        <w:t xml:space="preserve">. </w:t>
      </w:r>
      <w:r w:rsidRPr="00324588">
        <w:rPr>
          <w:b/>
          <w:bCs/>
          <w:color w:val="000000" w:themeColor="text1"/>
        </w:rPr>
        <w:t xml:space="preserve">B </w:t>
      </w:r>
      <w:r w:rsidRPr="00324588">
        <w:rPr>
          <w:color w:val="000000" w:themeColor="text1"/>
        </w:rPr>
        <w:t xml:space="preserve">Kaplan-Meier survival curve representing the overall DFS in the TCGA ACC cohort with low and high expression of </w:t>
      </w:r>
      <w:r w:rsidRPr="00324588">
        <w:rPr>
          <w:i/>
          <w:iCs/>
          <w:color w:val="000000" w:themeColor="text1"/>
        </w:rPr>
        <w:t>CCNA2</w:t>
      </w:r>
      <w:r w:rsidRPr="00324588">
        <w:rPr>
          <w:color w:val="000000" w:themeColor="text1"/>
        </w:rPr>
        <w:t xml:space="preserve">, </w:t>
      </w:r>
      <w:r w:rsidRPr="00324588">
        <w:rPr>
          <w:i/>
          <w:iCs/>
          <w:color w:val="000000" w:themeColor="text1"/>
        </w:rPr>
        <w:t>CCNB1</w:t>
      </w:r>
      <w:r w:rsidRPr="00324588">
        <w:rPr>
          <w:color w:val="000000" w:themeColor="text1"/>
        </w:rPr>
        <w:t xml:space="preserve">, and </w:t>
      </w:r>
      <w:r w:rsidRPr="00324588">
        <w:rPr>
          <w:i/>
          <w:iCs/>
          <w:color w:val="000000" w:themeColor="text1"/>
        </w:rPr>
        <w:t>CCNB2</w:t>
      </w:r>
      <w:r w:rsidRPr="00324588">
        <w:rPr>
          <w:color w:val="000000" w:themeColor="text1"/>
        </w:rPr>
        <w:t>.</w:t>
      </w:r>
      <w:r w:rsidRPr="00324588">
        <w:rPr>
          <w:i/>
          <w:iCs/>
          <w:color w:val="000000" w:themeColor="text1"/>
        </w:rPr>
        <w:t xml:space="preserve"> </w:t>
      </w:r>
      <w:r w:rsidRPr="00324588">
        <w:rPr>
          <w:b/>
          <w:bCs/>
          <w:color w:val="000000" w:themeColor="text1"/>
        </w:rPr>
        <w:t xml:space="preserve">C, D </w:t>
      </w:r>
      <w:r w:rsidRPr="00324588">
        <w:rPr>
          <w:color w:val="000000" w:themeColor="text1"/>
        </w:rPr>
        <w:t xml:space="preserve">Differential mRNA expression of </w:t>
      </w:r>
      <w:r w:rsidRPr="00324588">
        <w:rPr>
          <w:i/>
          <w:iCs/>
          <w:color w:val="000000" w:themeColor="text1"/>
        </w:rPr>
        <w:t>CCNA2</w:t>
      </w:r>
      <w:r w:rsidRPr="00324588">
        <w:rPr>
          <w:color w:val="000000" w:themeColor="text1"/>
        </w:rPr>
        <w:t>,</w:t>
      </w:r>
      <w:r w:rsidRPr="00324588">
        <w:rPr>
          <w:i/>
          <w:iCs/>
          <w:color w:val="000000" w:themeColor="text1"/>
        </w:rPr>
        <w:t xml:space="preserve"> CCNB1, </w:t>
      </w:r>
      <w:r w:rsidRPr="00324588">
        <w:rPr>
          <w:color w:val="000000" w:themeColor="text1"/>
        </w:rPr>
        <w:t xml:space="preserve">and </w:t>
      </w:r>
      <w:r w:rsidRPr="00324588">
        <w:rPr>
          <w:i/>
          <w:iCs/>
          <w:color w:val="000000" w:themeColor="text1"/>
        </w:rPr>
        <w:t>CCNB2</w:t>
      </w:r>
      <w:r w:rsidRPr="00324588">
        <w:rPr>
          <w:color w:val="000000" w:themeColor="text1"/>
        </w:rPr>
        <w:t xml:space="preserve"> by tumor stages and T stage in the TCGA ACC cohort. All data were analyzed by two-tailed unpaired Student’s t-test or one-way ANOVA.</w:t>
      </w:r>
    </w:p>
    <w:p w:rsidR="009113CB" w:rsidRPr="00324588" w:rsidRDefault="009113CB" w:rsidP="009113CB">
      <w:pPr>
        <w:pStyle w:val="Paragraph"/>
        <w:spacing w:line="480" w:lineRule="auto"/>
        <w:ind w:firstLine="0"/>
        <w:rPr>
          <w:color w:val="000000" w:themeColor="text1"/>
        </w:rPr>
      </w:pPr>
      <w:r w:rsidRPr="00324588">
        <w:rPr>
          <w:b/>
          <w:bCs/>
          <w:color w:val="000000" w:themeColor="text1"/>
        </w:rPr>
        <w:t>Supplementary Figure 3. Cyclin E2 is associated with poor prognosis of patients with ACC:</w:t>
      </w:r>
      <w:r w:rsidRPr="00324588">
        <w:rPr>
          <w:color w:val="000000" w:themeColor="text1"/>
        </w:rPr>
        <w:t xml:space="preserve"> </w:t>
      </w:r>
      <w:r w:rsidRPr="00324588">
        <w:rPr>
          <w:b/>
          <w:bCs/>
          <w:color w:val="000000" w:themeColor="text1"/>
        </w:rPr>
        <w:t xml:space="preserve">A, B </w:t>
      </w:r>
      <w:r w:rsidRPr="00324588">
        <w:rPr>
          <w:color w:val="000000" w:themeColor="text1"/>
        </w:rPr>
        <w:t xml:space="preserve">Kaplan-Meier survival curve representing the overall and DFS in the TCGA ACC cohort with high and low </w:t>
      </w:r>
      <w:r w:rsidRPr="00324588">
        <w:rPr>
          <w:i/>
          <w:iCs/>
          <w:color w:val="000000" w:themeColor="text1"/>
        </w:rPr>
        <w:t xml:space="preserve">CCNE2 </w:t>
      </w:r>
      <w:r w:rsidRPr="00324588">
        <w:rPr>
          <w:color w:val="000000" w:themeColor="text1"/>
        </w:rPr>
        <w:t xml:space="preserve">expression. High </w:t>
      </w:r>
      <w:r w:rsidRPr="00324588">
        <w:rPr>
          <w:i/>
          <w:iCs/>
          <w:color w:val="000000" w:themeColor="text1"/>
        </w:rPr>
        <w:t>CCNE2</w:t>
      </w:r>
      <w:r w:rsidRPr="00324588">
        <w:rPr>
          <w:color w:val="000000" w:themeColor="text1"/>
        </w:rPr>
        <w:t xml:space="preserve"> expression (red); low </w:t>
      </w:r>
      <w:r w:rsidRPr="00324588">
        <w:rPr>
          <w:i/>
          <w:iCs/>
          <w:color w:val="000000" w:themeColor="text1"/>
        </w:rPr>
        <w:t>CCNE2</w:t>
      </w:r>
      <w:r w:rsidRPr="00324588">
        <w:rPr>
          <w:color w:val="000000" w:themeColor="text1"/>
        </w:rPr>
        <w:t xml:space="preserve"> expression (blue) (</w:t>
      </w:r>
      <w:r w:rsidRPr="00324588">
        <w:rPr>
          <w:i/>
          <w:iCs/>
          <w:color w:val="000000" w:themeColor="text1"/>
        </w:rPr>
        <w:t>*p</w:t>
      </w:r>
      <w:r w:rsidRPr="00324588">
        <w:rPr>
          <w:color w:val="000000" w:themeColor="text1"/>
        </w:rPr>
        <w:t xml:space="preserve"> &lt; 0.01).</w:t>
      </w:r>
      <w:r w:rsidRPr="00324588">
        <w:rPr>
          <w:b/>
          <w:bCs/>
          <w:color w:val="000000" w:themeColor="text1"/>
        </w:rPr>
        <w:t xml:space="preserve"> C </w:t>
      </w:r>
      <w:r w:rsidRPr="00324588">
        <w:rPr>
          <w:i/>
          <w:iCs/>
          <w:color w:val="000000" w:themeColor="text1"/>
        </w:rPr>
        <w:t>CCNE2</w:t>
      </w:r>
      <w:r w:rsidRPr="00324588">
        <w:rPr>
          <w:color w:val="000000" w:themeColor="text1"/>
        </w:rPr>
        <w:t xml:space="preserve"> expression by stage and T stage in the TCGA ACC cohort (</w:t>
      </w:r>
      <w:r w:rsidRPr="00324588">
        <w:rPr>
          <w:i/>
          <w:iCs/>
          <w:color w:val="000000" w:themeColor="text1"/>
        </w:rPr>
        <w:t>*p</w:t>
      </w:r>
      <w:r w:rsidRPr="00324588">
        <w:rPr>
          <w:color w:val="000000" w:themeColor="text1"/>
        </w:rPr>
        <w:t xml:space="preserve"> &lt; 0.05).</w:t>
      </w:r>
      <w:r w:rsidRPr="00324588">
        <w:rPr>
          <w:b/>
          <w:bCs/>
          <w:color w:val="000000" w:themeColor="text1"/>
        </w:rPr>
        <w:t xml:space="preserve"> </w:t>
      </w:r>
    </w:p>
    <w:p w:rsidR="009113CB" w:rsidRPr="00324588" w:rsidRDefault="009113CB" w:rsidP="009113CB">
      <w:pPr>
        <w:pStyle w:val="Paragraph"/>
        <w:spacing w:line="480" w:lineRule="auto"/>
        <w:ind w:firstLine="0"/>
        <w:rPr>
          <w:color w:val="000000" w:themeColor="text1"/>
        </w:rPr>
      </w:pPr>
      <w:r w:rsidRPr="00324588">
        <w:rPr>
          <w:b/>
          <w:bCs/>
          <w:color w:val="000000" w:themeColor="text1"/>
        </w:rPr>
        <w:t>Supplementary Figure 4. FOXM1 is overexpressed in advanced tumor stage and correlated with poor prognosis of ACC</w:t>
      </w:r>
      <w:r>
        <w:rPr>
          <w:b/>
          <w:bCs/>
          <w:color w:val="000000" w:themeColor="text1"/>
        </w:rPr>
        <w:t xml:space="preserve"> </w:t>
      </w:r>
      <w:r w:rsidRPr="00324588">
        <w:rPr>
          <w:b/>
          <w:bCs/>
          <w:color w:val="000000" w:themeColor="text1"/>
        </w:rPr>
        <w:t xml:space="preserve">patient: A </w:t>
      </w:r>
      <w:r w:rsidRPr="00324588">
        <w:rPr>
          <w:color w:val="000000" w:themeColor="text1"/>
        </w:rPr>
        <w:t xml:space="preserve">mRNA expression of </w:t>
      </w:r>
      <w:r w:rsidRPr="00324588">
        <w:rPr>
          <w:i/>
          <w:iCs/>
          <w:color w:val="000000" w:themeColor="text1"/>
        </w:rPr>
        <w:t xml:space="preserve">FOXM1 </w:t>
      </w:r>
      <w:r w:rsidRPr="00324588">
        <w:rPr>
          <w:color w:val="000000" w:themeColor="text1"/>
        </w:rPr>
        <w:t>in the publicly available data sets GSE33371 (NC vs. ACC, ACA vs. ACC) (</w:t>
      </w:r>
      <w:r w:rsidRPr="00324588">
        <w:rPr>
          <w:i/>
          <w:iCs/>
          <w:color w:val="000000" w:themeColor="text1"/>
        </w:rPr>
        <w:t>p</w:t>
      </w:r>
      <w:r w:rsidRPr="00324588">
        <w:rPr>
          <w:color w:val="000000" w:themeColor="text1"/>
        </w:rPr>
        <w:t xml:space="preserve"> &lt; 0.001) and GSE12368 (NC vs. ACC, ACA vs. ACC) (</w:t>
      </w:r>
      <w:r w:rsidRPr="00324588">
        <w:rPr>
          <w:i/>
          <w:iCs/>
          <w:color w:val="000000" w:themeColor="text1"/>
        </w:rPr>
        <w:t>p</w:t>
      </w:r>
      <w:r w:rsidRPr="00324588">
        <w:rPr>
          <w:color w:val="000000" w:themeColor="text1"/>
        </w:rPr>
        <w:t xml:space="preserve"> &lt; 0.05). </w:t>
      </w:r>
      <w:r w:rsidRPr="00324588">
        <w:rPr>
          <w:b/>
          <w:bCs/>
          <w:color w:val="000000" w:themeColor="text1"/>
        </w:rPr>
        <w:t xml:space="preserve">B, C </w:t>
      </w:r>
      <w:r w:rsidRPr="00324588">
        <w:rPr>
          <w:color w:val="000000" w:themeColor="text1"/>
        </w:rPr>
        <w:t xml:space="preserve">Kaplan-Meier survival curve and DFS curve of patients with ACC, stratified by </w:t>
      </w:r>
      <w:r w:rsidRPr="00324588">
        <w:rPr>
          <w:i/>
          <w:iCs/>
          <w:color w:val="000000" w:themeColor="text1"/>
        </w:rPr>
        <w:t>FOXM1</w:t>
      </w:r>
      <w:r w:rsidRPr="00324588">
        <w:rPr>
          <w:color w:val="000000" w:themeColor="text1"/>
        </w:rPr>
        <w:t xml:space="preserve"> expression level. </w:t>
      </w:r>
      <w:r w:rsidRPr="00324588">
        <w:rPr>
          <w:b/>
          <w:bCs/>
          <w:color w:val="000000" w:themeColor="text1"/>
        </w:rPr>
        <w:t xml:space="preserve">D, E, F </w:t>
      </w:r>
      <w:r w:rsidRPr="00324588">
        <w:rPr>
          <w:color w:val="000000" w:themeColor="text1"/>
        </w:rPr>
        <w:t xml:space="preserve">Differential expression of </w:t>
      </w:r>
      <w:r w:rsidRPr="00324588">
        <w:rPr>
          <w:i/>
          <w:iCs/>
          <w:color w:val="000000" w:themeColor="text1"/>
        </w:rPr>
        <w:t>FOXM1</w:t>
      </w:r>
      <w:r w:rsidRPr="00324588">
        <w:rPr>
          <w:color w:val="000000" w:themeColor="text1"/>
        </w:rPr>
        <w:t xml:space="preserve"> mRNA by stage, tumor grade status, and lymph node status.</w:t>
      </w:r>
    </w:p>
    <w:p w:rsidR="009113CB" w:rsidRPr="00324588" w:rsidRDefault="009113CB" w:rsidP="009113CB">
      <w:pPr>
        <w:pStyle w:val="Paragraph"/>
        <w:spacing w:line="480" w:lineRule="auto"/>
        <w:ind w:firstLine="0"/>
        <w:rPr>
          <w:b/>
          <w:bCs/>
          <w:color w:val="000000" w:themeColor="text1"/>
        </w:rPr>
      </w:pPr>
      <w:r w:rsidRPr="00324588">
        <w:rPr>
          <w:b/>
          <w:bCs/>
          <w:color w:val="000000" w:themeColor="text1"/>
        </w:rPr>
        <w:lastRenderedPageBreak/>
        <w:t xml:space="preserve">Supplementary Figure 5. MELK inhibition affects β-catenin pathway in ACC cells: A </w:t>
      </w:r>
      <w:r w:rsidRPr="00324588">
        <w:rPr>
          <w:color w:val="000000" w:themeColor="text1"/>
        </w:rPr>
        <w:t>SW13 and NCI-H295R cells were treated with OTS167. Expression of MELK in SW13 and NCI-H295R cells treated with OTS167 for 24–72 hours.</w:t>
      </w:r>
      <w:r w:rsidRPr="00324588">
        <w:rPr>
          <w:b/>
          <w:bCs/>
          <w:color w:val="000000" w:themeColor="text1"/>
        </w:rPr>
        <w:t xml:space="preserve"> B </w:t>
      </w:r>
      <w:r w:rsidRPr="00324588">
        <w:rPr>
          <w:color w:val="000000" w:themeColor="text1"/>
        </w:rPr>
        <w:t>Expression of β-catenin, FOXM1, GSK-3β, and Axin 2 in siMELK and siNegative transfected cells.</w:t>
      </w:r>
    </w:p>
    <w:p w:rsidR="00000F57" w:rsidRDefault="009113CB">
      <w:bookmarkStart w:id="0" w:name="_GoBack"/>
      <w:bookmarkEnd w:id="0"/>
    </w:p>
    <w:sectPr w:rsidR="00000F57" w:rsidSect="003624F2">
      <w:footerReference w:type="default" r:id="rId4"/>
      <w:headerReference w:type="first" r:id="rId5"/>
      <w:pgSz w:w="12240" w:h="15840"/>
      <w:pgMar w:top="1440" w:right="1440" w:bottom="1440" w:left="1440" w:header="432" w:footer="72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433184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624F2" w:rsidRDefault="009113C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624F2" w:rsidRDefault="009113C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4657" w:rsidRDefault="009113CB" w:rsidP="004A10BE">
    <w:pPr>
      <w:pStyle w:val="Header"/>
    </w:pPr>
  </w:p>
  <w:p w:rsidR="003B4657" w:rsidRPr="00204015" w:rsidRDefault="009113CB" w:rsidP="004A10BE">
    <w:pPr>
      <w:pStyle w:val="Header"/>
    </w:pPr>
    <w:r>
      <w:tab/>
    </w:r>
  </w:p>
  <w:p w:rsidR="003B4657" w:rsidRDefault="009113CB" w:rsidP="004A10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3CB"/>
    <w:rsid w:val="0007695B"/>
    <w:rsid w:val="005615C6"/>
    <w:rsid w:val="005E078B"/>
    <w:rsid w:val="007D4061"/>
    <w:rsid w:val="008B4EED"/>
    <w:rsid w:val="009113CB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1E4DC0-4837-44A2-94CB-0D7F813A4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3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9113CB"/>
    <w:pPr>
      <w:spacing w:before="120"/>
      <w:ind w:firstLine="720"/>
    </w:pPr>
  </w:style>
  <w:style w:type="paragraph" w:styleId="Footer">
    <w:name w:val="footer"/>
    <w:basedOn w:val="Normal"/>
    <w:link w:val="FooterChar"/>
    <w:uiPriority w:val="99"/>
    <w:rsid w:val="009113CB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113CB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9113CB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113CB"/>
    <w:rPr>
      <w:rFonts w:ascii="Times New Roman" w:eastAsia="Times New Roman" w:hAnsi="Times New Roman" w:cs="Times New Roman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9113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1782</Characters>
  <Application>Microsoft Office Word</Application>
  <DocSecurity>0</DocSecurity>
  <Lines>14</Lines>
  <Paragraphs>4</Paragraphs>
  <ScaleCrop>false</ScaleCrop>
  <Company>Springer Nature IT</Company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2022-05-16T11:45:00Z</dcterms:created>
  <dcterms:modified xsi:type="dcterms:W3CDTF">2022-05-16T11:45:00Z</dcterms:modified>
</cp:coreProperties>
</file>