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C4" w14:textId="352DB964" w:rsidR="00EF273C" w:rsidRDefault="00EF273C" w:rsidP="00EF273C">
      <w:r w:rsidRPr="00275F71">
        <w:rPr>
          <w:b/>
        </w:rPr>
        <w:t>Supplementary Information</w:t>
      </w:r>
      <w:r w:rsidRPr="00F17FF2">
        <w:t xml:space="preserve">: </w:t>
      </w:r>
    </w:p>
    <w:p w14:paraId="08142924" w14:textId="77777777" w:rsidR="00EF273C" w:rsidRPr="00373B07" w:rsidRDefault="00EF273C" w:rsidP="00EF273C">
      <w:pPr>
        <w:pStyle w:val="Title"/>
        <w:rPr>
          <w:rFonts w:ascii="Times New Roman" w:hAnsi="Times New Roman" w:cs="Times New Roman"/>
        </w:rPr>
      </w:pPr>
      <w:proofErr w:type="spellStart"/>
      <w:r w:rsidRPr="00373B07">
        <w:rPr>
          <w:rFonts w:ascii="Times New Roman" w:hAnsi="Times New Roman" w:cs="Times New Roman"/>
        </w:rPr>
        <w:t>ToxTree</w:t>
      </w:r>
      <w:proofErr w:type="spellEnd"/>
      <w:r w:rsidRPr="00373B07">
        <w:rPr>
          <w:rFonts w:ascii="Times New Roman" w:hAnsi="Times New Roman" w:cs="Times New Roman"/>
        </w:rPr>
        <w:t>: Descriptor-based machine learning models to predict hERG and Nav1.5 cardiotoxicity</w:t>
      </w:r>
    </w:p>
    <w:p w14:paraId="087AEFFF" w14:textId="77777777" w:rsidR="00EF273C" w:rsidRPr="00373B07" w:rsidRDefault="00EF273C" w:rsidP="00EF273C">
      <w:pPr>
        <w:spacing w:after="0"/>
        <w:jc w:val="center"/>
        <w:rPr>
          <w:rFonts w:ascii="Times New Roman" w:hAnsi="Times New Roman" w:cs="Times New Roman"/>
        </w:rPr>
      </w:pPr>
    </w:p>
    <w:p w14:paraId="6F55B9AA" w14:textId="77777777" w:rsidR="00EF273C" w:rsidRPr="00373B07" w:rsidRDefault="00EF273C" w:rsidP="00EF273C">
      <w:pPr>
        <w:jc w:val="center"/>
        <w:rPr>
          <w:rFonts w:ascii="Times New Roman" w:hAnsi="Times New Roman" w:cs="Times New Roman"/>
          <w:szCs w:val="24"/>
        </w:rPr>
      </w:pPr>
      <w:r w:rsidRPr="00373B07">
        <w:rPr>
          <w:rFonts w:ascii="Times New Roman" w:hAnsi="Times New Roman" w:cs="Times New Roman"/>
          <w:szCs w:val="24"/>
        </w:rPr>
        <w:t>Issar Arab*</w:t>
      </w:r>
      <w:r w:rsidRPr="00373B07">
        <w:rPr>
          <w:rFonts w:ascii="Times New Roman" w:hAnsi="Times New Roman" w:cs="Times New Roman"/>
          <w:szCs w:val="24"/>
          <w:vertAlign w:val="superscript"/>
        </w:rPr>
        <w:t>1,2</w:t>
      </w:r>
      <w:r w:rsidRPr="00373B07">
        <w:rPr>
          <w:rFonts w:ascii="Times New Roman" w:hAnsi="Times New Roman" w:cs="Times New Roman"/>
          <w:szCs w:val="24"/>
        </w:rPr>
        <w:t>, Daniela Wonneberger</w:t>
      </w:r>
      <w:r w:rsidRPr="00373B07">
        <w:rPr>
          <w:rFonts w:ascii="Times New Roman" w:hAnsi="Times New Roman" w:cs="Times New Roman"/>
          <w:szCs w:val="24"/>
          <w:vertAlign w:val="superscript"/>
        </w:rPr>
        <w:t>2,3</w:t>
      </w:r>
      <w:r w:rsidRPr="00373B07">
        <w:rPr>
          <w:rFonts w:ascii="Times New Roman" w:hAnsi="Times New Roman" w:cs="Times New Roman"/>
          <w:szCs w:val="24"/>
        </w:rPr>
        <w:t xml:space="preserve"> and Khaled Barakat*</w:t>
      </w:r>
      <w:r w:rsidRPr="00373B07">
        <w:rPr>
          <w:rFonts w:ascii="Times New Roman" w:hAnsi="Times New Roman" w:cs="Times New Roman"/>
          <w:szCs w:val="24"/>
          <w:vertAlign w:val="superscript"/>
        </w:rPr>
        <w:t>3</w:t>
      </w:r>
    </w:p>
    <w:p w14:paraId="46C09928" w14:textId="77777777" w:rsidR="00EF273C" w:rsidRPr="00373B07" w:rsidRDefault="00EF273C" w:rsidP="00EF273C">
      <w:pPr>
        <w:rPr>
          <w:rFonts w:ascii="Times New Roman" w:hAnsi="Times New Roman" w:cs="Times New Roman"/>
          <w:szCs w:val="24"/>
          <w:vertAlign w:val="superscript"/>
        </w:rPr>
      </w:pPr>
    </w:p>
    <w:p w14:paraId="65C06AAC" w14:textId="77777777" w:rsidR="00EF273C" w:rsidRPr="00373B07" w:rsidRDefault="00EF273C" w:rsidP="00EF273C">
      <w:pPr>
        <w:rPr>
          <w:rFonts w:ascii="Times New Roman" w:hAnsi="Times New Roman" w:cs="Times New Roman"/>
          <w:szCs w:val="24"/>
        </w:rPr>
      </w:pPr>
      <w:r w:rsidRPr="00373B07">
        <w:rPr>
          <w:rFonts w:ascii="Times New Roman" w:hAnsi="Times New Roman" w:cs="Times New Roman"/>
          <w:szCs w:val="24"/>
          <w:vertAlign w:val="superscript"/>
        </w:rPr>
        <w:t>1</w:t>
      </w:r>
      <w:r w:rsidRPr="00373B07">
        <w:rPr>
          <w:rFonts w:ascii="Times New Roman" w:hAnsi="Times New Roman" w:cs="Times New Roman"/>
          <w:szCs w:val="24"/>
        </w:rPr>
        <w:t xml:space="preserve">Department of Informatics, Technical University of Munich, </w:t>
      </w:r>
      <w:proofErr w:type="spellStart"/>
      <w:r w:rsidRPr="00373B07">
        <w:rPr>
          <w:rFonts w:ascii="Times New Roman" w:hAnsi="Times New Roman" w:cs="Times New Roman"/>
          <w:szCs w:val="24"/>
        </w:rPr>
        <w:t>Garching</w:t>
      </w:r>
      <w:proofErr w:type="spellEnd"/>
      <w:r w:rsidRPr="00373B07">
        <w:rPr>
          <w:rFonts w:ascii="Times New Roman" w:hAnsi="Times New Roman" w:cs="Times New Roman"/>
          <w:szCs w:val="24"/>
        </w:rPr>
        <w:t>, Bavaria 85748, Germany</w:t>
      </w:r>
    </w:p>
    <w:p w14:paraId="21C92BD7" w14:textId="77777777" w:rsidR="00EF273C" w:rsidRPr="00373B07" w:rsidRDefault="00EF273C" w:rsidP="00EF273C">
      <w:pPr>
        <w:rPr>
          <w:rFonts w:ascii="Times New Roman" w:hAnsi="Times New Roman" w:cs="Times New Roman"/>
          <w:szCs w:val="24"/>
        </w:rPr>
      </w:pPr>
      <w:r w:rsidRPr="00373B07">
        <w:rPr>
          <w:rFonts w:ascii="Times New Roman" w:hAnsi="Times New Roman" w:cs="Times New Roman"/>
          <w:szCs w:val="24"/>
          <w:vertAlign w:val="superscript"/>
        </w:rPr>
        <w:t>2</w:t>
      </w:r>
      <w:r w:rsidRPr="00373B07">
        <w:rPr>
          <w:rFonts w:ascii="Times New Roman" w:hAnsi="Times New Roman" w:cs="Times New Roman"/>
          <w:szCs w:val="24"/>
        </w:rPr>
        <w:t xml:space="preserve">Department of Bioinformatics, Technical University of Munich, </w:t>
      </w:r>
      <w:proofErr w:type="spellStart"/>
      <w:r w:rsidRPr="00373B07">
        <w:rPr>
          <w:rFonts w:ascii="Times New Roman" w:hAnsi="Times New Roman" w:cs="Times New Roman"/>
          <w:szCs w:val="24"/>
        </w:rPr>
        <w:t>Garching</w:t>
      </w:r>
      <w:proofErr w:type="spellEnd"/>
      <w:r w:rsidRPr="00373B07">
        <w:rPr>
          <w:rFonts w:ascii="Times New Roman" w:hAnsi="Times New Roman" w:cs="Times New Roman"/>
          <w:szCs w:val="24"/>
        </w:rPr>
        <w:t>, Bavaria 85748, Germany</w:t>
      </w:r>
    </w:p>
    <w:p w14:paraId="3DA3AB66" w14:textId="77777777" w:rsidR="00EF273C" w:rsidRPr="00373B07" w:rsidRDefault="00EF273C" w:rsidP="00EF273C">
      <w:pPr>
        <w:rPr>
          <w:rFonts w:ascii="Times New Roman" w:hAnsi="Times New Roman" w:cs="Times New Roman"/>
          <w:szCs w:val="24"/>
        </w:rPr>
      </w:pPr>
      <w:r w:rsidRPr="00373B07">
        <w:rPr>
          <w:rFonts w:ascii="Times New Roman" w:hAnsi="Times New Roman" w:cs="Times New Roman"/>
          <w:szCs w:val="24"/>
          <w:vertAlign w:val="superscript"/>
        </w:rPr>
        <w:t>3</w:t>
      </w:r>
      <w:r w:rsidRPr="00373B07">
        <w:rPr>
          <w:rFonts w:ascii="Times New Roman" w:hAnsi="Times New Roman" w:cs="Times New Roman"/>
          <w:szCs w:val="24"/>
        </w:rPr>
        <w:t>Faculty of Pharmacy and Pharmaceutical Sciences, University of Alberta, Edmonton, Alberta 8613, Canada</w:t>
      </w:r>
    </w:p>
    <w:p w14:paraId="7E6943D2" w14:textId="28039153" w:rsidR="00EF273C" w:rsidRPr="00EF273C" w:rsidRDefault="00EF273C" w:rsidP="00EF273C">
      <w:pPr>
        <w:rPr>
          <w:b/>
        </w:rPr>
      </w:pPr>
      <w:r w:rsidRPr="00373B07">
        <w:rPr>
          <w:rFonts w:ascii="Times New Roman" w:eastAsia="Times New Roman" w:hAnsi="Times New Roman" w:cs="Times New Roman"/>
          <w:b/>
          <w:szCs w:val="24"/>
        </w:rPr>
        <w:t xml:space="preserve">*Corresponding Authors: </w:t>
      </w:r>
      <w:hyperlink r:id="rId6" w:history="1">
        <w:r w:rsidRPr="00373B07">
          <w:rPr>
            <w:rStyle w:val="Hyperlink"/>
            <w:rFonts w:ascii="Times New Roman" w:eastAsia="Times New Roman" w:hAnsi="Times New Roman" w:cs="Times New Roman"/>
            <w:color w:val="000000" w:themeColor="text1"/>
            <w:szCs w:val="24"/>
            <w:u w:val="none"/>
          </w:rPr>
          <w:t>kbarakat@ualberta.ca</w:t>
        </w:r>
      </w:hyperlink>
      <w:r w:rsidRPr="00373B07">
        <w:rPr>
          <w:rFonts w:ascii="Times New Roman" w:eastAsia="Times New Roman" w:hAnsi="Times New Roman" w:cs="Times New Roman"/>
          <w:color w:val="000000" w:themeColor="text1"/>
          <w:szCs w:val="24"/>
        </w:rPr>
        <w:t xml:space="preserve"> and </w:t>
      </w:r>
      <w:r w:rsidRPr="00373B07">
        <w:rPr>
          <w:rFonts w:ascii="Times New Roman" w:eastAsia="Times New Roman" w:hAnsi="Times New Roman" w:cs="Times New Roman"/>
          <w:color w:val="000000" w:themeColor="text1"/>
          <w:szCs w:val="24"/>
          <w:shd w:val="clear" w:color="auto" w:fill="FFFFFF"/>
          <w:lang w:val="en-CA"/>
        </w:rPr>
        <w:t>issar.arab@tum.de</w:t>
      </w:r>
      <w:bookmarkStart w:id="0" w:name="_GoBack"/>
      <w:bookmarkEnd w:id="0"/>
    </w:p>
    <w:p w14:paraId="73BFD02C" w14:textId="77777777" w:rsidR="00EF273C" w:rsidRPr="0030373E" w:rsidRDefault="00EF273C" w:rsidP="00EF273C">
      <w:pPr>
        <w:pStyle w:val="Heading1"/>
      </w:pPr>
      <w:r w:rsidRPr="0030373E">
        <w:t>hERG Data Collection and Curation</w:t>
      </w:r>
    </w:p>
    <w:p w14:paraId="20A21C20" w14:textId="77777777" w:rsidR="00EF273C" w:rsidRDefault="00EF273C" w:rsidP="00EF273C">
      <w:pPr>
        <w:rPr>
          <w:lang w:val="en-US"/>
        </w:rPr>
      </w:pPr>
      <w:r w:rsidRPr="00724C26">
        <w:rPr>
          <w:lang w:val="en-US"/>
        </w:rPr>
        <w:t>As a first step to further clean the data, an exact duplicate analysis of the SMILE strings showed that a subset of 23 unique molecular compounds had exact duplicate matches</w:t>
      </w:r>
      <w:r>
        <w:rPr>
          <w:lang w:val="en-US"/>
        </w:rPr>
        <w:t>.</w:t>
      </w:r>
      <w:r w:rsidRPr="00724C26">
        <w:rPr>
          <w:lang w:val="en-US"/>
        </w:rPr>
        <w:t xml:space="preserve"> </w:t>
      </w:r>
      <w:r>
        <w:rPr>
          <w:lang w:val="en-US"/>
        </w:rPr>
        <w:t>A</w:t>
      </w:r>
      <w:r w:rsidRPr="00724C26">
        <w:rPr>
          <w:lang w:val="en-US"/>
        </w:rPr>
        <w:t xml:space="preserve">ll </w:t>
      </w:r>
      <w:r>
        <w:rPr>
          <w:lang w:val="en-US"/>
        </w:rPr>
        <w:t xml:space="preserve">of </w:t>
      </w:r>
      <w:r w:rsidRPr="00724C26">
        <w:rPr>
          <w:lang w:val="en-US"/>
        </w:rPr>
        <w:t>the</w:t>
      </w:r>
      <w:r>
        <w:rPr>
          <w:lang w:val="en-US"/>
        </w:rPr>
        <w:t>se duplicates</w:t>
      </w:r>
      <w:r w:rsidRPr="00724C26">
        <w:rPr>
          <w:lang w:val="en-US"/>
        </w:rPr>
        <w:t xml:space="preserve"> were in the </w:t>
      </w:r>
      <w:r>
        <w:rPr>
          <w:lang w:val="en-US"/>
        </w:rPr>
        <w:t xml:space="preserve">training </w:t>
      </w:r>
      <w:r w:rsidRPr="00724C26">
        <w:rPr>
          <w:lang w:val="en-US"/>
        </w:rPr>
        <w:t>set</w:t>
      </w:r>
      <w:r>
        <w:rPr>
          <w:lang w:val="en-US"/>
        </w:rPr>
        <w:t xml:space="preserve"> as mentioned by</w:t>
      </w:r>
      <w:r w:rsidRPr="00724C26">
        <w:rPr>
          <w:lang w:val="en-US"/>
        </w:rPr>
        <w:t xml:space="preserve"> Kumar et al. [6]</w:t>
      </w:r>
      <w:r>
        <w:rPr>
          <w:lang w:val="en-US"/>
        </w:rPr>
        <w:t>, used to train their published model</w:t>
      </w:r>
      <w:r w:rsidRPr="00724C26">
        <w:rPr>
          <w:lang w:val="en-US"/>
        </w:rPr>
        <w:t xml:space="preserve">. Most of the time, those duplicates had different potencies leading to the assignment of the same compound to different classes, which introduced noise to the data. For duplicates falling in the same class, we kept a unique SMILE string and reassigned the potency to the average among its duplicates. In case the potencies were too far, </w:t>
      </w:r>
      <w:r w:rsidRPr="00724C26">
        <w:rPr>
          <w:lang w:val="en-US"/>
        </w:rPr>
        <w:lastRenderedPageBreak/>
        <w:t>i.e. they map to different classes, we discarded the compound. This led to a reduced set of 9178 instances. Furthermore, and using the PubChem’s ID exchange service</w:t>
      </w:r>
      <w:r w:rsidRPr="00724C26">
        <w:rPr>
          <w:rStyle w:val="FootnoteReference"/>
          <w:rFonts w:ascii="Times New Roman" w:hAnsi="Times New Roman" w:cs="Times New Roman"/>
          <w:sz w:val="20"/>
          <w:szCs w:val="20"/>
          <w:lang w:val="en-US"/>
        </w:rPr>
        <w:footnoteReference w:id="1"/>
      </w:r>
      <w:r w:rsidRPr="00724C26">
        <w:rPr>
          <w:lang w:val="en-US"/>
        </w:rPr>
        <w:t xml:space="preserve">, we fed the entire cleaned set of SMILE strings to the server. The output results showed that a subset of 596 compounds </w:t>
      </w:r>
      <w:r>
        <w:rPr>
          <w:lang w:val="en-US"/>
        </w:rPr>
        <w:t>contained</w:t>
      </w:r>
      <w:r w:rsidRPr="00724C26">
        <w:rPr>
          <w:lang w:val="en-US"/>
        </w:rPr>
        <w:t xml:space="preserve"> duplicate entries mapping to the same CID. Out of the 277 compounds retrieved from PubChem and used for evaluation purposes by Kumar and his colleagues, 226 compounds were identified having duplicates in the training set. Second, out of the 222 compounds fetched from the literature and used as well in the test set, 7 were identified having duplicates in the training set. Third, 67 compounds in the training set had duplicate entries in the same set. In our second curation process, we removed all the duplicates from the training set (i.e. compounds retrieved from ChEMBL) and kept their corresponding unique ones in the test set. Concerning the duplicates within the training set, we followed the same manual curation procedure done in the first investigation step.</w:t>
      </w:r>
      <w:r>
        <w:rPr>
          <w:lang w:val="en-US"/>
        </w:rPr>
        <w:t xml:space="preserve"> The final dataset includes 8380 instances for development (</w:t>
      </w:r>
      <m:oMath>
        <m:sSub>
          <m:sSubPr>
            <m:ctrlPr>
              <w:rPr>
                <w:rFonts w:ascii="Cambria Math" w:hAnsi="Cambria Math"/>
                <w:i/>
                <w:szCs w:val="24"/>
                <w:lang w:val="en-US"/>
              </w:rPr>
            </m:ctrlPr>
          </m:sSubPr>
          <m:e>
            <m:r>
              <w:rPr>
                <w:rFonts w:ascii="Cambria Math" w:hAnsi="Cambria Math"/>
                <w:szCs w:val="24"/>
                <w:lang w:val="en-US"/>
              </w:rPr>
              <m:t>PIC</m:t>
            </m:r>
          </m:e>
          <m:sub>
            <m:r>
              <w:rPr>
                <w:rFonts w:ascii="Cambria Math" w:hAnsi="Cambria Math"/>
                <w:szCs w:val="24"/>
                <w:lang w:val="en-US"/>
              </w:rPr>
              <m:t>50</m:t>
            </m:r>
          </m:sub>
        </m:sSub>
      </m:oMath>
      <w:r>
        <w:rPr>
          <w:lang w:val="en-US"/>
        </w:rPr>
        <w:t xml:space="preserve"> distribution is visualized Fig, S</w:t>
      </w:r>
      <w:proofErr w:type="gramStart"/>
      <w:r>
        <w:rPr>
          <w:lang w:val="en-US"/>
        </w:rPr>
        <w:t>1.a</w:t>
      </w:r>
      <w:proofErr w:type="gramEnd"/>
      <w:r>
        <w:rPr>
          <w:lang w:val="en-US"/>
        </w:rPr>
        <w:t>), and 499 instances used for testing (</w:t>
      </w:r>
      <m:oMath>
        <m:sSub>
          <m:sSubPr>
            <m:ctrlPr>
              <w:rPr>
                <w:rFonts w:ascii="Cambria Math" w:hAnsi="Cambria Math"/>
                <w:i/>
                <w:szCs w:val="24"/>
                <w:lang w:val="en-US"/>
              </w:rPr>
            </m:ctrlPr>
          </m:sSubPr>
          <m:e>
            <m:r>
              <w:rPr>
                <w:rFonts w:ascii="Cambria Math" w:hAnsi="Cambria Math"/>
                <w:szCs w:val="24"/>
                <w:lang w:val="en-US"/>
              </w:rPr>
              <m:t>PIC</m:t>
            </m:r>
          </m:e>
          <m:sub>
            <m:r>
              <w:rPr>
                <w:rFonts w:ascii="Cambria Math" w:hAnsi="Cambria Math"/>
                <w:szCs w:val="24"/>
                <w:lang w:val="en-US"/>
              </w:rPr>
              <m:t>50</m:t>
            </m:r>
          </m:sub>
        </m:sSub>
      </m:oMath>
      <w:r>
        <w:rPr>
          <w:lang w:val="en-US"/>
        </w:rPr>
        <w:t xml:space="preserve"> distribution is visualized Fig, S1.b) [68].</w:t>
      </w:r>
    </w:p>
    <w:p w14:paraId="061DC016" w14:textId="77777777" w:rsidR="00EF273C" w:rsidRPr="0030373E" w:rsidRDefault="00EF273C" w:rsidP="00EF273C">
      <w:pPr>
        <w:tabs>
          <w:tab w:val="center" w:pos="4107"/>
        </w:tabs>
        <w:spacing w:after="0"/>
      </w:pPr>
      <w:r>
        <w:t>(a)</w:t>
      </w:r>
      <w:r>
        <w:tab/>
        <w:t>(b)</w:t>
      </w:r>
    </w:p>
    <w:p w14:paraId="3E5EB1E8" w14:textId="77777777" w:rsidR="00EF273C" w:rsidRPr="00405EDF" w:rsidRDefault="00EF273C" w:rsidP="00EF273C">
      <w:pPr>
        <w:spacing w:after="0"/>
        <w:rPr>
          <w:lang w:val="en-US"/>
        </w:rPr>
      </w:pPr>
      <w:r>
        <w:rPr>
          <w:noProof/>
        </w:rPr>
        <w:drawing>
          <wp:inline distT="0" distB="0" distL="0" distR="0" wp14:anchorId="3779F406" wp14:editId="5C936451">
            <wp:extent cx="2592855" cy="166584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60512" cy="1709317"/>
                    </a:xfrm>
                    <a:prstGeom prst="rect">
                      <a:avLst/>
                    </a:prstGeom>
                  </pic:spPr>
                </pic:pic>
              </a:graphicData>
            </a:graphic>
          </wp:inline>
        </w:drawing>
      </w:r>
      <w:r>
        <w:rPr>
          <w:noProof/>
        </w:rPr>
        <w:drawing>
          <wp:inline distT="0" distB="0" distL="0" distR="0" wp14:anchorId="1D7C64F9" wp14:editId="483A6D5D">
            <wp:extent cx="2524369" cy="1667718"/>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23019" cy="1732891"/>
                    </a:xfrm>
                    <a:prstGeom prst="rect">
                      <a:avLst/>
                    </a:prstGeom>
                  </pic:spPr>
                </pic:pic>
              </a:graphicData>
            </a:graphic>
          </wp:inline>
        </w:drawing>
      </w:r>
    </w:p>
    <w:p w14:paraId="51DBE7AC" w14:textId="77777777" w:rsidR="00EF273C" w:rsidRPr="00405EDF" w:rsidRDefault="00EF273C" w:rsidP="00EF273C">
      <w:pPr>
        <w:rPr>
          <w:lang w:val="en-US"/>
        </w:rPr>
      </w:pPr>
      <w:r w:rsidRPr="00405EDF">
        <w:rPr>
          <w:b/>
          <w:lang w:val="en-US"/>
        </w:rPr>
        <w:t>Figure S1:</w:t>
      </w:r>
      <w:r w:rsidRPr="00405EDF">
        <w:rPr>
          <w:lang w:val="en-US"/>
        </w:rPr>
        <w:t xml:space="preserve">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oMath>
      <w:r w:rsidRPr="00405EDF">
        <w:rPr>
          <w:rFonts w:eastAsiaTheme="minorEastAsia"/>
          <w:lang w:val="en-US"/>
        </w:rPr>
        <w:t xml:space="preserve"> </w:t>
      </w:r>
      <w:r w:rsidRPr="00405EDF">
        <w:rPr>
          <w:lang w:val="en-US"/>
        </w:rPr>
        <w:t>distribution of the (a) training and (b) test hERG liability dataset</w:t>
      </w:r>
    </w:p>
    <w:p w14:paraId="7C539BE1" w14:textId="77777777" w:rsidR="00EF273C" w:rsidRPr="00964B16" w:rsidRDefault="00EF273C" w:rsidP="00EF273C">
      <w:pPr>
        <w:pStyle w:val="Heading1"/>
      </w:pPr>
      <w:r w:rsidRPr="00964B16">
        <w:lastRenderedPageBreak/>
        <w:t>Nav1.5 Data Collection and Curation</w:t>
      </w:r>
    </w:p>
    <w:p w14:paraId="2E90043F" w14:textId="77777777" w:rsidR="00EF273C" w:rsidRDefault="00EF273C" w:rsidP="00EF273C">
      <w:pPr>
        <w:ind w:firstLine="284"/>
      </w:pPr>
      <w:r>
        <w:rPr>
          <w:lang w:val="en-US"/>
        </w:rPr>
        <w:t xml:space="preserve">For redundancy reduction, we noticed that many redundant molecular compounds were reporting assays conducted on 2 cell types: </w:t>
      </w:r>
      <w:r w:rsidRPr="00142AC8">
        <w:rPr>
          <w:lang w:val="en-US"/>
        </w:rPr>
        <w:t>Chinese Hamster Ovary (CHO) K1</w:t>
      </w:r>
      <w:r>
        <w:rPr>
          <w:lang w:val="en-US"/>
        </w:rPr>
        <w:t xml:space="preserve"> and </w:t>
      </w:r>
      <w:r w:rsidRPr="00142AC8">
        <w:rPr>
          <w:lang w:val="en-US"/>
        </w:rPr>
        <w:t>HEK293 cells</w:t>
      </w:r>
      <w:r>
        <w:rPr>
          <w:lang w:val="en-US"/>
        </w:rPr>
        <w:t xml:space="preserve">. Since potency values on the two cells were too different from each other, we performed a count analysis of the most dominant cells used in the Nav1.5 inhibition assays to choose which one to consider. On the original retrieved dataset, the count represented 1078 for HEK293 and 181 for CHO. Hence, only assays on HEK293 cells were considered in case of redundancy. If we still have more than one potency value reported on the same compound, we discarded the compound from any further analysis if the values difference is greater by more than one order of magnitude. Otherwise, the mean was computed and assigned. At the end of the curation process, we ended up with </w:t>
      </w:r>
      <w:r w:rsidRPr="00CD3EEF">
        <w:t xml:space="preserve">1463 unique records with reported </w:t>
      </w:r>
      <m:oMath>
        <m:sSub>
          <m:sSubPr>
            <m:ctrlPr>
              <w:rPr>
                <w:rFonts w:ascii="Cambria Math" w:hAnsi="Cambria Math"/>
                <w:i/>
                <w:lang w:val="en-US"/>
              </w:rPr>
            </m:ctrlPr>
          </m:sSubPr>
          <m:e>
            <m:r>
              <w:rPr>
                <w:rFonts w:ascii="Cambria Math" w:hAnsi="Cambria Math"/>
                <w:lang w:val="en-US"/>
              </w:rPr>
              <m:t>IC</m:t>
            </m:r>
          </m:e>
          <m:sub>
            <m:r>
              <w:rPr>
                <w:rFonts w:ascii="Cambria Math" w:hAnsi="Cambria Math"/>
                <w:lang w:val="en-US"/>
              </w:rPr>
              <m:t>50</m:t>
            </m:r>
          </m:sub>
        </m:sSub>
      </m:oMath>
      <w:r>
        <w:t xml:space="preserve"> value</w:t>
      </w:r>
      <w:r w:rsidRPr="00CD3EEF">
        <w:t xml:space="preserve"> through assays</w:t>
      </w:r>
      <w:r>
        <w:t xml:space="preserve">. Furthermore, we compared the final set we obtained with the curated ChEMBL v25 set based on 100% similarity of the compounds’ SMILE strings. We compiled 18 exact similar compounds in both sets. Since we believe that ChEMBL database is better maintained, we wanted to keep </w:t>
      </w:r>
      <w:r w:rsidRPr="00964B16">
        <w:t xml:space="preserve">entries retrieved from this database and discard the others. Therefore, we removed those 18 duplicates from PubChem curated set and kept them in ChEMBL v25 one. The final sets represent 1646 (Fig. S2) and 1437 (Fig. S3) unique compounds for ChEMBL v25 and PubChem respectively. All </w:t>
      </w:r>
      <m:oMath>
        <m:sSub>
          <m:sSubPr>
            <m:ctrlPr>
              <w:rPr>
                <w:rFonts w:ascii="Cambria Math" w:hAnsi="Cambria Math"/>
                <w:lang w:val="en-US"/>
              </w:rPr>
            </m:ctrlPr>
          </m:sSubPr>
          <m:e>
            <m:r>
              <w:rPr>
                <w:rFonts w:ascii="Cambria Math" w:hAnsi="Cambria Math"/>
              </w:rPr>
              <m:t>IC</m:t>
            </m:r>
          </m:e>
          <m:sub>
            <m:r>
              <w:rPr>
                <w:rFonts w:ascii="Cambria Math" w:hAnsi="Cambria Math"/>
              </w:rPr>
              <m:t>50</m:t>
            </m:r>
          </m:sub>
        </m:sSub>
      </m:oMath>
      <w:r w:rsidRPr="00964B16">
        <w:t xml:space="preserve"> values were normalized to </w:t>
      </w:r>
      <m:oMath>
        <m:sSub>
          <m:sSubPr>
            <m:ctrlPr>
              <w:rPr>
                <w:rFonts w:ascii="Cambria Math" w:hAnsi="Cambria Math"/>
                <w:lang w:val="en-US"/>
              </w:rPr>
            </m:ctrlPr>
          </m:sSubPr>
          <m:e>
            <m:r>
              <w:rPr>
                <w:rFonts w:ascii="Cambria Math" w:hAnsi="Cambria Math"/>
              </w:rPr>
              <m:t>PIC</m:t>
            </m:r>
          </m:e>
          <m:sub>
            <m:r>
              <w:rPr>
                <w:rFonts w:ascii="Cambria Math" w:hAnsi="Cambria Math"/>
              </w:rPr>
              <m:t>50</m:t>
            </m:r>
          </m:sub>
        </m:sSub>
      </m:oMath>
      <w:r w:rsidRPr="00964B16">
        <w:t xml:space="preserve"> values.</w:t>
      </w:r>
    </w:p>
    <w:p w14:paraId="65FFA1F4" w14:textId="77777777" w:rsidR="00EF273C" w:rsidRPr="00FA78D4" w:rsidRDefault="00EF273C" w:rsidP="00EF273C">
      <w:pPr>
        <w:ind w:firstLine="284"/>
        <w:rPr>
          <w:rFonts w:ascii="Times New Roman" w:eastAsiaTheme="minorEastAsia" w:hAnsi="Times New Roman" w:cs="Times New Roman"/>
          <w:sz w:val="20"/>
          <w:szCs w:val="20"/>
          <w:lang w:val="en-US"/>
        </w:rPr>
      </w:pPr>
    </w:p>
    <w:p w14:paraId="1AF4E8E8" w14:textId="77777777" w:rsidR="00EF273C" w:rsidRDefault="00EF273C" w:rsidP="00EF273C">
      <w:pPr>
        <w:jc w:val="center"/>
        <w:rPr>
          <w:rFonts w:ascii="Times New Roman" w:eastAsiaTheme="minorEastAsia" w:hAnsi="Times New Roman" w:cs="Times New Roman"/>
          <w:szCs w:val="24"/>
          <w:lang w:val="en-US"/>
        </w:rPr>
        <w:sectPr w:rsidR="00EF273C" w:rsidSect="00ED325E">
          <w:pgSz w:w="11906" w:h="16838"/>
          <w:pgMar w:top="1440" w:right="1894" w:bottom="1440" w:left="1797" w:header="709" w:footer="709" w:gutter="0"/>
          <w:cols w:space="708"/>
          <w:docGrid w:linePitch="360"/>
        </w:sectPr>
      </w:pPr>
    </w:p>
    <w:p w14:paraId="4097C8E6" w14:textId="77777777" w:rsidR="00EF273C" w:rsidRPr="005D3486" w:rsidRDefault="00EF273C" w:rsidP="00EF273C">
      <w:pPr>
        <w:jc w:val="center"/>
        <w:rPr>
          <w:rFonts w:ascii="Times New Roman" w:hAnsi="Times New Roman" w:cs="Times New Roman"/>
          <w:sz w:val="20"/>
          <w:szCs w:val="24"/>
          <w:lang w:val="en-US"/>
        </w:rPr>
      </w:pPr>
      <w:r>
        <w:rPr>
          <w:noProof/>
        </w:rPr>
        <w:lastRenderedPageBreak/>
        <w:drawing>
          <wp:inline distT="0" distB="0" distL="0" distR="0" wp14:anchorId="04825883" wp14:editId="178A5742">
            <wp:extent cx="2560004" cy="1700530"/>
            <wp:effectExtent l="0" t="0" r="571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62232" cy="1702010"/>
                    </a:xfrm>
                    <a:prstGeom prst="rect">
                      <a:avLst/>
                    </a:prstGeom>
                    <a:noFill/>
                    <a:ln>
                      <a:noFill/>
                    </a:ln>
                  </pic:spPr>
                </pic:pic>
              </a:graphicData>
            </a:graphic>
          </wp:inline>
        </w:drawing>
      </w:r>
      <w:r w:rsidRPr="00D77478">
        <w:rPr>
          <w:b/>
          <w:bCs/>
        </w:rPr>
        <w:t>Figure S2:</w:t>
      </w:r>
      <w:r w:rsidRPr="00D77478">
        <w:t xml:space="preserve"> </w:t>
      </w:r>
      <m:oMath>
        <m:sSub>
          <m:sSubPr>
            <m:ctrlPr>
              <w:rPr>
                <w:rFonts w:ascii="Cambria Math" w:hAnsi="Cambria Math"/>
                <w:lang w:val="en-US"/>
              </w:rPr>
            </m:ctrlPr>
          </m:sSubPr>
          <m:e>
            <m:r>
              <w:rPr>
                <w:rFonts w:ascii="Cambria Math" w:hAnsi="Cambria Math"/>
              </w:rPr>
              <m:t>PIC</m:t>
            </m:r>
          </m:e>
          <m:sub>
            <m:r>
              <w:rPr>
                <w:rFonts w:ascii="Cambria Math" w:hAnsi="Cambria Math"/>
              </w:rPr>
              <m:t>50</m:t>
            </m:r>
          </m:sub>
        </m:sSub>
      </m:oMath>
      <w:r w:rsidRPr="00D77478">
        <w:t xml:space="preserve"> distribution of ChEMBL v25 curated Nav1.5 liability dataset</w:t>
      </w:r>
    </w:p>
    <w:p w14:paraId="1A02F760" w14:textId="77777777" w:rsidR="00EF273C" w:rsidRPr="00D77478" w:rsidRDefault="00EF273C" w:rsidP="00EF273C">
      <w:pPr>
        <w:jc w:val="center"/>
        <w:sectPr w:rsidR="00EF273C" w:rsidRPr="00D77478" w:rsidSect="001879C9">
          <w:type w:val="continuous"/>
          <w:pgSz w:w="11906" w:h="16838"/>
          <w:pgMar w:top="1440" w:right="1894" w:bottom="1440" w:left="1797" w:header="709" w:footer="709" w:gutter="0"/>
          <w:cols w:num="2" w:space="708"/>
          <w:docGrid w:linePitch="360"/>
        </w:sectPr>
      </w:pPr>
      <w:r>
        <w:rPr>
          <w:noProof/>
        </w:rPr>
        <w:drawing>
          <wp:inline distT="0" distB="0" distL="0" distR="0" wp14:anchorId="31424543" wp14:editId="5667DD5A">
            <wp:extent cx="2574068" cy="1700711"/>
            <wp:effectExtent l="0" t="0" r="4445"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88333" cy="1842278"/>
                    </a:xfrm>
                    <a:prstGeom prst="rect">
                      <a:avLst/>
                    </a:prstGeom>
                    <a:noFill/>
                    <a:ln>
                      <a:noFill/>
                    </a:ln>
                  </pic:spPr>
                </pic:pic>
              </a:graphicData>
            </a:graphic>
          </wp:inline>
        </w:drawing>
      </w:r>
      <w:r w:rsidRPr="00D77478">
        <w:rPr>
          <w:b/>
          <w:bCs/>
        </w:rPr>
        <w:t>Figure S3:</w:t>
      </w:r>
      <w:r w:rsidRPr="00D77478">
        <w:t xml:space="preserve"> </w:t>
      </w:r>
      <m:oMath>
        <m:sSub>
          <m:sSubPr>
            <m:ctrlPr>
              <w:rPr>
                <w:rFonts w:ascii="Cambria Math" w:hAnsi="Cambria Math"/>
                <w:lang w:val="en-US"/>
              </w:rPr>
            </m:ctrlPr>
          </m:sSubPr>
          <m:e>
            <m:r>
              <w:rPr>
                <w:rFonts w:ascii="Cambria Math" w:hAnsi="Cambria Math"/>
              </w:rPr>
              <m:t>PIC</m:t>
            </m:r>
          </m:e>
          <m:sub>
            <m:r>
              <w:rPr>
                <w:rFonts w:ascii="Cambria Math" w:hAnsi="Cambria Math"/>
              </w:rPr>
              <m:t>50</m:t>
            </m:r>
          </m:sub>
        </m:sSub>
      </m:oMath>
      <w:r w:rsidRPr="00D77478">
        <w:t xml:space="preserve"> distribution in PubChem curated Nav1.5 liability dataset</w:t>
      </w:r>
    </w:p>
    <w:p w14:paraId="7ED8CCDA" w14:textId="77777777" w:rsidR="00EF273C" w:rsidRDefault="00EF273C" w:rsidP="00EF273C">
      <w:pPr>
        <w:rPr>
          <w:rFonts w:eastAsiaTheme="minorEastAsia"/>
          <w:lang w:val="en-US"/>
        </w:rPr>
      </w:pPr>
      <w:r>
        <w:rPr>
          <w:lang w:val="en-US"/>
        </w:rPr>
        <w:t>The final goal</w:t>
      </w:r>
      <w:r w:rsidRPr="00F364FB">
        <w:rPr>
          <w:lang w:val="en-US"/>
        </w:rPr>
        <w:t xml:space="preserve"> of this work </w:t>
      </w:r>
      <w:r>
        <w:rPr>
          <w:lang w:val="en-US"/>
        </w:rPr>
        <w:t>was</w:t>
      </w:r>
      <w:r w:rsidRPr="00F364FB">
        <w:rPr>
          <w:lang w:val="en-US"/>
        </w:rPr>
        <w:t xml:space="preserve"> to be able to classify </w:t>
      </w:r>
      <w:r>
        <w:rPr>
          <w:lang w:val="en-US"/>
        </w:rPr>
        <w:t xml:space="preserve">Nav1.5 blockers and non-blockers. For the blocking molecular compounds, we wanted to achieve a multiclass classification at three intensity levels: strong, moderate, and weak blockers at three potency thresholds, namely at a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oMath>
      <w:r>
        <w:rPr>
          <w:lang w:val="en-US"/>
        </w:rPr>
        <w:t xml:space="preserve"> value of 6, 5, and 4.5 respectively.</w:t>
      </w:r>
      <w:r w:rsidRPr="00C46BC3">
        <w:rPr>
          <w:color w:val="00B050"/>
          <w:lang w:val="en-US"/>
        </w:rPr>
        <w:t xml:space="preserve"> </w:t>
      </w:r>
      <w:r>
        <w:rPr>
          <w:lang w:val="en-US"/>
        </w:rPr>
        <w:t xml:space="preserve">An analysis of </w:t>
      </w:r>
      <w:r w:rsidRPr="00437062">
        <w:rPr>
          <w:lang w:val="en-US"/>
        </w:rPr>
        <w:t xml:space="preserve">the ChEMBL </w:t>
      </w:r>
      <w:r>
        <w:rPr>
          <w:lang w:val="en-US"/>
        </w:rPr>
        <w:t xml:space="preserve">retrieved </w:t>
      </w:r>
      <w:r w:rsidRPr="00437062">
        <w:rPr>
          <w:lang w:val="en-US"/>
        </w:rPr>
        <w:t xml:space="preserve">set </w:t>
      </w:r>
      <w:r>
        <w:rPr>
          <w:lang w:val="en-US"/>
        </w:rPr>
        <w:t xml:space="preserve">conveyed that out of 1646 instances, only 86 compounds had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r>
          <w:rPr>
            <w:rFonts w:ascii="Cambria Math" w:eastAsiaTheme="minorEastAsia" w:hAnsi="Cambria Math"/>
            <w:lang w:val="en-US"/>
          </w:rPr>
          <m:t>&lt;</m:t>
        </m:r>
      </m:oMath>
      <w:r>
        <w:rPr>
          <w:rFonts w:eastAsiaTheme="minorEastAsia"/>
          <w:lang w:val="en-US"/>
        </w:rPr>
        <w:t xml:space="preserve"> 4.5 (for non-blockers) and 170 compounds with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r>
          <w:rPr>
            <w:rFonts w:ascii="Cambria Math" w:eastAsiaTheme="minorEastAsia" w:hAnsi="Cambria Math"/>
            <w:lang w:val="en-US"/>
          </w:rPr>
          <m:t>≥</m:t>
        </m:r>
      </m:oMath>
      <w:r>
        <w:rPr>
          <w:rFonts w:eastAsiaTheme="minorEastAsia"/>
          <w:lang w:val="en-US"/>
        </w:rPr>
        <w:t xml:space="preserve"> 6 (for strong blockers). Whereas, the 1437 PubChem curated set comprised of </w:t>
      </w:r>
      <w:r>
        <w:rPr>
          <w:lang w:val="en-US"/>
        </w:rPr>
        <w:t xml:space="preserve">88 compounds with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r>
          <w:rPr>
            <w:rFonts w:ascii="Cambria Math" w:eastAsiaTheme="minorEastAsia" w:hAnsi="Cambria Math"/>
            <w:lang w:val="en-US"/>
          </w:rPr>
          <m:t>&lt;</m:t>
        </m:r>
      </m:oMath>
      <w:r>
        <w:rPr>
          <w:rFonts w:eastAsiaTheme="minorEastAsia"/>
          <w:lang w:val="en-US"/>
        </w:rPr>
        <w:t xml:space="preserve"> 4.5 (for non-blockers) and 145 compounds with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r>
          <w:rPr>
            <w:rFonts w:ascii="Cambria Math" w:eastAsiaTheme="minorEastAsia" w:hAnsi="Cambria Math"/>
            <w:lang w:val="en-US"/>
          </w:rPr>
          <m:t>≥</m:t>
        </m:r>
      </m:oMath>
      <w:r>
        <w:rPr>
          <w:rFonts w:eastAsiaTheme="minorEastAsia"/>
          <w:lang w:val="en-US"/>
        </w:rPr>
        <w:t xml:space="preserve"> 6 (for strong blockers). </w:t>
      </w:r>
    </w:p>
    <w:p w14:paraId="5E37C320" w14:textId="77777777" w:rsidR="00EF273C" w:rsidRDefault="00EF273C" w:rsidP="00EF273C">
      <w:pPr>
        <w:rPr>
          <w:color w:val="FF0000"/>
          <w:lang w:val="en-US"/>
        </w:rPr>
      </w:pPr>
      <w:r w:rsidRPr="00FA78D4">
        <w:rPr>
          <w:rFonts w:eastAsiaTheme="minorEastAsia"/>
          <w:lang w:val="en-US"/>
        </w:rPr>
        <w:t xml:space="preserve">To augment our dataset, especially for the minority classes, we appended all the 88 non-blockers and the 145 strong blockers from PubChem to the cleaned ChEMBL set. Before moving to the model development phase, we fed the gathered set of SMILE strings to the </w:t>
      </w:r>
      <w:r w:rsidRPr="00FA78D4">
        <w:rPr>
          <w:lang w:val="en-US"/>
        </w:rPr>
        <w:t xml:space="preserve">PubChem’s ID exchange service, in order to check for potential duplicate compounds that have different SMILE representations, yet similar in structure. The redundancy reduction procedure reduced the gathered data by 156 instances, to leave us with a final high-quality set of 1723 compounds. </w:t>
      </w:r>
      <w:r w:rsidRPr="00FA78D4">
        <w:rPr>
          <w:lang w:val="en-US"/>
        </w:rPr>
        <w:lastRenderedPageBreak/>
        <w:t xml:space="preserve">We then applied a stratified split based on the 4 classes previously explained to select 10% (173 molecular compounds) for evaluation and 90% (1550 molecular compounds) for development. </w:t>
      </w:r>
      <w:r>
        <w:rPr>
          <w:lang w:val="en-US"/>
        </w:rPr>
        <w:t>The final dataset includes 1550 instances for development (</w:t>
      </w:r>
      <m:oMath>
        <m:sSub>
          <m:sSubPr>
            <m:ctrlPr>
              <w:rPr>
                <w:rFonts w:ascii="Cambria Math" w:hAnsi="Cambria Math"/>
                <w:i/>
                <w:szCs w:val="24"/>
                <w:lang w:val="en-US"/>
              </w:rPr>
            </m:ctrlPr>
          </m:sSubPr>
          <m:e>
            <m:r>
              <w:rPr>
                <w:rFonts w:ascii="Cambria Math" w:hAnsi="Cambria Math"/>
                <w:szCs w:val="24"/>
                <w:lang w:val="en-US"/>
              </w:rPr>
              <m:t>PIC</m:t>
            </m:r>
          </m:e>
          <m:sub>
            <m:r>
              <w:rPr>
                <w:rFonts w:ascii="Cambria Math" w:hAnsi="Cambria Math"/>
                <w:szCs w:val="24"/>
                <w:lang w:val="en-US"/>
              </w:rPr>
              <m:t>50</m:t>
            </m:r>
          </m:sub>
        </m:sSub>
      </m:oMath>
      <w:r>
        <w:rPr>
          <w:lang w:val="en-US"/>
        </w:rPr>
        <w:t xml:space="preserve"> distribution is visualized Fig, S</w:t>
      </w:r>
      <w:proofErr w:type="gramStart"/>
      <w:r>
        <w:rPr>
          <w:lang w:val="en-US"/>
        </w:rPr>
        <w:t>4.a</w:t>
      </w:r>
      <w:proofErr w:type="gramEnd"/>
      <w:r>
        <w:rPr>
          <w:lang w:val="en-US"/>
        </w:rPr>
        <w:t>), and 173 instances used for testing (</w:t>
      </w:r>
      <m:oMath>
        <m:sSub>
          <m:sSubPr>
            <m:ctrlPr>
              <w:rPr>
                <w:rFonts w:ascii="Cambria Math" w:hAnsi="Cambria Math"/>
                <w:i/>
                <w:szCs w:val="24"/>
                <w:lang w:val="en-US"/>
              </w:rPr>
            </m:ctrlPr>
          </m:sSubPr>
          <m:e>
            <m:r>
              <w:rPr>
                <w:rFonts w:ascii="Cambria Math" w:hAnsi="Cambria Math"/>
                <w:szCs w:val="24"/>
                <w:lang w:val="en-US"/>
              </w:rPr>
              <m:t>PIC</m:t>
            </m:r>
          </m:e>
          <m:sub>
            <m:r>
              <w:rPr>
                <w:rFonts w:ascii="Cambria Math" w:hAnsi="Cambria Math"/>
                <w:szCs w:val="24"/>
                <w:lang w:val="en-US"/>
              </w:rPr>
              <m:t>50</m:t>
            </m:r>
          </m:sub>
        </m:sSub>
      </m:oMath>
      <w:r>
        <w:rPr>
          <w:lang w:val="en-US"/>
        </w:rPr>
        <w:t xml:space="preserve"> distribution is visualized Fig, S4.b) [69].</w:t>
      </w:r>
    </w:p>
    <w:p w14:paraId="1C458D40" w14:textId="77777777" w:rsidR="00EF273C" w:rsidRPr="001879C9" w:rsidRDefault="00EF273C" w:rsidP="00EF273C">
      <w:pPr>
        <w:tabs>
          <w:tab w:val="center" w:pos="4107"/>
        </w:tabs>
        <w:spacing w:after="0"/>
      </w:pPr>
      <w:r>
        <w:t>(a)</w:t>
      </w:r>
      <w:r>
        <w:tab/>
        <w:t>(b)</w:t>
      </w:r>
    </w:p>
    <w:p w14:paraId="334895EF" w14:textId="77777777" w:rsidR="00EF273C" w:rsidRDefault="00EF273C" w:rsidP="00EF273C">
      <w:pPr>
        <w:jc w:val="center"/>
        <w:rPr>
          <w:b/>
          <w:bCs/>
        </w:rPr>
      </w:pPr>
      <w:r>
        <w:rPr>
          <w:noProof/>
        </w:rPr>
        <w:drawing>
          <wp:inline distT="0" distB="0" distL="0" distR="0" wp14:anchorId="69A3A082" wp14:editId="45517AC3">
            <wp:extent cx="2594556" cy="167786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645799" cy="1711006"/>
                    </a:xfrm>
                    <a:prstGeom prst="rect">
                      <a:avLst/>
                    </a:prstGeom>
                  </pic:spPr>
                </pic:pic>
              </a:graphicData>
            </a:graphic>
          </wp:inline>
        </w:drawing>
      </w:r>
      <w:r>
        <w:rPr>
          <w:noProof/>
        </w:rPr>
        <w:drawing>
          <wp:inline distT="0" distB="0" distL="0" distR="0" wp14:anchorId="61DF5504" wp14:editId="4FCD73E9">
            <wp:extent cx="2500923" cy="1659153"/>
            <wp:effectExtent l="0" t="0" r="127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57094" cy="1696418"/>
                    </a:xfrm>
                    <a:prstGeom prst="rect">
                      <a:avLst/>
                    </a:prstGeom>
                  </pic:spPr>
                </pic:pic>
              </a:graphicData>
            </a:graphic>
          </wp:inline>
        </w:drawing>
      </w:r>
    </w:p>
    <w:p w14:paraId="02ACC8D2" w14:textId="77777777" w:rsidR="00EF273C" w:rsidRPr="00D77478" w:rsidRDefault="00EF273C" w:rsidP="00EF273C">
      <w:pPr>
        <w:jc w:val="center"/>
        <w:rPr>
          <w:lang w:val="en-US"/>
        </w:rPr>
      </w:pPr>
      <w:r w:rsidRPr="00D77478">
        <w:rPr>
          <w:b/>
          <w:bCs/>
        </w:rPr>
        <w:t xml:space="preserve">Figure S4: </w:t>
      </w:r>
      <m:oMath>
        <m:sSub>
          <m:sSubPr>
            <m:ctrlPr>
              <w:rPr>
                <w:rFonts w:ascii="Cambria Math" w:hAnsi="Cambria Math"/>
                <w:i/>
              </w:rPr>
            </m:ctrlPr>
          </m:sSubPr>
          <m:e>
            <m:r>
              <w:rPr>
                <w:rFonts w:ascii="Cambria Math" w:hAnsi="Cambria Math"/>
              </w:rPr>
              <m:t>PIC</m:t>
            </m:r>
          </m:e>
          <m:sub>
            <m:r>
              <w:rPr>
                <w:rFonts w:ascii="Cambria Math" w:hAnsi="Cambria Math"/>
              </w:rPr>
              <m:t>50</m:t>
            </m:r>
          </m:sub>
        </m:sSub>
      </m:oMath>
      <w:r w:rsidRPr="00D77478">
        <w:t xml:space="preserve"> distribution of the (a) training and (b) test Nav1.5 liability dataset</w:t>
      </w:r>
    </w:p>
    <w:p w14:paraId="39A0CF58" w14:textId="77777777" w:rsidR="00EF273C" w:rsidRPr="006E5CAC" w:rsidRDefault="00EF273C" w:rsidP="00EF273C">
      <w:pPr>
        <w:pStyle w:val="Heading1"/>
      </w:pPr>
      <w:r w:rsidRPr="006E5CAC">
        <w:t>Nav1.5 feature selection – percent missing value and information analysis</w:t>
      </w:r>
    </w:p>
    <w:p w14:paraId="693F3F81" w14:textId="77777777" w:rsidR="00EF273C" w:rsidRPr="001879C9" w:rsidRDefault="00EF273C" w:rsidP="00EF273C">
      <w:pPr>
        <w:rPr>
          <w:lang w:val="en-US"/>
        </w:rPr>
      </w:pPr>
      <w:r w:rsidRPr="001879C9">
        <w:rPr>
          <w:lang w:val="en-US"/>
        </w:rPr>
        <w:t xml:space="preserve">Through a single feature analysis of the data, we noticed that many columns had most (~71%) of their values as the same constant, namely a value of zero. Such features contain no information and will just add noise to our model. Therefore, features with a threshold of more than 1300 zero values were discarded from any further analysis, resulting in a reduction of 386 features to be removed. Additionally, we noticed that many features had </w:t>
      </w:r>
      <w:r w:rsidRPr="001879C9">
        <w:rPr>
          <w:i/>
        </w:rPr>
        <w:t>Nan</w:t>
      </w:r>
      <w:r w:rsidRPr="001879C9">
        <w:t xml:space="preserve"> values, some features with more than 600 </w:t>
      </w:r>
      <w:r w:rsidRPr="001879C9">
        <w:rPr>
          <w:i/>
        </w:rPr>
        <w:t>Nan</w:t>
      </w:r>
      <w:r w:rsidRPr="001879C9">
        <w:t xml:space="preserve"> values and many with more than 210 </w:t>
      </w:r>
      <w:r w:rsidRPr="001879C9">
        <w:rPr>
          <w:i/>
        </w:rPr>
        <w:t>Nans</w:t>
      </w:r>
      <w:r w:rsidRPr="001879C9">
        <w:t xml:space="preserve">. Assigning a value of zero or a mean value to those statistics will lead to biased models. A threshold of more than 200 </w:t>
      </w:r>
      <w:r w:rsidRPr="001879C9">
        <w:rPr>
          <w:i/>
        </w:rPr>
        <w:t>Nan</w:t>
      </w:r>
      <w:r w:rsidRPr="001879C9">
        <w:t xml:space="preserve"> values per column was set to discard those features. This </w:t>
      </w:r>
      <w:r w:rsidRPr="001879C9">
        <w:lastRenderedPageBreak/>
        <w:t>feature reduction procedure resulted in 551 features to be considered for model building.</w:t>
      </w:r>
    </w:p>
    <w:p w14:paraId="3A743538" w14:textId="77777777" w:rsidR="00EF273C" w:rsidRDefault="00EF273C" w:rsidP="00EF273C">
      <w:pPr>
        <w:jc w:val="center"/>
        <w:rPr>
          <w:b/>
          <w:bCs/>
        </w:rPr>
      </w:pPr>
      <w:r>
        <w:rPr>
          <w:noProof/>
        </w:rPr>
        <w:drawing>
          <wp:inline distT="0" distB="0" distL="0" distR="0" wp14:anchorId="17E49C58" wp14:editId="384EA89F">
            <wp:extent cx="5216525" cy="2788479"/>
            <wp:effectExtent l="0" t="0" r="3175"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16525" cy="2788479"/>
                    </a:xfrm>
                    <a:prstGeom prst="rect">
                      <a:avLst/>
                    </a:prstGeom>
                    <a:noFill/>
                    <a:ln>
                      <a:noFill/>
                    </a:ln>
                  </pic:spPr>
                </pic:pic>
              </a:graphicData>
            </a:graphic>
          </wp:inline>
        </w:drawing>
      </w:r>
    </w:p>
    <w:p w14:paraId="172A7AC4" w14:textId="77777777" w:rsidR="00EF273C" w:rsidRPr="00D77478" w:rsidRDefault="00EF273C" w:rsidP="00EF273C">
      <w:pPr>
        <w:jc w:val="center"/>
        <w:rPr>
          <w:lang w:val="en-US"/>
        </w:rPr>
      </w:pPr>
      <w:r w:rsidRPr="00D77478">
        <w:rPr>
          <w:b/>
          <w:bCs/>
        </w:rPr>
        <w:t>Figure S5:</w:t>
      </w:r>
      <w:r w:rsidRPr="00D77478">
        <w:t xml:space="preserve"> Dev-Set-Nav variance-based analysis of the normalized 551 features</w:t>
      </w:r>
    </w:p>
    <w:p w14:paraId="53B46760" w14:textId="77777777" w:rsidR="00EF273C" w:rsidRDefault="00EF273C" w:rsidP="00EF273C">
      <w:pPr>
        <w:rPr>
          <w:rStyle w:val="SubtleEmphasis"/>
          <w:i w:val="0"/>
          <w:iCs w:val="0"/>
          <w:lang w:val="en-US"/>
        </w:rPr>
      </w:pPr>
      <w:r>
        <w:rPr>
          <w:noProof/>
        </w:rPr>
        <w:drawing>
          <wp:inline distT="0" distB="0" distL="0" distR="0" wp14:anchorId="3CA7AEA2" wp14:editId="07E352A6">
            <wp:extent cx="4798380" cy="3096986"/>
            <wp:effectExtent l="0" t="0" r="254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7621" cy="3115859"/>
                    </a:xfrm>
                    <a:prstGeom prst="rect">
                      <a:avLst/>
                    </a:prstGeom>
                    <a:noFill/>
                    <a:ln>
                      <a:noFill/>
                    </a:ln>
                  </pic:spPr>
                </pic:pic>
              </a:graphicData>
            </a:graphic>
          </wp:inline>
        </w:drawing>
      </w:r>
    </w:p>
    <w:p w14:paraId="4AEEB43A" w14:textId="77777777" w:rsidR="00EF273C" w:rsidRDefault="00EF273C" w:rsidP="00EF273C">
      <w:pPr>
        <w:jc w:val="center"/>
        <w:rPr>
          <w:lang w:val="en-US"/>
        </w:rPr>
      </w:pPr>
      <w:r w:rsidRPr="006A310F">
        <w:rPr>
          <w:b/>
          <w:lang w:val="en-US"/>
        </w:rPr>
        <w:t xml:space="preserve">Figure </w:t>
      </w:r>
      <w:r>
        <w:rPr>
          <w:b/>
          <w:lang w:val="en-US"/>
        </w:rPr>
        <w:t>S6</w:t>
      </w:r>
      <w:r w:rsidRPr="006A310F">
        <w:rPr>
          <w:b/>
          <w:lang w:val="en-US"/>
        </w:rPr>
        <w:t>:</w:t>
      </w:r>
      <w:r>
        <w:rPr>
          <w:lang w:val="en-US"/>
        </w:rPr>
        <w:t xml:space="preserve"> Principal component analysis of the 551 features of </w:t>
      </w:r>
      <w:r w:rsidRPr="00A74A6A">
        <w:rPr>
          <w:lang w:val="en-US"/>
        </w:rPr>
        <w:t xml:space="preserve">the entire normalized </w:t>
      </w:r>
      <w:r>
        <w:rPr>
          <w:lang w:val="en-US"/>
        </w:rPr>
        <w:br/>
      </w:r>
      <w:r w:rsidRPr="00A74A6A">
        <w:rPr>
          <w:lang w:val="en-US"/>
        </w:rPr>
        <w:lastRenderedPageBreak/>
        <w:t>Dev-Set-Nav</w:t>
      </w:r>
      <w:r>
        <w:rPr>
          <w:lang w:val="en-US"/>
        </w:rPr>
        <w:t xml:space="preserve"> where x-axis represents the principal components and the y-axis their corresponding variance</w:t>
      </w:r>
    </w:p>
    <w:p w14:paraId="4284F38E" w14:textId="77777777" w:rsidR="00EF273C" w:rsidRDefault="00EF273C" w:rsidP="00EF273C">
      <w:pPr>
        <w:rPr>
          <w:rStyle w:val="SubtleEmphasis"/>
          <w:i w:val="0"/>
          <w:iCs w:val="0"/>
          <w:lang w:val="en-US"/>
        </w:rPr>
      </w:pPr>
    </w:p>
    <w:p w14:paraId="01806A4D" w14:textId="77777777" w:rsidR="00EF273C" w:rsidRPr="00BE6C9F" w:rsidRDefault="00EF273C" w:rsidP="00EF273C">
      <w:pPr>
        <w:jc w:val="center"/>
        <w:rPr>
          <w:szCs w:val="20"/>
          <w:lang w:val="en-US"/>
        </w:rPr>
      </w:pPr>
      <w:r w:rsidRPr="00BE6C9F">
        <w:rPr>
          <w:b/>
          <w:szCs w:val="20"/>
          <w:lang w:val="en-US"/>
        </w:rPr>
        <w:t xml:space="preserve">Table </w:t>
      </w:r>
      <w:r>
        <w:rPr>
          <w:b/>
          <w:szCs w:val="20"/>
          <w:lang w:val="en-US"/>
        </w:rPr>
        <w:t>S1</w:t>
      </w:r>
      <w:r w:rsidRPr="00BE6C9F">
        <w:rPr>
          <w:b/>
          <w:szCs w:val="20"/>
          <w:lang w:val="en-US"/>
        </w:rPr>
        <w:t>:</w:t>
      </w:r>
      <w:r w:rsidRPr="00BE6C9F">
        <w:rPr>
          <w:szCs w:val="20"/>
          <w:lang w:val="en-US"/>
        </w:rPr>
        <w:t xml:space="preserve"> </w:t>
      </w:r>
      <w:r w:rsidRPr="009B7CBD">
        <w:rPr>
          <w:lang w:val="en-US"/>
        </w:rPr>
        <w:t xml:space="preserve">Number of estimators’ selection based on the performance of each random forest with an ensemble of decision trees using 10-fold stratified cross-validation. The </w:t>
      </w:r>
      <w:r>
        <w:rPr>
          <w:lang w:val="en-US"/>
        </w:rPr>
        <w:t xml:space="preserve">optimal number of estimators </w:t>
      </w:r>
      <w:r w:rsidRPr="009B7CBD">
        <w:rPr>
          <w:lang w:val="en-US"/>
        </w:rPr>
        <w:t>is highlighted in bold</w:t>
      </w:r>
      <w:r w:rsidRPr="00BE6C9F">
        <w:rPr>
          <w:szCs w:val="20"/>
          <w:lang w:val="en-US"/>
        </w:rPr>
        <w:t>.</w:t>
      </w:r>
    </w:p>
    <w:tbl>
      <w:tblPr>
        <w:tblW w:w="0" w:type="auto"/>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12"/>
        <w:gridCol w:w="1878"/>
        <w:gridCol w:w="1558"/>
        <w:gridCol w:w="1080"/>
      </w:tblGrid>
      <w:tr w:rsidR="00EF273C" w14:paraId="2F147FD9" w14:textId="77777777" w:rsidTr="00114DBF">
        <w:trPr>
          <w:trHeight w:val="634"/>
          <w:jc w:val="center"/>
        </w:trPr>
        <w:tc>
          <w:tcPr>
            <w:tcW w:w="1612" w:type="dxa"/>
          </w:tcPr>
          <w:p w14:paraId="367ACC0A"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Number of estimators</w:t>
            </w:r>
          </w:p>
        </w:tc>
        <w:tc>
          <w:tcPr>
            <w:tcW w:w="1878" w:type="dxa"/>
          </w:tcPr>
          <w:p w14:paraId="1FF25ABA"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 xml:space="preserve">Multiclass </w:t>
            </w:r>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AC</m:t>
                  </m:r>
                </m:e>
                <m:sub>
                  <m:r>
                    <w:rPr>
                      <w:rFonts w:ascii="Cambria Math" w:hAnsi="Cambria Math" w:cs="Times New Roman"/>
                      <w:sz w:val="20"/>
                      <w:szCs w:val="20"/>
                      <w:lang w:val="en-US"/>
                    </w:rPr>
                    <m:t>cv</m:t>
                  </m:r>
                </m:sub>
              </m:sSub>
            </m:oMath>
          </w:p>
        </w:tc>
        <w:tc>
          <w:tcPr>
            <w:tcW w:w="1558" w:type="dxa"/>
          </w:tcPr>
          <w:p w14:paraId="2F8F4E4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 xml:space="preserve">Binary </w:t>
            </w:r>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AC</m:t>
                  </m:r>
                </m:e>
                <m:sub>
                  <m:r>
                    <w:rPr>
                      <w:rFonts w:ascii="Cambria Math" w:hAnsi="Cambria Math" w:cs="Times New Roman"/>
                      <w:sz w:val="20"/>
                      <w:szCs w:val="20"/>
                      <w:lang w:val="en-US"/>
                    </w:rPr>
                    <m:t>cv</m:t>
                  </m:r>
                </m:sub>
              </m:sSub>
            </m:oMath>
          </w:p>
        </w:tc>
        <w:tc>
          <w:tcPr>
            <w:tcW w:w="1080" w:type="dxa"/>
          </w:tcPr>
          <w:p w14:paraId="27BA3F20" w14:textId="77777777" w:rsidR="00EF273C" w:rsidRPr="00A42E73" w:rsidRDefault="00EF273C" w:rsidP="00114DBF">
            <w:pPr>
              <w:spacing w:after="0"/>
              <w:jc w:val="center"/>
              <w:rPr>
                <w:rFonts w:ascii="Times New Roman" w:hAnsi="Times New Roman" w:cs="Times New Roman"/>
                <w:sz w:val="16"/>
                <w:szCs w:val="20"/>
              </w:rPr>
            </w:pPr>
            <m:oMathPara>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F1</m:t>
                    </m:r>
                  </m:e>
                  <m:sub>
                    <m:r>
                      <w:rPr>
                        <w:rFonts w:ascii="Cambria Math" w:hAnsi="Cambria Math" w:cs="Times New Roman"/>
                        <w:sz w:val="20"/>
                        <w:szCs w:val="20"/>
                        <w:lang w:val="en-US"/>
                      </w:rPr>
                      <m:t>cv</m:t>
                    </m:r>
                  </m:sub>
                </m:sSub>
              </m:oMath>
            </m:oMathPara>
          </w:p>
        </w:tc>
      </w:tr>
      <w:tr w:rsidR="00EF273C" w14:paraId="7987A0EE" w14:textId="77777777" w:rsidTr="00114DBF">
        <w:trPr>
          <w:trHeight w:val="284"/>
          <w:jc w:val="center"/>
        </w:trPr>
        <w:tc>
          <w:tcPr>
            <w:tcW w:w="1612" w:type="dxa"/>
          </w:tcPr>
          <w:p w14:paraId="40797DC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10</w:t>
            </w:r>
          </w:p>
        </w:tc>
        <w:tc>
          <w:tcPr>
            <w:tcW w:w="1878" w:type="dxa"/>
          </w:tcPr>
          <w:p w14:paraId="0FDAFBE2"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69.7</w:t>
            </w:r>
          </w:p>
        </w:tc>
        <w:tc>
          <w:tcPr>
            <w:tcW w:w="1558" w:type="dxa"/>
          </w:tcPr>
          <w:p w14:paraId="5EFDD69B"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81.8</w:t>
            </w:r>
          </w:p>
        </w:tc>
        <w:tc>
          <w:tcPr>
            <w:tcW w:w="1080" w:type="dxa"/>
          </w:tcPr>
          <w:p w14:paraId="4B1ED96A"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81.5</w:t>
            </w:r>
          </w:p>
        </w:tc>
      </w:tr>
      <w:tr w:rsidR="00EF273C" w14:paraId="2BC7DD59" w14:textId="77777777" w:rsidTr="00114DBF">
        <w:trPr>
          <w:trHeight w:val="271"/>
          <w:jc w:val="center"/>
        </w:trPr>
        <w:tc>
          <w:tcPr>
            <w:tcW w:w="1612" w:type="dxa"/>
          </w:tcPr>
          <w:p w14:paraId="6335BA1A"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20</w:t>
            </w:r>
          </w:p>
        </w:tc>
        <w:tc>
          <w:tcPr>
            <w:tcW w:w="1878" w:type="dxa"/>
          </w:tcPr>
          <w:p w14:paraId="1F316A2A"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71.2</w:t>
            </w:r>
          </w:p>
        </w:tc>
        <w:tc>
          <w:tcPr>
            <w:tcW w:w="1558" w:type="dxa"/>
          </w:tcPr>
          <w:p w14:paraId="45C2844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82.3</w:t>
            </w:r>
          </w:p>
        </w:tc>
        <w:tc>
          <w:tcPr>
            <w:tcW w:w="1080" w:type="dxa"/>
          </w:tcPr>
          <w:p w14:paraId="525897E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80.9</w:t>
            </w:r>
          </w:p>
        </w:tc>
      </w:tr>
      <w:tr w:rsidR="00EF273C" w14:paraId="5A7F8036" w14:textId="77777777" w:rsidTr="00114DBF">
        <w:trPr>
          <w:trHeight w:val="284"/>
          <w:jc w:val="center"/>
        </w:trPr>
        <w:tc>
          <w:tcPr>
            <w:tcW w:w="1612" w:type="dxa"/>
          </w:tcPr>
          <w:p w14:paraId="2D8358CE"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30</w:t>
            </w:r>
          </w:p>
        </w:tc>
        <w:tc>
          <w:tcPr>
            <w:tcW w:w="1878" w:type="dxa"/>
          </w:tcPr>
          <w:p w14:paraId="22F29687"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71.5</w:t>
            </w:r>
          </w:p>
        </w:tc>
        <w:tc>
          <w:tcPr>
            <w:tcW w:w="1558" w:type="dxa"/>
          </w:tcPr>
          <w:p w14:paraId="4F857BA7"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82.4</w:t>
            </w:r>
          </w:p>
        </w:tc>
        <w:tc>
          <w:tcPr>
            <w:tcW w:w="1080" w:type="dxa"/>
          </w:tcPr>
          <w:p w14:paraId="4EE5A1DD"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81</w:t>
            </w:r>
          </w:p>
        </w:tc>
      </w:tr>
      <w:tr w:rsidR="00EF273C" w14:paraId="563D91C8" w14:textId="77777777" w:rsidTr="00114DBF">
        <w:trPr>
          <w:trHeight w:val="271"/>
          <w:jc w:val="center"/>
        </w:trPr>
        <w:tc>
          <w:tcPr>
            <w:tcW w:w="1612" w:type="dxa"/>
          </w:tcPr>
          <w:p w14:paraId="68668B28"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40</w:t>
            </w:r>
          </w:p>
        </w:tc>
        <w:tc>
          <w:tcPr>
            <w:tcW w:w="1878" w:type="dxa"/>
          </w:tcPr>
          <w:p w14:paraId="40F55AD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71.8</w:t>
            </w:r>
          </w:p>
        </w:tc>
        <w:tc>
          <w:tcPr>
            <w:tcW w:w="1558" w:type="dxa"/>
          </w:tcPr>
          <w:p w14:paraId="1FA9E33D"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82.6</w:t>
            </w:r>
          </w:p>
        </w:tc>
        <w:tc>
          <w:tcPr>
            <w:tcW w:w="1080" w:type="dxa"/>
          </w:tcPr>
          <w:p w14:paraId="537F506F"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w:t>
            </w:r>
          </w:p>
        </w:tc>
      </w:tr>
      <w:tr w:rsidR="00EF273C" w14:paraId="0BC729E0" w14:textId="77777777" w:rsidTr="00114DBF">
        <w:trPr>
          <w:trHeight w:val="284"/>
          <w:jc w:val="center"/>
        </w:trPr>
        <w:tc>
          <w:tcPr>
            <w:tcW w:w="1612" w:type="dxa"/>
          </w:tcPr>
          <w:p w14:paraId="130E8F3C"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50</w:t>
            </w:r>
          </w:p>
        </w:tc>
        <w:tc>
          <w:tcPr>
            <w:tcW w:w="1878" w:type="dxa"/>
          </w:tcPr>
          <w:p w14:paraId="3099A1A7"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71.8</w:t>
            </w:r>
          </w:p>
        </w:tc>
        <w:tc>
          <w:tcPr>
            <w:tcW w:w="1558" w:type="dxa"/>
          </w:tcPr>
          <w:p w14:paraId="10DB47A2"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82.4</w:t>
            </w:r>
          </w:p>
        </w:tc>
        <w:tc>
          <w:tcPr>
            <w:tcW w:w="1080" w:type="dxa"/>
          </w:tcPr>
          <w:p w14:paraId="4757BBA9"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80.9</w:t>
            </w:r>
          </w:p>
        </w:tc>
      </w:tr>
      <w:tr w:rsidR="00EF273C" w14:paraId="512F236A" w14:textId="77777777" w:rsidTr="00114DBF">
        <w:trPr>
          <w:trHeight w:val="284"/>
          <w:jc w:val="center"/>
        </w:trPr>
        <w:tc>
          <w:tcPr>
            <w:tcW w:w="1612" w:type="dxa"/>
          </w:tcPr>
          <w:p w14:paraId="729E23EE"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60</w:t>
            </w:r>
          </w:p>
        </w:tc>
        <w:tc>
          <w:tcPr>
            <w:tcW w:w="1878" w:type="dxa"/>
          </w:tcPr>
          <w:p w14:paraId="37D54C1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71.9</w:t>
            </w:r>
          </w:p>
        </w:tc>
        <w:tc>
          <w:tcPr>
            <w:tcW w:w="1558" w:type="dxa"/>
          </w:tcPr>
          <w:p w14:paraId="0CD4ADC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82.5</w:t>
            </w:r>
          </w:p>
        </w:tc>
        <w:tc>
          <w:tcPr>
            <w:tcW w:w="1080" w:type="dxa"/>
          </w:tcPr>
          <w:p w14:paraId="561A7CB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w:t>
            </w:r>
          </w:p>
        </w:tc>
      </w:tr>
      <w:tr w:rsidR="00EF273C" w14:paraId="024BC77E" w14:textId="77777777" w:rsidTr="00114DBF">
        <w:trPr>
          <w:trHeight w:val="271"/>
          <w:jc w:val="center"/>
        </w:trPr>
        <w:tc>
          <w:tcPr>
            <w:tcW w:w="1612" w:type="dxa"/>
          </w:tcPr>
          <w:p w14:paraId="186E766C"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70</w:t>
            </w:r>
          </w:p>
        </w:tc>
        <w:tc>
          <w:tcPr>
            <w:tcW w:w="1878" w:type="dxa"/>
          </w:tcPr>
          <w:p w14:paraId="60C1C9B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71.9</w:t>
            </w:r>
          </w:p>
        </w:tc>
        <w:tc>
          <w:tcPr>
            <w:tcW w:w="1558" w:type="dxa"/>
          </w:tcPr>
          <w:p w14:paraId="0563C84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82.5</w:t>
            </w:r>
          </w:p>
        </w:tc>
        <w:tc>
          <w:tcPr>
            <w:tcW w:w="1080" w:type="dxa"/>
          </w:tcPr>
          <w:p w14:paraId="6006DCA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w:t>
            </w:r>
          </w:p>
        </w:tc>
      </w:tr>
      <w:tr w:rsidR="00EF273C" w14:paraId="75C13B0E" w14:textId="77777777" w:rsidTr="00114DBF">
        <w:trPr>
          <w:trHeight w:val="284"/>
          <w:jc w:val="center"/>
        </w:trPr>
        <w:tc>
          <w:tcPr>
            <w:tcW w:w="1612" w:type="dxa"/>
          </w:tcPr>
          <w:p w14:paraId="3030D19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80</w:t>
            </w:r>
          </w:p>
        </w:tc>
        <w:tc>
          <w:tcPr>
            <w:tcW w:w="1878" w:type="dxa"/>
          </w:tcPr>
          <w:p w14:paraId="5BE46245"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72.1</w:t>
            </w:r>
          </w:p>
        </w:tc>
        <w:tc>
          <w:tcPr>
            <w:tcW w:w="1558" w:type="dxa"/>
          </w:tcPr>
          <w:p w14:paraId="639AE38E"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82.5</w:t>
            </w:r>
          </w:p>
        </w:tc>
        <w:tc>
          <w:tcPr>
            <w:tcW w:w="1080" w:type="dxa"/>
          </w:tcPr>
          <w:p w14:paraId="4818AD68"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w:t>
            </w:r>
          </w:p>
        </w:tc>
      </w:tr>
      <w:tr w:rsidR="00EF273C" w14:paraId="60B1F657" w14:textId="77777777" w:rsidTr="00114DBF">
        <w:trPr>
          <w:trHeight w:val="271"/>
          <w:jc w:val="center"/>
        </w:trPr>
        <w:tc>
          <w:tcPr>
            <w:tcW w:w="1612" w:type="dxa"/>
          </w:tcPr>
          <w:p w14:paraId="110384D8"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90</w:t>
            </w:r>
          </w:p>
        </w:tc>
        <w:tc>
          <w:tcPr>
            <w:tcW w:w="1878" w:type="dxa"/>
          </w:tcPr>
          <w:p w14:paraId="4F0C169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72.1</w:t>
            </w:r>
          </w:p>
        </w:tc>
        <w:tc>
          <w:tcPr>
            <w:tcW w:w="1558" w:type="dxa"/>
          </w:tcPr>
          <w:p w14:paraId="1DCB09E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82.5</w:t>
            </w:r>
          </w:p>
        </w:tc>
        <w:tc>
          <w:tcPr>
            <w:tcW w:w="1080" w:type="dxa"/>
          </w:tcPr>
          <w:p w14:paraId="1146B59D"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w:t>
            </w:r>
          </w:p>
        </w:tc>
      </w:tr>
      <w:tr w:rsidR="00EF273C" w14:paraId="494FF8BD" w14:textId="77777777" w:rsidTr="00114DBF">
        <w:trPr>
          <w:trHeight w:val="284"/>
          <w:jc w:val="center"/>
        </w:trPr>
        <w:tc>
          <w:tcPr>
            <w:tcW w:w="1612" w:type="dxa"/>
          </w:tcPr>
          <w:p w14:paraId="26444B30"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100</w:t>
            </w:r>
          </w:p>
        </w:tc>
        <w:tc>
          <w:tcPr>
            <w:tcW w:w="1878" w:type="dxa"/>
          </w:tcPr>
          <w:p w14:paraId="25053347"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72.1</w:t>
            </w:r>
          </w:p>
        </w:tc>
        <w:tc>
          <w:tcPr>
            <w:tcW w:w="1558" w:type="dxa"/>
          </w:tcPr>
          <w:p w14:paraId="538CDF2B"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82.4</w:t>
            </w:r>
          </w:p>
        </w:tc>
        <w:tc>
          <w:tcPr>
            <w:tcW w:w="1080" w:type="dxa"/>
          </w:tcPr>
          <w:p w14:paraId="5E5A4D2F"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w:t>
            </w:r>
          </w:p>
        </w:tc>
      </w:tr>
    </w:tbl>
    <w:p w14:paraId="1C063D62" w14:textId="77777777" w:rsidR="00EF273C" w:rsidRDefault="00EF273C" w:rsidP="00EF273C">
      <w:pPr>
        <w:jc w:val="center"/>
        <w:rPr>
          <w:b/>
          <w:szCs w:val="20"/>
        </w:rPr>
      </w:pPr>
    </w:p>
    <w:p w14:paraId="366DA075" w14:textId="77777777" w:rsidR="00EF273C" w:rsidRPr="00B45E97" w:rsidRDefault="00EF273C" w:rsidP="00EF273C">
      <w:pPr>
        <w:jc w:val="center"/>
        <w:rPr>
          <w:b/>
          <w:szCs w:val="20"/>
        </w:rPr>
      </w:pPr>
      <w:r w:rsidRPr="00B45E97">
        <w:rPr>
          <w:b/>
          <w:szCs w:val="20"/>
        </w:rPr>
        <w:t xml:space="preserve">Table </w:t>
      </w:r>
      <w:r>
        <w:rPr>
          <w:b/>
          <w:szCs w:val="20"/>
        </w:rPr>
        <w:t>S2</w:t>
      </w:r>
      <w:r w:rsidRPr="00B45E97">
        <w:rPr>
          <w:b/>
          <w:szCs w:val="20"/>
        </w:rPr>
        <w:t>:</w:t>
      </w:r>
      <w:r w:rsidRPr="00BE6C9F">
        <w:rPr>
          <w:szCs w:val="20"/>
          <w:lang w:val="en-US"/>
        </w:rPr>
        <w:t xml:space="preserve"> </w:t>
      </w:r>
      <w:r>
        <w:rPr>
          <w:lang w:val="en-US"/>
        </w:rPr>
        <w:t>Max depth</w:t>
      </w:r>
      <w:r w:rsidRPr="009B7CBD">
        <w:rPr>
          <w:lang w:val="en-US"/>
        </w:rPr>
        <w:t xml:space="preserve"> selection based on the performance of each random forest with </w:t>
      </w:r>
      <w:r>
        <w:rPr>
          <w:lang w:val="en-US"/>
        </w:rPr>
        <w:t>the same best</w:t>
      </w:r>
      <w:r w:rsidRPr="009B7CBD">
        <w:rPr>
          <w:lang w:val="en-US"/>
        </w:rPr>
        <w:t xml:space="preserve"> ensemble of decision trees using 10-fold stratified cross-validation. The </w:t>
      </w:r>
      <w:r>
        <w:rPr>
          <w:lang w:val="en-US"/>
        </w:rPr>
        <w:t>optimal max depth</w:t>
      </w:r>
      <w:r w:rsidRPr="009B7CBD">
        <w:rPr>
          <w:lang w:val="en-US"/>
        </w:rPr>
        <w:t xml:space="preserve"> is highlighted in bold</w:t>
      </w:r>
      <w:r w:rsidRPr="00BE6C9F">
        <w:rPr>
          <w:szCs w:val="20"/>
          <w:lang w:val="en-US"/>
        </w:rPr>
        <w:t>.</w:t>
      </w:r>
    </w:p>
    <w:tbl>
      <w:tblPr>
        <w:tblW w:w="0" w:type="auto"/>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02"/>
        <w:gridCol w:w="1264"/>
        <w:gridCol w:w="727"/>
        <w:gridCol w:w="1800"/>
        <w:gridCol w:w="1444"/>
        <w:gridCol w:w="1264"/>
      </w:tblGrid>
      <w:tr w:rsidR="00EF273C" w14:paraId="1DCE9222" w14:textId="77777777" w:rsidTr="00114DBF">
        <w:trPr>
          <w:trHeight w:val="531"/>
          <w:jc w:val="center"/>
        </w:trPr>
        <w:tc>
          <w:tcPr>
            <w:tcW w:w="902" w:type="dxa"/>
          </w:tcPr>
          <w:p w14:paraId="26B189C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Model number</w:t>
            </w:r>
          </w:p>
        </w:tc>
        <w:tc>
          <w:tcPr>
            <w:tcW w:w="1264" w:type="dxa"/>
          </w:tcPr>
          <w:p w14:paraId="03FECED7"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Number of estimators</w:t>
            </w:r>
          </w:p>
        </w:tc>
        <w:tc>
          <w:tcPr>
            <w:tcW w:w="727" w:type="dxa"/>
          </w:tcPr>
          <w:p w14:paraId="6151CF2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Max depth</w:t>
            </w:r>
          </w:p>
        </w:tc>
        <w:tc>
          <w:tcPr>
            <w:tcW w:w="1800" w:type="dxa"/>
          </w:tcPr>
          <w:p w14:paraId="1A848B65"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Fold multiclass-accuracy</w:t>
            </w:r>
          </w:p>
        </w:tc>
        <w:tc>
          <w:tcPr>
            <w:tcW w:w="1444" w:type="dxa"/>
          </w:tcPr>
          <w:p w14:paraId="69E46A12"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Fold binary-accuracy</w:t>
            </w:r>
          </w:p>
        </w:tc>
        <w:tc>
          <w:tcPr>
            <w:tcW w:w="1264" w:type="dxa"/>
          </w:tcPr>
          <w:p w14:paraId="7AC62035"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Fold F1-score</w:t>
            </w:r>
          </w:p>
        </w:tc>
      </w:tr>
      <w:tr w:rsidR="00EF273C" w14:paraId="291E9B84" w14:textId="77777777" w:rsidTr="00114DBF">
        <w:trPr>
          <w:trHeight w:val="271"/>
          <w:jc w:val="center"/>
        </w:trPr>
        <w:tc>
          <w:tcPr>
            <w:tcW w:w="902" w:type="dxa"/>
          </w:tcPr>
          <w:p w14:paraId="18C8E60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RF_1</w:t>
            </w:r>
          </w:p>
        </w:tc>
        <w:tc>
          <w:tcPr>
            <w:tcW w:w="1264" w:type="dxa"/>
          </w:tcPr>
          <w:p w14:paraId="6E2CDBC0"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49F74CB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23</w:t>
            </w:r>
          </w:p>
        </w:tc>
        <w:tc>
          <w:tcPr>
            <w:tcW w:w="1800" w:type="dxa"/>
          </w:tcPr>
          <w:p w14:paraId="2F46B49D"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70.4</w:t>
            </w:r>
          </w:p>
        </w:tc>
        <w:tc>
          <w:tcPr>
            <w:tcW w:w="1444" w:type="dxa"/>
          </w:tcPr>
          <w:p w14:paraId="468BC459"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82.7</w:t>
            </w:r>
          </w:p>
        </w:tc>
        <w:tc>
          <w:tcPr>
            <w:tcW w:w="1264" w:type="dxa"/>
          </w:tcPr>
          <w:p w14:paraId="7AF877F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81.1</w:t>
            </w:r>
          </w:p>
        </w:tc>
      </w:tr>
      <w:tr w:rsidR="00EF273C" w14:paraId="16095F09" w14:textId="77777777" w:rsidTr="00114DBF">
        <w:trPr>
          <w:trHeight w:val="259"/>
          <w:jc w:val="center"/>
        </w:trPr>
        <w:tc>
          <w:tcPr>
            <w:tcW w:w="902" w:type="dxa"/>
          </w:tcPr>
          <w:p w14:paraId="1640E2B5"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RF_2</w:t>
            </w:r>
          </w:p>
        </w:tc>
        <w:tc>
          <w:tcPr>
            <w:tcW w:w="1264" w:type="dxa"/>
          </w:tcPr>
          <w:p w14:paraId="524605BB"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6356B7D0"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23</w:t>
            </w:r>
          </w:p>
        </w:tc>
        <w:tc>
          <w:tcPr>
            <w:tcW w:w="1800" w:type="dxa"/>
          </w:tcPr>
          <w:p w14:paraId="10D6A17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72.3</w:t>
            </w:r>
          </w:p>
        </w:tc>
        <w:tc>
          <w:tcPr>
            <w:tcW w:w="1444" w:type="dxa"/>
          </w:tcPr>
          <w:p w14:paraId="14FC680F"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82.9</w:t>
            </w:r>
          </w:p>
        </w:tc>
        <w:tc>
          <w:tcPr>
            <w:tcW w:w="1264" w:type="dxa"/>
          </w:tcPr>
          <w:p w14:paraId="3230D287"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81.3</w:t>
            </w:r>
          </w:p>
        </w:tc>
      </w:tr>
      <w:tr w:rsidR="00EF273C" w14:paraId="378159DD" w14:textId="77777777" w:rsidTr="00114DBF">
        <w:trPr>
          <w:trHeight w:val="271"/>
          <w:jc w:val="center"/>
        </w:trPr>
        <w:tc>
          <w:tcPr>
            <w:tcW w:w="902" w:type="dxa"/>
          </w:tcPr>
          <w:p w14:paraId="008F9585"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RF_3</w:t>
            </w:r>
          </w:p>
        </w:tc>
        <w:tc>
          <w:tcPr>
            <w:tcW w:w="1264" w:type="dxa"/>
          </w:tcPr>
          <w:p w14:paraId="1F67BA1A"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30</w:t>
            </w:r>
          </w:p>
        </w:tc>
        <w:tc>
          <w:tcPr>
            <w:tcW w:w="727" w:type="dxa"/>
          </w:tcPr>
          <w:p w14:paraId="695B466B"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24</w:t>
            </w:r>
          </w:p>
        </w:tc>
        <w:tc>
          <w:tcPr>
            <w:tcW w:w="1800" w:type="dxa"/>
          </w:tcPr>
          <w:p w14:paraId="6DA96D71"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70</w:t>
            </w:r>
          </w:p>
        </w:tc>
        <w:tc>
          <w:tcPr>
            <w:tcW w:w="1444" w:type="dxa"/>
          </w:tcPr>
          <w:p w14:paraId="17D8863C"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82.7</w:t>
            </w:r>
          </w:p>
        </w:tc>
        <w:tc>
          <w:tcPr>
            <w:tcW w:w="1264" w:type="dxa"/>
          </w:tcPr>
          <w:p w14:paraId="68A25AC6" w14:textId="77777777" w:rsidR="00EF273C" w:rsidRPr="00A42E73" w:rsidRDefault="00EF273C" w:rsidP="00114DBF">
            <w:pPr>
              <w:spacing w:after="0"/>
              <w:jc w:val="center"/>
              <w:rPr>
                <w:rFonts w:ascii="Times New Roman" w:hAnsi="Times New Roman" w:cs="Times New Roman"/>
                <w:b/>
                <w:bCs/>
                <w:sz w:val="16"/>
                <w:szCs w:val="20"/>
              </w:rPr>
            </w:pPr>
            <w:r w:rsidRPr="00A42E73">
              <w:rPr>
                <w:rFonts w:ascii="Times New Roman" w:hAnsi="Times New Roman" w:cs="Times New Roman"/>
                <w:b/>
                <w:bCs/>
                <w:sz w:val="16"/>
                <w:szCs w:val="20"/>
              </w:rPr>
              <w:t>81</w:t>
            </w:r>
          </w:p>
        </w:tc>
      </w:tr>
      <w:tr w:rsidR="00EF273C" w14:paraId="7CA8B75B" w14:textId="77777777" w:rsidTr="00114DBF">
        <w:trPr>
          <w:trHeight w:val="259"/>
          <w:jc w:val="center"/>
        </w:trPr>
        <w:tc>
          <w:tcPr>
            <w:tcW w:w="902" w:type="dxa"/>
          </w:tcPr>
          <w:p w14:paraId="7861376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RF_4</w:t>
            </w:r>
          </w:p>
        </w:tc>
        <w:tc>
          <w:tcPr>
            <w:tcW w:w="1264" w:type="dxa"/>
          </w:tcPr>
          <w:p w14:paraId="4496FBCD"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6F46C6B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25</w:t>
            </w:r>
          </w:p>
        </w:tc>
        <w:tc>
          <w:tcPr>
            <w:tcW w:w="1800" w:type="dxa"/>
          </w:tcPr>
          <w:p w14:paraId="0941E26D"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70.9</w:t>
            </w:r>
          </w:p>
        </w:tc>
        <w:tc>
          <w:tcPr>
            <w:tcW w:w="1444" w:type="dxa"/>
          </w:tcPr>
          <w:p w14:paraId="3F982CF7"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82.9</w:t>
            </w:r>
          </w:p>
        </w:tc>
        <w:tc>
          <w:tcPr>
            <w:tcW w:w="1264" w:type="dxa"/>
          </w:tcPr>
          <w:p w14:paraId="4C01D08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81.3</w:t>
            </w:r>
          </w:p>
        </w:tc>
      </w:tr>
      <w:tr w:rsidR="00EF273C" w14:paraId="7BCED6DB" w14:textId="77777777" w:rsidTr="00114DBF">
        <w:trPr>
          <w:trHeight w:val="271"/>
          <w:jc w:val="center"/>
        </w:trPr>
        <w:tc>
          <w:tcPr>
            <w:tcW w:w="902" w:type="dxa"/>
          </w:tcPr>
          <w:p w14:paraId="6F8F1DBC"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RF_5</w:t>
            </w:r>
          </w:p>
        </w:tc>
        <w:tc>
          <w:tcPr>
            <w:tcW w:w="1264" w:type="dxa"/>
          </w:tcPr>
          <w:p w14:paraId="6074A2EA"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759AE15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26</w:t>
            </w:r>
          </w:p>
        </w:tc>
        <w:tc>
          <w:tcPr>
            <w:tcW w:w="1800" w:type="dxa"/>
          </w:tcPr>
          <w:p w14:paraId="51C2D95C"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71.9</w:t>
            </w:r>
          </w:p>
        </w:tc>
        <w:tc>
          <w:tcPr>
            <w:tcW w:w="1444" w:type="dxa"/>
          </w:tcPr>
          <w:p w14:paraId="3B197EDB"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82.4</w:t>
            </w:r>
          </w:p>
        </w:tc>
        <w:tc>
          <w:tcPr>
            <w:tcW w:w="1264" w:type="dxa"/>
          </w:tcPr>
          <w:p w14:paraId="5C2468A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80.9</w:t>
            </w:r>
          </w:p>
        </w:tc>
      </w:tr>
      <w:tr w:rsidR="00EF273C" w14:paraId="32EB891E" w14:textId="77777777" w:rsidTr="00114DBF">
        <w:trPr>
          <w:trHeight w:val="271"/>
          <w:jc w:val="center"/>
        </w:trPr>
        <w:tc>
          <w:tcPr>
            <w:tcW w:w="902" w:type="dxa"/>
          </w:tcPr>
          <w:p w14:paraId="49157EC0"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RF_6</w:t>
            </w:r>
          </w:p>
        </w:tc>
        <w:tc>
          <w:tcPr>
            <w:tcW w:w="1264" w:type="dxa"/>
          </w:tcPr>
          <w:p w14:paraId="58AC7ADE"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6BF27ECC"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27</w:t>
            </w:r>
          </w:p>
        </w:tc>
        <w:tc>
          <w:tcPr>
            <w:tcW w:w="1800" w:type="dxa"/>
          </w:tcPr>
          <w:p w14:paraId="50F7446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71.1</w:t>
            </w:r>
          </w:p>
        </w:tc>
        <w:tc>
          <w:tcPr>
            <w:tcW w:w="1444" w:type="dxa"/>
          </w:tcPr>
          <w:p w14:paraId="3907293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82.7</w:t>
            </w:r>
          </w:p>
        </w:tc>
        <w:tc>
          <w:tcPr>
            <w:tcW w:w="1264" w:type="dxa"/>
          </w:tcPr>
          <w:p w14:paraId="62C4CCA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81.1</w:t>
            </w:r>
          </w:p>
        </w:tc>
      </w:tr>
      <w:tr w:rsidR="00EF273C" w14:paraId="62EBC47D" w14:textId="77777777" w:rsidTr="00114DBF">
        <w:trPr>
          <w:trHeight w:val="259"/>
          <w:jc w:val="center"/>
        </w:trPr>
        <w:tc>
          <w:tcPr>
            <w:tcW w:w="902" w:type="dxa"/>
          </w:tcPr>
          <w:p w14:paraId="10F82010"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lastRenderedPageBreak/>
              <w:t>RF_7</w:t>
            </w:r>
          </w:p>
        </w:tc>
        <w:tc>
          <w:tcPr>
            <w:tcW w:w="1264" w:type="dxa"/>
          </w:tcPr>
          <w:p w14:paraId="19F2C95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122241E2"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22</w:t>
            </w:r>
          </w:p>
        </w:tc>
        <w:tc>
          <w:tcPr>
            <w:tcW w:w="1800" w:type="dxa"/>
          </w:tcPr>
          <w:p w14:paraId="47462E9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71.9</w:t>
            </w:r>
          </w:p>
        </w:tc>
        <w:tc>
          <w:tcPr>
            <w:tcW w:w="1444" w:type="dxa"/>
          </w:tcPr>
          <w:p w14:paraId="6A75B56F"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82.1</w:t>
            </w:r>
          </w:p>
        </w:tc>
        <w:tc>
          <w:tcPr>
            <w:tcW w:w="1264" w:type="dxa"/>
          </w:tcPr>
          <w:p w14:paraId="40BE6314"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80.7</w:t>
            </w:r>
          </w:p>
        </w:tc>
      </w:tr>
      <w:tr w:rsidR="00EF273C" w14:paraId="2A82E18B" w14:textId="77777777" w:rsidTr="00114DBF">
        <w:trPr>
          <w:trHeight w:val="271"/>
          <w:jc w:val="center"/>
        </w:trPr>
        <w:tc>
          <w:tcPr>
            <w:tcW w:w="902" w:type="dxa"/>
          </w:tcPr>
          <w:p w14:paraId="09DDE188"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RF_8</w:t>
            </w:r>
          </w:p>
        </w:tc>
        <w:tc>
          <w:tcPr>
            <w:tcW w:w="1264" w:type="dxa"/>
          </w:tcPr>
          <w:p w14:paraId="2021C406"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30</w:t>
            </w:r>
          </w:p>
        </w:tc>
        <w:tc>
          <w:tcPr>
            <w:tcW w:w="727" w:type="dxa"/>
          </w:tcPr>
          <w:p w14:paraId="4A69D4B3"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25</w:t>
            </w:r>
          </w:p>
        </w:tc>
        <w:tc>
          <w:tcPr>
            <w:tcW w:w="1800" w:type="dxa"/>
          </w:tcPr>
          <w:p w14:paraId="5911AB8C"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70.9</w:t>
            </w:r>
          </w:p>
        </w:tc>
        <w:tc>
          <w:tcPr>
            <w:tcW w:w="1444" w:type="dxa"/>
          </w:tcPr>
          <w:p w14:paraId="15EEEF81"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81.6</w:t>
            </w:r>
          </w:p>
        </w:tc>
        <w:tc>
          <w:tcPr>
            <w:tcW w:w="1264" w:type="dxa"/>
          </w:tcPr>
          <w:p w14:paraId="0A66F2F2" w14:textId="77777777" w:rsidR="00EF273C" w:rsidRPr="00A42E73" w:rsidRDefault="00EF273C" w:rsidP="00114DBF">
            <w:pPr>
              <w:spacing w:after="0"/>
              <w:jc w:val="center"/>
              <w:rPr>
                <w:rFonts w:ascii="Times New Roman" w:hAnsi="Times New Roman" w:cs="Times New Roman"/>
                <w:sz w:val="16"/>
                <w:szCs w:val="20"/>
              </w:rPr>
            </w:pPr>
            <w:r w:rsidRPr="00A42E73">
              <w:rPr>
                <w:rFonts w:ascii="Times New Roman" w:hAnsi="Times New Roman" w:cs="Times New Roman"/>
                <w:sz w:val="16"/>
                <w:szCs w:val="20"/>
              </w:rPr>
              <w:t>80.3</w:t>
            </w:r>
          </w:p>
        </w:tc>
      </w:tr>
      <w:tr w:rsidR="00EF273C" w14:paraId="0CFAB7D4" w14:textId="77777777" w:rsidTr="00114DBF">
        <w:trPr>
          <w:trHeight w:val="259"/>
          <w:jc w:val="center"/>
        </w:trPr>
        <w:tc>
          <w:tcPr>
            <w:tcW w:w="902" w:type="dxa"/>
          </w:tcPr>
          <w:p w14:paraId="7A134ABD"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RF_9</w:t>
            </w:r>
          </w:p>
        </w:tc>
        <w:tc>
          <w:tcPr>
            <w:tcW w:w="1264" w:type="dxa"/>
          </w:tcPr>
          <w:p w14:paraId="51272C2C"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30</w:t>
            </w:r>
          </w:p>
        </w:tc>
        <w:tc>
          <w:tcPr>
            <w:tcW w:w="727" w:type="dxa"/>
          </w:tcPr>
          <w:p w14:paraId="66D66308"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24</w:t>
            </w:r>
          </w:p>
        </w:tc>
        <w:tc>
          <w:tcPr>
            <w:tcW w:w="1800" w:type="dxa"/>
          </w:tcPr>
          <w:p w14:paraId="49A21BF2"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70.6</w:t>
            </w:r>
          </w:p>
        </w:tc>
        <w:tc>
          <w:tcPr>
            <w:tcW w:w="1444" w:type="dxa"/>
          </w:tcPr>
          <w:p w14:paraId="6B16FE49"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81.3</w:t>
            </w:r>
          </w:p>
        </w:tc>
        <w:tc>
          <w:tcPr>
            <w:tcW w:w="1264" w:type="dxa"/>
          </w:tcPr>
          <w:p w14:paraId="6C261B85" w14:textId="77777777" w:rsidR="00EF273C" w:rsidRPr="00A42E73" w:rsidRDefault="00EF273C" w:rsidP="00114DBF">
            <w:pPr>
              <w:spacing w:after="0"/>
              <w:jc w:val="center"/>
              <w:rPr>
                <w:rFonts w:ascii="Times New Roman" w:hAnsi="Times New Roman" w:cs="Times New Roman"/>
                <w:b/>
                <w:bCs/>
                <w:sz w:val="16"/>
                <w:szCs w:val="20"/>
              </w:rPr>
            </w:pPr>
            <w:r w:rsidRPr="00A42E73">
              <w:rPr>
                <w:rFonts w:ascii="Times New Roman" w:hAnsi="Times New Roman" w:cs="Times New Roman"/>
                <w:b/>
                <w:bCs/>
                <w:sz w:val="16"/>
                <w:szCs w:val="20"/>
              </w:rPr>
              <w:t>80.2</w:t>
            </w:r>
          </w:p>
        </w:tc>
      </w:tr>
      <w:tr w:rsidR="00EF273C" w14:paraId="0CEB2E51" w14:textId="77777777" w:rsidTr="00114DBF">
        <w:trPr>
          <w:trHeight w:val="271"/>
          <w:jc w:val="center"/>
        </w:trPr>
        <w:tc>
          <w:tcPr>
            <w:tcW w:w="902" w:type="dxa"/>
          </w:tcPr>
          <w:p w14:paraId="096AF2E5"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RF_10</w:t>
            </w:r>
          </w:p>
        </w:tc>
        <w:tc>
          <w:tcPr>
            <w:tcW w:w="1264" w:type="dxa"/>
          </w:tcPr>
          <w:p w14:paraId="66F4FB7A"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30</w:t>
            </w:r>
          </w:p>
        </w:tc>
        <w:tc>
          <w:tcPr>
            <w:tcW w:w="727" w:type="dxa"/>
          </w:tcPr>
          <w:p w14:paraId="5F6071AD"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24</w:t>
            </w:r>
          </w:p>
        </w:tc>
        <w:tc>
          <w:tcPr>
            <w:tcW w:w="1800" w:type="dxa"/>
          </w:tcPr>
          <w:p w14:paraId="11F5EB71"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75.2</w:t>
            </w:r>
          </w:p>
        </w:tc>
        <w:tc>
          <w:tcPr>
            <w:tcW w:w="1444" w:type="dxa"/>
          </w:tcPr>
          <w:p w14:paraId="22560F9D" w14:textId="77777777" w:rsidR="00EF273C" w:rsidRPr="00A42E73" w:rsidRDefault="00EF273C" w:rsidP="00114DBF">
            <w:pPr>
              <w:spacing w:after="0"/>
              <w:jc w:val="center"/>
              <w:rPr>
                <w:rFonts w:ascii="Times New Roman" w:hAnsi="Times New Roman" w:cs="Times New Roman"/>
                <w:b/>
                <w:sz w:val="16"/>
                <w:szCs w:val="20"/>
              </w:rPr>
            </w:pPr>
            <w:r w:rsidRPr="00A42E73">
              <w:rPr>
                <w:rFonts w:ascii="Times New Roman" w:hAnsi="Times New Roman" w:cs="Times New Roman"/>
                <w:b/>
                <w:sz w:val="16"/>
                <w:szCs w:val="20"/>
              </w:rPr>
              <w:t>83.2</w:t>
            </w:r>
          </w:p>
        </w:tc>
        <w:tc>
          <w:tcPr>
            <w:tcW w:w="1264" w:type="dxa"/>
          </w:tcPr>
          <w:p w14:paraId="5AA1D166" w14:textId="77777777" w:rsidR="00EF273C" w:rsidRPr="00A42E73" w:rsidRDefault="00EF273C" w:rsidP="00114DBF">
            <w:pPr>
              <w:spacing w:after="0"/>
              <w:jc w:val="center"/>
              <w:rPr>
                <w:rFonts w:ascii="Times New Roman" w:hAnsi="Times New Roman" w:cs="Times New Roman"/>
                <w:b/>
                <w:bCs/>
                <w:sz w:val="16"/>
                <w:szCs w:val="20"/>
              </w:rPr>
            </w:pPr>
            <w:r w:rsidRPr="00A42E73">
              <w:rPr>
                <w:rFonts w:ascii="Times New Roman" w:hAnsi="Times New Roman" w:cs="Times New Roman"/>
                <w:b/>
                <w:bCs/>
                <w:sz w:val="16"/>
                <w:szCs w:val="20"/>
              </w:rPr>
              <w:t>81.5</w:t>
            </w:r>
          </w:p>
        </w:tc>
      </w:tr>
    </w:tbl>
    <w:p w14:paraId="355CA15C" w14:textId="77777777" w:rsidR="00EF273C" w:rsidRDefault="00EF273C" w:rsidP="00EF273C">
      <w:pPr>
        <w:rPr>
          <w:rStyle w:val="SubtleEmphasis"/>
          <w:i w:val="0"/>
          <w:iCs w:val="0"/>
          <w:lang w:val="en-US"/>
        </w:rPr>
      </w:pPr>
    </w:p>
    <w:p w14:paraId="3DA70849" w14:textId="77777777" w:rsidR="00EF273C" w:rsidRDefault="00EF273C" w:rsidP="00EF273C">
      <w:pPr>
        <w:spacing w:line="259" w:lineRule="auto"/>
        <w:jc w:val="left"/>
        <w:rPr>
          <w:rStyle w:val="SubtleEmphasis"/>
          <w:i w:val="0"/>
          <w:iCs w:val="0"/>
          <w:lang w:val="en-US"/>
        </w:rPr>
      </w:pPr>
      <w:r>
        <w:rPr>
          <w:rStyle w:val="SubtleEmphasis"/>
          <w:lang w:val="en-US"/>
        </w:rPr>
        <w:br w:type="page"/>
      </w:r>
    </w:p>
    <w:p w14:paraId="4BF5A565" w14:textId="77777777" w:rsidR="00EF273C" w:rsidRDefault="00EF273C" w:rsidP="00EF273C">
      <w:pPr>
        <w:rPr>
          <w:rStyle w:val="SubtleEmphasis"/>
          <w:i w:val="0"/>
          <w:iCs w:val="0"/>
          <w:lang w:val="en-US"/>
        </w:rPr>
      </w:pPr>
      <w:r>
        <w:rPr>
          <w:noProof/>
        </w:rPr>
        <w:lastRenderedPageBreak/>
        <w:drawing>
          <wp:inline distT="0" distB="0" distL="0" distR="0" wp14:anchorId="36E65CF5" wp14:editId="3E88F4C0">
            <wp:extent cx="4622800" cy="2946400"/>
            <wp:effectExtent l="0" t="0" r="635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22800" cy="2946400"/>
                    </a:xfrm>
                    <a:prstGeom prst="rect">
                      <a:avLst/>
                    </a:prstGeom>
                    <a:noFill/>
                    <a:ln>
                      <a:noFill/>
                    </a:ln>
                  </pic:spPr>
                </pic:pic>
              </a:graphicData>
            </a:graphic>
          </wp:inline>
        </w:drawing>
      </w:r>
    </w:p>
    <w:p w14:paraId="29D6FB78" w14:textId="77777777" w:rsidR="00EF273C" w:rsidRPr="003B10FD" w:rsidRDefault="00EF273C" w:rsidP="00EF273C">
      <w:pPr>
        <w:jc w:val="center"/>
        <w:rPr>
          <w:rStyle w:val="SubtleEmphasis"/>
          <w:i w:val="0"/>
          <w:iCs w:val="0"/>
          <w:sz w:val="20"/>
          <w:szCs w:val="24"/>
          <w:lang w:val="en-US"/>
        </w:rPr>
      </w:pPr>
      <w:r w:rsidRPr="003524BC">
        <w:rPr>
          <w:b/>
          <w:lang w:val="en-US"/>
        </w:rPr>
        <w:t xml:space="preserve">Figure </w:t>
      </w:r>
      <w:r>
        <w:rPr>
          <w:b/>
          <w:lang w:val="en-US"/>
        </w:rPr>
        <w:t>S7</w:t>
      </w:r>
      <w:r w:rsidRPr="003524BC">
        <w:rPr>
          <w:b/>
          <w:lang w:val="en-US"/>
        </w:rPr>
        <w:t>:</w:t>
      </w:r>
      <w:r w:rsidRPr="003524BC">
        <w:rPr>
          <w:lang w:val="en-US"/>
        </w:rPr>
        <w:t xml:space="preserve"> Regression scatter plot of the Predicted vs. Observed </w:t>
      </w:r>
      <m:oMath>
        <m:sSub>
          <m:sSubPr>
            <m:ctrlPr>
              <w:rPr>
                <w:rFonts w:ascii="Cambria Math" w:hAnsi="Cambria Math"/>
                <w:i/>
                <w:lang w:val="en-US"/>
              </w:rPr>
            </m:ctrlPr>
          </m:sSubPr>
          <m:e>
            <m:r>
              <w:rPr>
                <w:rFonts w:ascii="Cambria Math" w:hAnsi="Cambria Math"/>
                <w:lang w:val="en-US"/>
              </w:rPr>
              <m:t>PIC</m:t>
            </m:r>
          </m:e>
          <m:sub>
            <m:r>
              <w:rPr>
                <w:rFonts w:ascii="Cambria Math" w:hAnsi="Cambria Math"/>
                <w:lang w:val="en-US"/>
              </w:rPr>
              <m:t>50</m:t>
            </m:r>
          </m:sub>
        </m:sSub>
      </m:oMath>
      <w:r w:rsidRPr="003524BC">
        <w:rPr>
          <w:lang w:val="en-US"/>
        </w:rPr>
        <w:t xml:space="preserve"> of our ToxTree-</w:t>
      </w:r>
      <w:r>
        <w:rPr>
          <w:lang w:val="en-US"/>
        </w:rPr>
        <w:t>Nav1.5</w:t>
      </w:r>
      <w:r w:rsidRPr="003524BC">
        <w:rPr>
          <w:lang w:val="en-US"/>
        </w:rPr>
        <w:t xml:space="preserve"> Regressor </w:t>
      </w:r>
      <w:r w:rsidRPr="003524BC">
        <w:rPr>
          <w:lang w:val="en-US"/>
        </w:rPr>
        <w:br/>
        <w:t xml:space="preserve">model on the </w:t>
      </w:r>
      <w:r w:rsidRPr="00665C37">
        <w:rPr>
          <w:lang w:val="en-US"/>
        </w:rPr>
        <w:t>evaluation dataset (</w:t>
      </w:r>
      <w:r w:rsidRPr="00665C37">
        <w:rPr>
          <w:rFonts w:eastAsiaTheme="minorEastAsia"/>
          <w:lang w:val="en-US"/>
        </w:rPr>
        <w:t>EV-Set-Nav</w:t>
      </w:r>
      <w:r w:rsidRPr="00665C37">
        <w:rPr>
          <w:lang w:val="en-US"/>
        </w:rPr>
        <w:t>)</w:t>
      </w:r>
      <w:r w:rsidRPr="003524BC">
        <w:rPr>
          <w:lang w:val="en-US"/>
        </w:rPr>
        <w:t xml:space="preserve"> </w:t>
      </w:r>
      <w:r>
        <w:rPr>
          <w:lang w:val="en-US"/>
        </w:rPr>
        <w:t xml:space="preserve">of </w:t>
      </w:r>
      <w:r w:rsidRPr="003524BC">
        <w:rPr>
          <w:lang w:val="en-US"/>
        </w:rPr>
        <w:t>N=</w:t>
      </w:r>
      <w:r>
        <w:rPr>
          <w:lang w:val="en-US"/>
        </w:rPr>
        <w:t>173 unique molecular compound</w:t>
      </w:r>
    </w:p>
    <w:p w14:paraId="604DA5DE" w14:textId="77777777" w:rsidR="000D772C" w:rsidRPr="00EF273C" w:rsidRDefault="000D772C" w:rsidP="00EF273C"/>
    <w:sectPr w:rsidR="000D772C" w:rsidRPr="00EF273C" w:rsidSect="001879C9">
      <w:type w:val="continuous"/>
      <w:pgSz w:w="11906" w:h="16838"/>
      <w:pgMar w:top="1440" w:right="1894"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C3DA39" w14:textId="77777777" w:rsidR="00D54B8A" w:rsidRDefault="00D54B8A" w:rsidP="00EF273C">
      <w:pPr>
        <w:spacing w:after="0" w:line="240" w:lineRule="auto"/>
      </w:pPr>
      <w:r>
        <w:separator/>
      </w:r>
    </w:p>
  </w:endnote>
  <w:endnote w:type="continuationSeparator" w:id="0">
    <w:p w14:paraId="10D988AB" w14:textId="77777777" w:rsidR="00D54B8A" w:rsidRDefault="00D54B8A" w:rsidP="00EF2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AAA27" w14:textId="77777777" w:rsidR="00D54B8A" w:rsidRDefault="00D54B8A" w:rsidP="00EF273C">
      <w:pPr>
        <w:spacing w:after="0" w:line="240" w:lineRule="auto"/>
      </w:pPr>
      <w:r>
        <w:separator/>
      </w:r>
    </w:p>
  </w:footnote>
  <w:footnote w:type="continuationSeparator" w:id="0">
    <w:p w14:paraId="6BF4901B" w14:textId="77777777" w:rsidR="00D54B8A" w:rsidRDefault="00D54B8A" w:rsidP="00EF273C">
      <w:pPr>
        <w:spacing w:after="0" w:line="240" w:lineRule="auto"/>
      </w:pPr>
      <w:r>
        <w:continuationSeparator/>
      </w:r>
    </w:p>
  </w:footnote>
  <w:footnote w:id="1">
    <w:p w14:paraId="27224A1C" w14:textId="77777777" w:rsidR="00EF273C" w:rsidRPr="00C46BC3" w:rsidRDefault="00EF273C" w:rsidP="00EF273C">
      <w:pPr>
        <w:pStyle w:val="FootnoteText"/>
        <w:rPr>
          <w:rFonts w:ascii="Times New Roman" w:hAnsi="Times New Roman" w:cs="Times New Roman"/>
          <w:lang w:val="en-US"/>
        </w:rPr>
      </w:pPr>
      <w:r w:rsidRPr="00C46BC3">
        <w:rPr>
          <w:rFonts w:ascii="Times New Roman" w:hAnsi="Times New Roman" w:cs="Times New Roman"/>
          <w:lang w:val="en-US"/>
        </w:rPr>
        <w:footnoteRef/>
      </w:r>
      <w:r w:rsidRPr="00C46BC3">
        <w:rPr>
          <w:rFonts w:ascii="Times New Roman" w:hAnsi="Times New Roman" w:cs="Times New Roman"/>
          <w:lang w:val="en-US"/>
        </w:rPr>
        <w:t xml:space="preserve"> https://pubchem.ncbi.nlm.nih.gov/idexchange/idexchange.cgi</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73C"/>
    <w:rsid w:val="00057995"/>
    <w:rsid w:val="00066AC9"/>
    <w:rsid w:val="00067884"/>
    <w:rsid w:val="00075AF5"/>
    <w:rsid w:val="00087966"/>
    <w:rsid w:val="000A3930"/>
    <w:rsid w:val="000D772C"/>
    <w:rsid w:val="000F0E37"/>
    <w:rsid w:val="0011638B"/>
    <w:rsid w:val="00130827"/>
    <w:rsid w:val="00143C20"/>
    <w:rsid w:val="00150BA7"/>
    <w:rsid w:val="001602EB"/>
    <w:rsid w:val="001660E2"/>
    <w:rsid w:val="001735F6"/>
    <w:rsid w:val="001B0A0C"/>
    <w:rsid w:val="001B48FE"/>
    <w:rsid w:val="001C7A70"/>
    <w:rsid w:val="001F7C59"/>
    <w:rsid w:val="00213B39"/>
    <w:rsid w:val="00217D81"/>
    <w:rsid w:val="00232EDA"/>
    <w:rsid w:val="00236991"/>
    <w:rsid w:val="00267225"/>
    <w:rsid w:val="002731EA"/>
    <w:rsid w:val="002750B7"/>
    <w:rsid w:val="002A0C66"/>
    <w:rsid w:val="002A4FFA"/>
    <w:rsid w:val="002D3552"/>
    <w:rsid w:val="00317215"/>
    <w:rsid w:val="003668E0"/>
    <w:rsid w:val="00385AEB"/>
    <w:rsid w:val="003959C4"/>
    <w:rsid w:val="003B1AA0"/>
    <w:rsid w:val="003D4ACE"/>
    <w:rsid w:val="003E2E04"/>
    <w:rsid w:val="00405438"/>
    <w:rsid w:val="004322CB"/>
    <w:rsid w:val="00461058"/>
    <w:rsid w:val="00462DCE"/>
    <w:rsid w:val="00486299"/>
    <w:rsid w:val="004A43D1"/>
    <w:rsid w:val="004A7EC6"/>
    <w:rsid w:val="004B7B57"/>
    <w:rsid w:val="004E0F0D"/>
    <w:rsid w:val="004F6132"/>
    <w:rsid w:val="00504EC7"/>
    <w:rsid w:val="005279DD"/>
    <w:rsid w:val="00546F56"/>
    <w:rsid w:val="00562F7E"/>
    <w:rsid w:val="00577F15"/>
    <w:rsid w:val="005A5744"/>
    <w:rsid w:val="005D1547"/>
    <w:rsid w:val="006100B1"/>
    <w:rsid w:val="00615926"/>
    <w:rsid w:val="00620823"/>
    <w:rsid w:val="00626AF2"/>
    <w:rsid w:val="006312FC"/>
    <w:rsid w:val="00636761"/>
    <w:rsid w:val="00641E86"/>
    <w:rsid w:val="00663FB9"/>
    <w:rsid w:val="00677CA6"/>
    <w:rsid w:val="006A2030"/>
    <w:rsid w:val="006A3A18"/>
    <w:rsid w:val="006A7F86"/>
    <w:rsid w:val="006C2B7D"/>
    <w:rsid w:val="006D00DF"/>
    <w:rsid w:val="006D09A1"/>
    <w:rsid w:val="006D1D40"/>
    <w:rsid w:val="006D74DB"/>
    <w:rsid w:val="006D7EBE"/>
    <w:rsid w:val="006E18FD"/>
    <w:rsid w:val="006F5851"/>
    <w:rsid w:val="006F63EB"/>
    <w:rsid w:val="00705E95"/>
    <w:rsid w:val="00716003"/>
    <w:rsid w:val="007676B9"/>
    <w:rsid w:val="007B2233"/>
    <w:rsid w:val="007B412F"/>
    <w:rsid w:val="007C6D35"/>
    <w:rsid w:val="007E443E"/>
    <w:rsid w:val="007F0756"/>
    <w:rsid w:val="007F3713"/>
    <w:rsid w:val="00882B39"/>
    <w:rsid w:val="00891700"/>
    <w:rsid w:val="00896F41"/>
    <w:rsid w:val="008B518F"/>
    <w:rsid w:val="008D013E"/>
    <w:rsid w:val="008F331A"/>
    <w:rsid w:val="00905D2D"/>
    <w:rsid w:val="009107DE"/>
    <w:rsid w:val="00947BA3"/>
    <w:rsid w:val="0095051D"/>
    <w:rsid w:val="00977B5D"/>
    <w:rsid w:val="009A7990"/>
    <w:rsid w:val="009E7E34"/>
    <w:rsid w:val="009F13E7"/>
    <w:rsid w:val="00A11892"/>
    <w:rsid w:val="00A1693B"/>
    <w:rsid w:val="00A23918"/>
    <w:rsid w:val="00A700B0"/>
    <w:rsid w:val="00A702A4"/>
    <w:rsid w:val="00A77F83"/>
    <w:rsid w:val="00A81129"/>
    <w:rsid w:val="00AB0E93"/>
    <w:rsid w:val="00AC0071"/>
    <w:rsid w:val="00AE12B8"/>
    <w:rsid w:val="00AE39B5"/>
    <w:rsid w:val="00B010E8"/>
    <w:rsid w:val="00B0399B"/>
    <w:rsid w:val="00B070A1"/>
    <w:rsid w:val="00B154F4"/>
    <w:rsid w:val="00B36621"/>
    <w:rsid w:val="00B4126F"/>
    <w:rsid w:val="00B827F7"/>
    <w:rsid w:val="00B85067"/>
    <w:rsid w:val="00B86004"/>
    <w:rsid w:val="00B95ACB"/>
    <w:rsid w:val="00BA43DD"/>
    <w:rsid w:val="00BB5375"/>
    <w:rsid w:val="00BB5CAD"/>
    <w:rsid w:val="00BB6ABF"/>
    <w:rsid w:val="00BD740D"/>
    <w:rsid w:val="00C31ACA"/>
    <w:rsid w:val="00C6241D"/>
    <w:rsid w:val="00CB4928"/>
    <w:rsid w:val="00CB700B"/>
    <w:rsid w:val="00D00017"/>
    <w:rsid w:val="00D02012"/>
    <w:rsid w:val="00D11B9B"/>
    <w:rsid w:val="00D12B8E"/>
    <w:rsid w:val="00D13C5E"/>
    <w:rsid w:val="00D45D79"/>
    <w:rsid w:val="00D54B8A"/>
    <w:rsid w:val="00D625DF"/>
    <w:rsid w:val="00D903B1"/>
    <w:rsid w:val="00DB543E"/>
    <w:rsid w:val="00DB641D"/>
    <w:rsid w:val="00DC1112"/>
    <w:rsid w:val="00DF37FC"/>
    <w:rsid w:val="00E2096F"/>
    <w:rsid w:val="00E511FC"/>
    <w:rsid w:val="00E53E74"/>
    <w:rsid w:val="00E70FA3"/>
    <w:rsid w:val="00E73850"/>
    <w:rsid w:val="00E87347"/>
    <w:rsid w:val="00EB2640"/>
    <w:rsid w:val="00EB713A"/>
    <w:rsid w:val="00ED4DD8"/>
    <w:rsid w:val="00EF249F"/>
    <w:rsid w:val="00EF273C"/>
    <w:rsid w:val="00F01F36"/>
    <w:rsid w:val="00F02511"/>
    <w:rsid w:val="00F83099"/>
    <w:rsid w:val="00F85C66"/>
    <w:rsid w:val="00FC1D03"/>
    <w:rsid w:val="00FD1735"/>
    <w:rsid w:val="00FD4235"/>
    <w:rsid w:val="00FD5627"/>
    <w:rsid w:val="00FE24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1E52E"/>
  <w15:chartTrackingRefBased/>
  <w15:docId w15:val="{4BD06E0E-F420-B441-A6B1-0B49783AA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273C"/>
    <w:pPr>
      <w:spacing w:after="160" w:line="480" w:lineRule="auto"/>
      <w:jc w:val="both"/>
    </w:pPr>
    <w:rPr>
      <w:rFonts w:ascii="Cambria" w:hAnsi="Cambria"/>
      <w:szCs w:val="22"/>
      <w:lang w:val="en-GB"/>
    </w:rPr>
  </w:style>
  <w:style w:type="paragraph" w:styleId="Heading1">
    <w:name w:val="heading 1"/>
    <w:basedOn w:val="Normal"/>
    <w:next w:val="Normal"/>
    <w:link w:val="Heading1Char"/>
    <w:autoRedefine/>
    <w:uiPriority w:val="9"/>
    <w:qFormat/>
    <w:rsid w:val="00EF273C"/>
    <w:pPr>
      <w:keepNext/>
      <w:keepLines/>
      <w:spacing w:after="0"/>
      <w:outlineLvl w:val="0"/>
    </w:pPr>
    <w:rPr>
      <w:rFonts w:eastAsiaTheme="majorEastAsia" w:cstheme="majorBidi"/>
      <w:b/>
      <w:color w:val="000000" w:themeColor="text1"/>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73C"/>
    <w:rPr>
      <w:rFonts w:ascii="Cambria" w:eastAsiaTheme="majorEastAsia" w:hAnsi="Cambria" w:cstheme="majorBidi"/>
      <w:b/>
      <w:color w:val="000000" w:themeColor="text1"/>
      <w:szCs w:val="32"/>
      <w:lang w:val="en-US"/>
    </w:rPr>
  </w:style>
  <w:style w:type="paragraph" w:styleId="FootnoteText">
    <w:name w:val="footnote text"/>
    <w:basedOn w:val="Normal"/>
    <w:link w:val="FootnoteTextChar"/>
    <w:uiPriority w:val="99"/>
    <w:semiHidden/>
    <w:unhideWhenUsed/>
    <w:rsid w:val="00EF273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273C"/>
    <w:rPr>
      <w:rFonts w:ascii="Cambria" w:hAnsi="Cambria"/>
      <w:sz w:val="20"/>
      <w:szCs w:val="20"/>
      <w:lang w:val="en-GB"/>
    </w:rPr>
  </w:style>
  <w:style w:type="character" w:styleId="FootnoteReference">
    <w:name w:val="footnote reference"/>
    <w:basedOn w:val="DefaultParagraphFont"/>
    <w:uiPriority w:val="99"/>
    <w:semiHidden/>
    <w:unhideWhenUsed/>
    <w:rsid w:val="00EF273C"/>
    <w:rPr>
      <w:vertAlign w:val="superscript"/>
    </w:rPr>
  </w:style>
  <w:style w:type="character" w:styleId="SubtleEmphasis">
    <w:name w:val="Subtle Emphasis"/>
    <w:basedOn w:val="DefaultParagraphFont"/>
    <w:uiPriority w:val="19"/>
    <w:qFormat/>
    <w:rsid w:val="00EF273C"/>
    <w:rPr>
      <w:rFonts w:ascii="Cambria" w:hAnsi="Cambria"/>
      <w:i/>
      <w:iCs/>
      <w:color w:val="404040" w:themeColor="text1" w:themeTint="BF"/>
      <w:sz w:val="24"/>
    </w:rPr>
  </w:style>
  <w:style w:type="paragraph" w:styleId="Title">
    <w:name w:val="Title"/>
    <w:basedOn w:val="Normal"/>
    <w:next w:val="Normal"/>
    <w:link w:val="TitleChar"/>
    <w:autoRedefine/>
    <w:uiPriority w:val="10"/>
    <w:qFormat/>
    <w:rsid w:val="00EF273C"/>
    <w:pPr>
      <w:spacing w:after="0" w:line="240" w:lineRule="auto"/>
      <w:contextualSpacing/>
      <w:jc w:val="center"/>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EF273C"/>
    <w:rPr>
      <w:rFonts w:ascii="Cambria" w:eastAsiaTheme="majorEastAsia" w:hAnsi="Cambria" w:cstheme="majorBidi"/>
      <w:b/>
      <w:spacing w:val="-10"/>
      <w:kern w:val="28"/>
      <w:sz w:val="48"/>
      <w:szCs w:val="56"/>
      <w:lang w:val="en-GB"/>
    </w:rPr>
  </w:style>
  <w:style w:type="character" w:styleId="Hyperlink">
    <w:name w:val="Hyperlink"/>
    <w:basedOn w:val="DefaultParagraphFont"/>
    <w:uiPriority w:val="99"/>
    <w:unhideWhenUsed/>
    <w:rsid w:val="00EF27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1908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kbarakat@ualberta.ca"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1266</Words>
  <Characters>7221</Characters>
  <Application>Microsoft Office Word</Application>
  <DocSecurity>0</DocSecurity>
  <Lines>60</Lines>
  <Paragraphs>16</Paragraphs>
  <ScaleCrop>false</ScaleCrop>
  <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kbarakat@ualberta.ca</dc:creator>
  <cp:keywords/>
  <dc:description/>
  <cp:lastModifiedBy>kbarakat@ualberta.ca</cp:lastModifiedBy>
  <cp:revision>1</cp:revision>
  <dcterms:created xsi:type="dcterms:W3CDTF">2022-05-01T18:01:00Z</dcterms:created>
  <dcterms:modified xsi:type="dcterms:W3CDTF">2022-05-01T18:09:00Z</dcterms:modified>
</cp:coreProperties>
</file>