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20" w:type="dxa"/>
        <w:tblInd w:w="-522" w:type="dxa"/>
        <w:tblLook w:val="04A0" w:firstRow="1" w:lastRow="0" w:firstColumn="1" w:lastColumn="0" w:noHBand="0" w:noVBand="1"/>
      </w:tblPr>
      <w:tblGrid>
        <w:gridCol w:w="3465"/>
        <w:gridCol w:w="6255"/>
      </w:tblGrid>
      <w:tr w:rsidR="003339B4" w:rsidRPr="0070260C" w:rsidTr="00BE492C">
        <w:tc>
          <w:tcPr>
            <w:tcW w:w="9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b/>
                <w:sz w:val="28"/>
                <w:szCs w:val="28"/>
              </w:rPr>
              <w:t xml:space="preserve">Table </w:t>
            </w:r>
            <w:r>
              <w:rPr>
                <w:b/>
                <w:sz w:val="28"/>
                <w:szCs w:val="28"/>
              </w:rPr>
              <w:t>A</w:t>
            </w:r>
            <w:r w:rsidRPr="0070260C">
              <w:rPr>
                <w:b/>
                <w:sz w:val="28"/>
                <w:szCs w:val="28"/>
              </w:rPr>
              <w:t>: Operational definitions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70260C">
              <w:rPr>
                <w:b/>
                <w:sz w:val="28"/>
                <w:szCs w:val="28"/>
              </w:rPr>
              <w:t>(Supplementary table 1)</w:t>
            </w:r>
          </w:p>
        </w:tc>
      </w:tr>
      <w:tr w:rsidR="003339B4" w:rsidRPr="0070260C" w:rsidTr="00BE492C"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70260C">
              <w:rPr>
                <w:b/>
                <w:bCs/>
                <w:sz w:val="28"/>
                <w:szCs w:val="28"/>
              </w:rPr>
              <w:t>DR –TB</w:t>
            </w:r>
          </w:p>
          <w:p w:rsidR="003339B4" w:rsidRPr="0070260C" w:rsidRDefault="003339B4" w:rsidP="00BE492C"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  <w:shd w:val="clear" w:color="auto" w:fill="FFFFFF"/>
              </w:rPr>
              <w:t xml:space="preserve">A patient having bacilli that are resistant </w:t>
            </w:r>
            <w:r w:rsidRPr="0070260C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using </w:t>
            </w:r>
            <w:r w:rsidRPr="0070260C">
              <w:rPr>
                <w:bCs/>
                <w:color w:val="000000" w:themeColor="text1"/>
                <w:sz w:val="28"/>
                <w:szCs w:val="28"/>
              </w:rPr>
              <w:t>phenotypic or genotypic methods</w:t>
            </w:r>
            <w:r w:rsidRPr="0070260C">
              <w:rPr>
                <w:color w:val="000000"/>
                <w:sz w:val="28"/>
                <w:szCs w:val="28"/>
                <w:shd w:val="clear" w:color="auto" w:fill="FFFFFF"/>
              </w:rPr>
              <w:t xml:space="preserve"> to at least Isoniazid or Rifampicin (the DST result being from an RNTCP accredited IRL) </w:t>
            </w:r>
          </w:p>
        </w:tc>
      </w:tr>
      <w:tr w:rsidR="003339B4" w:rsidRPr="0070260C" w:rsidTr="00BE492C">
        <w:trPr>
          <w:trHeight w:val="1598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rPr>
                <w:b/>
                <w:sz w:val="28"/>
                <w:szCs w:val="28"/>
              </w:rPr>
            </w:pPr>
            <w:r w:rsidRPr="0070260C">
              <w:rPr>
                <w:b/>
                <w:sz w:val="28"/>
                <w:szCs w:val="28"/>
              </w:rPr>
              <w:t xml:space="preserve">Adverse Event (AE) 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0260C">
              <w:rPr>
                <w:sz w:val="28"/>
                <w:szCs w:val="28"/>
              </w:rPr>
              <w:t>Any untoward medical occurrence in a patient or clinical investigation subject given a pharmaceutical product; does not necessarily have a causal relationship with such treatment.</w:t>
            </w:r>
            <w:r w:rsidRPr="0070260C">
              <w:rPr>
                <w:sz w:val="28"/>
                <w:szCs w:val="28"/>
              </w:rPr>
              <w:fldChar w:fldCharType="begin" w:fldLock="1"/>
            </w:r>
            <w:r w:rsidRPr="0070260C">
              <w:rPr>
                <w:sz w:val="28"/>
                <w:szCs w:val="28"/>
              </w:rPr>
              <w:instrText>ADDIN CSL_CITATION {"citationItems":[{"id":"ITEM-1","itemData":{"ISBN":"9780429132032","author":[{"dropping-particle":"","family":"Deborah Rosenbaum","given":"Fred Smith","non-dropping-particle":"","parse-names":false,"suffix":""}],"id":"ITEM-1","issued":{"date-parts":[["1998"]]},"publisher":"CRC Press ","title":"Clinical Research Monitor Handbook: GCP Tools and Techniques, Second Edition - CRC Press Book","type":"book"},"uris":["http://www.mendeley.com/documents/?uuid=5bed2722-5d1b-3184-93a6-2269948a319c"]}],"mendeley":{"formattedCitation":"(18)","plainTextFormattedCitation":"(18)","previouslyFormattedCitation":"(18)"},"properties":{"noteIndex":0},"schema":"https://github.com/citation-style-language/schema/raw/master/csl-citation.json"}</w:instrText>
            </w:r>
            <w:r w:rsidRPr="0070260C">
              <w:rPr>
                <w:sz w:val="28"/>
                <w:szCs w:val="28"/>
              </w:rPr>
              <w:fldChar w:fldCharType="separate"/>
            </w:r>
            <w:r w:rsidRPr="0070260C">
              <w:rPr>
                <w:noProof/>
                <w:sz w:val="28"/>
                <w:szCs w:val="28"/>
              </w:rPr>
              <w:t>(18)</w:t>
            </w:r>
            <w:r w:rsidRPr="0070260C">
              <w:rPr>
                <w:sz w:val="28"/>
                <w:szCs w:val="28"/>
              </w:rPr>
              <w:fldChar w:fldCharType="end"/>
            </w:r>
          </w:p>
        </w:tc>
      </w:tr>
      <w:tr w:rsidR="003339B4" w:rsidRPr="0070260C" w:rsidTr="00BE492C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b/>
                <w:bCs/>
                <w:sz w:val="28"/>
                <w:szCs w:val="28"/>
              </w:rPr>
              <w:t>Loss to follow up (LTFU)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70260C">
              <w:rPr>
                <w:sz w:val="28"/>
                <w:szCs w:val="28"/>
              </w:rPr>
              <w:t>A patient whose treatment was interrupted for one consecutive month or more.</w:t>
            </w:r>
            <w:r w:rsidRPr="0070260C">
              <w:rPr>
                <w:sz w:val="28"/>
                <w:szCs w:val="28"/>
              </w:rPr>
              <w:fldChar w:fldCharType="begin" w:fldLock="1"/>
            </w:r>
            <w:r w:rsidRPr="0070260C"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 w:rsidRPr="0070260C">
              <w:rPr>
                <w:sz w:val="28"/>
                <w:szCs w:val="28"/>
              </w:rPr>
              <w:fldChar w:fldCharType="separate"/>
            </w:r>
            <w:r w:rsidRPr="0070260C">
              <w:rPr>
                <w:noProof/>
                <w:sz w:val="28"/>
                <w:szCs w:val="28"/>
              </w:rPr>
              <w:t>(3)</w:t>
            </w:r>
            <w:r w:rsidRPr="0070260C">
              <w:rPr>
                <w:sz w:val="28"/>
                <w:szCs w:val="28"/>
              </w:rPr>
              <w:fldChar w:fldCharType="end"/>
            </w:r>
          </w:p>
        </w:tc>
      </w:tr>
      <w:tr w:rsidR="003339B4" w:rsidRPr="0070260C" w:rsidTr="00BE492C">
        <w:trPr>
          <w:trHeight w:val="1035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b/>
                <w:bCs/>
                <w:sz w:val="28"/>
                <w:szCs w:val="28"/>
              </w:rPr>
              <w:t>Transferred out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70260C">
              <w:rPr>
                <w:sz w:val="28"/>
                <w:szCs w:val="28"/>
              </w:rPr>
              <w:t>A patient who was transferred to another DR-TB center.</w:t>
            </w:r>
            <w:r w:rsidRPr="0070260C">
              <w:rPr>
                <w:sz w:val="28"/>
                <w:szCs w:val="28"/>
              </w:rPr>
              <w:fldChar w:fldCharType="begin" w:fldLock="1"/>
            </w:r>
            <w:r w:rsidRPr="0070260C"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 w:rsidRPr="0070260C">
              <w:rPr>
                <w:sz w:val="28"/>
                <w:szCs w:val="28"/>
              </w:rPr>
              <w:fldChar w:fldCharType="separate"/>
            </w:r>
            <w:r w:rsidRPr="0070260C">
              <w:rPr>
                <w:noProof/>
                <w:sz w:val="28"/>
                <w:szCs w:val="28"/>
              </w:rPr>
              <w:t>(3)</w:t>
            </w:r>
            <w:r w:rsidRPr="0070260C">
              <w:rPr>
                <w:sz w:val="28"/>
                <w:szCs w:val="28"/>
              </w:rPr>
              <w:fldChar w:fldCharType="end"/>
            </w:r>
          </w:p>
        </w:tc>
      </w:tr>
      <w:tr w:rsidR="003339B4" w:rsidRPr="0070260C" w:rsidTr="00BE492C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b/>
                <w:bCs/>
                <w:sz w:val="28"/>
                <w:szCs w:val="28"/>
              </w:rPr>
              <w:t>Addiction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70260C">
              <w:rPr>
                <w:sz w:val="28"/>
                <w:szCs w:val="28"/>
              </w:rPr>
              <w:t>Patient reporting to currently consuming any addictive substance (Tobacco chewing/smoking, Alcohol) in any amount or frequency; and consuming  the substance for more than a year, and not having quit the same before a year of treatment initiation is termed as having addiction to that particular substance in the context of our study.</w:t>
            </w:r>
          </w:p>
        </w:tc>
      </w:tr>
      <w:tr w:rsidR="003339B4" w:rsidRPr="0070260C" w:rsidTr="00BE492C"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spacing w:line="360" w:lineRule="auto"/>
              <w:jc w:val="both"/>
              <w:rPr>
                <w:b/>
                <w:bCs/>
                <w:sz w:val="28"/>
                <w:szCs w:val="28"/>
              </w:rPr>
            </w:pPr>
            <w:r w:rsidRPr="0070260C">
              <w:rPr>
                <w:b/>
                <w:bCs/>
                <w:sz w:val="28"/>
                <w:szCs w:val="28"/>
              </w:rPr>
              <w:t>Treatment-seeking behavior</w:t>
            </w:r>
          </w:p>
        </w:tc>
        <w:tc>
          <w:tcPr>
            <w:tcW w:w="6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 w:rsidRPr="0070260C">
              <w:rPr>
                <w:sz w:val="28"/>
                <w:szCs w:val="28"/>
              </w:rPr>
              <w:t>If patient contacted any health care provider for notification or for management of Adverse event experienced after DR-TB treatment, he/she was considered as having sought treatment. The tendency of patients to report/seek treatment for AE is being interpreted as treatment seeking behavior, in the context of our study.</w:t>
            </w:r>
          </w:p>
        </w:tc>
      </w:tr>
    </w:tbl>
    <w:p w:rsidR="003339B4" w:rsidRPr="0070260C" w:rsidRDefault="003339B4" w:rsidP="003339B4">
      <w:pPr>
        <w:spacing w:line="360" w:lineRule="auto"/>
        <w:rPr>
          <w:sz w:val="28"/>
          <w:szCs w:val="28"/>
        </w:rPr>
      </w:pPr>
    </w:p>
    <w:p w:rsidR="003339B4" w:rsidRPr="0070260C" w:rsidRDefault="003339B4" w:rsidP="003339B4">
      <w:pPr>
        <w:rPr>
          <w:sz w:val="28"/>
          <w:szCs w:val="28"/>
        </w:rPr>
      </w:pPr>
      <w:r w:rsidRPr="0070260C">
        <w:rPr>
          <w:sz w:val="28"/>
          <w:szCs w:val="28"/>
        </w:rPr>
        <w:br w:type="page"/>
      </w:r>
    </w:p>
    <w:p w:rsidR="003339B4" w:rsidRPr="0070260C" w:rsidRDefault="003339B4" w:rsidP="003339B4">
      <w:pPr>
        <w:spacing w:line="360" w:lineRule="auto"/>
        <w:jc w:val="both"/>
        <w:rPr>
          <w:sz w:val="28"/>
          <w:szCs w:val="28"/>
        </w:rPr>
      </w:pPr>
      <w:r w:rsidRPr="0070260C">
        <w:rPr>
          <w:sz w:val="28"/>
          <w:szCs w:val="28"/>
        </w:rPr>
        <w:lastRenderedPageBreak/>
        <w:t>Supplementary table:-</w:t>
      </w:r>
      <w:r>
        <w:rPr>
          <w:sz w:val="28"/>
          <w:szCs w:val="28"/>
        </w:rPr>
        <w:t xml:space="preserve">B </w:t>
      </w:r>
      <w:r w:rsidRPr="00455760">
        <w:rPr>
          <w:b/>
          <w:sz w:val="28"/>
          <w:szCs w:val="28"/>
        </w:rPr>
        <w:t>(Supplementary table 2)</w:t>
      </w:r>
    </w:p>
    <w:p w:rsidR="003339B4" w:rsidRPr="0070260C" w:rsidRDefault="003339B4" w:rsidP="003339B4">
      <w:pPr>
        <w:spacing w:after="240"/>
        <w:rPr>
          <w:color w:val="000000"/>
          <w:sz w:val="28"/>
          <w:szCs w:val="28"/>
        </w:rPr>
      </w:pPr>
      <w:r w:rsidRPr="0070260C">
        <w:rPr>
          <w:color w:val="000000"/>
          <w:sz w:val="28"/>
          <w:szCs w:val="28"/>
        </w:rPr>
        <w:t>Symptoms of adverse events (n=207) experienced by patients during first three months of initiation of DR-TB treatment (during July-September 2018) under the RNTCP at a DR-TB Center, Ahmedabad, Gujarat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9"/>
        <w:gridCol w:w="2113"/>
        <w:gridCol w:w="3328"/>
        <w:gridCol w:w="1605"/>
        <w:gridCol w:w="1663"/>
      </w:tblGrid>
      <w:tr w:rsidR="003339B4" w:rsidRPr="0070260C" w:rsidTr="00BE492C"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No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System involved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  <w:t>Symptom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0260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260C">
              <w:rPr>
                <w:rFonts w:ascii="Times New Roman" w:hAnsi="Times New Roman" w:cs="Times New Roman"/>
                <w:b/>
                <w:sz w:val="28"/>
                <w:szCs w:val="28"/>
              </w:rPr>
              <w:t>Percentage</w:t>
            </w:r>
          </w:p>
        </w:tc>
      </w:tr>
      <w:tr w:rsidR="003339B4" w:rsidRPr="0070260C" w:rsidTr="00BE492C"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Gastrointestinal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Nausea/vomiting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  <w:lang w:val="en-IN"/>
              </w:rPr>
            </w:pPr>
            <w:r w:rsidRPr="0070260C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10.1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abdomen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5.3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Diarrhea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4.3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Loss of appetite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7.2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2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Ophthalmology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eyes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Blurred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Disturbed color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3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Otolaryngology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hearing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Ringing of ear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Hearing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Balance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Urinary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Anuria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Oliguria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Dark colored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Face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Leg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5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Psychiatric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Suicidal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Hallucination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Depression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Abnormal behavior/thoughts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6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Central nervous system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Slowness of activity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Convulsion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Hepato-biliary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skin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eye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8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Peripheral nervous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Tingling/numbness/burning in lower extremity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9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Musculoskeletal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joints/tendons/walking difficulty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10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Dermatology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70260C" w:rsidTr="00BE492C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Itch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11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Other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0260C">
              <w:rPr>
                <w:rFonts w:ascii="Times New Roman" w:eastAsia="Calibri" w:hAnsi="Times New Roman" w:cs="Times New Roman"/>
                <w:sz w:val="28"/>
                <w:szCs w:val="28"/>
              </w:rPr>
              <w:t>Hair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Oral cavity 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Weight gain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val="en-IN" w:bidi="gu-IN"/>
              </w:rPr>
              <w:t>Bitterness of mouth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val="en-IN" w:bidi="gu-IN"/>
              </w:rPr>
              <w:t>Menstruation irregularity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Lethargy/tiredness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Dryness of mouth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Pallor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Palpitation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Headache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Swelling of neck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3339B4" w:rsidRPr="0070260C" w:rsidTr="00BE492C">
        <w:trPr>
          <w:trHeight w:val="87"/>
        </w:trPr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Flu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3339B4" w:rsidRPr="00655576" w:rsidTr="00BE492C">
        <w:trPr>
          <w:trHeight w:val="87"/>
        </w:trPr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70260C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Total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339B4" w:rsidRPr="0070260C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207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339B4" w:rsidRPr="009B15CF" w:rsidRDefault="003339B4" w:rsidP="00BE492C">
            <w:pPr>
              <w:rPr>
                <w:color w:val="000000"/>
                <w:sz w:val="28"/>
                <w:szCs w:val="28"/>
              </w:rPr>
            </w:pPr>
            <w:r w:rsidRPr="0070260C">
              <w:rPr>
                <w:color w:val="000000"/>
                <w:sz w:val="28"/>
                <w:szCs w:val="28"/>
              </w:rPr>
              <w:t>100.0</w:t>
            </w:r>
          </w:p>
        </w:tc>
      </w:tr>
    </w:tbl>
    <w:p w:rsidR="003339B4" w:rsidRDefault="003339B4" w:rsidP="003339B4">
      <w:pPr>
        <w:spacing w:line="360" w:lineRule="auto"/>
        <w:rPr>
          <w:sz w:val="28"/>
          <w:szCs w:val="28"/>
        </w:rPr>
      </w:pPr>
    </w:p>
    <w:p w:rsidR="003339B4" w:rsidRDefault="003339B4" w:rsidP="003339B4">
      <w:pPr>
        <w:spacing w:line="360" w:lineRule="auto"/>
        <w:rPr>
          <w:sz w:val="28"/>
          <w:szCs w:val="28"/>
        </w:rPr>
      </w:pPr>
    </w:p>
    <w:p w:rsidR="003339B4" w:rsidRDefault="003339B4" w:rsidP="003339B4"/>
    <w:p w:rsidR="00526F39" w:rsidRDefault="00526F39">
      <w:bookmarkStart w:id="0" w:name="_GoBack"/>
      <w:bookmarkEnd w:id="0"/>
    </w:p>
    <w:sectPr w:rsidR="00526F39" w:rsidSect="003339B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1134" w:bottom="1134" w:left="1134" w:header="709" w:footer="85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7529" w:rsidRDefault="003339B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9B4"/>
    <w:rsid w:val="003339B4"/>
    <w:rsid w:val="00526F39"/>
    <w:rsid w:val="005C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252B8FC3-681C-AC48-9FC5-1A015F26C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9B4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339B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/>
    </w:rPr>
  </w:style>
  <w:style w:type="table" w:styleId="TableGrid">
    <w:name w:val="Table Grid"/>
    <w:basedOn w:val="TableNormal"/>
    <w:uiPriority w:val="39"/>
    <w:rsid w:val="003339B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339B4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val="en-US" w:bidi="gu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727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Arjunkumar</dc:creator>
  <cp:keywords/>
  <dc:description/>
  <cp:lastModifiedBy>Arjunkumar</cp:lastModifiedBy>
  <cp:revision>1</cp:revision>
  <dcterms:created xsi:type="dcterms:W3CDTF">2020-11-17T14:38:00Z</dcterms:created>
  <dcterms:modified xsi:type="dcterms:W3CDTF">2020-11-17T14:38:00Z</dcterms:modified>
</cp:coreProperties>
</file>