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1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微软雅黑" w:cs="Times New Roman"/>
          <w:b/>
          <w:color w:val="000000"/>
          <w:sz w:val="20"/>
          <w:szCs w:val="20"/>
        </w:rPr>
        <w:drawing>
          <wp:inline distT="0" distB="0" distL="0" distR="0">
            <wp:extent cx="4452620" cy="3707765"/>
            <wp:effectExtent l="0" t="0" r="5080" b="6985"/>
            <wp:docPr id="1" name="图片 1" descr="GV23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V230-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2472" cy="3715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Style w:val="8"/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Cs/>
          <w:color w:val="000000"/>
        </w:rPr>
        <w:t>Figure.1</w:t>
      </w:r>
      <w:r>
        <w:rPr>
          <w:rStyle w:val="11"/>
          <w:color w:val="000000"/>
        </w:rPr>
        <w:t xml:space="preserve"> </w:t>
      </w:r>
      <w:r>
        <w:rPr>
          <w:rStyle w:val="8"/>
          <w:rFonts w:ascii="Times New Roman" w:hAnsi="Times New Roman" w:cs="Times New Roman"/>
          <w:color w:val="000000"/>
        </w:rPr>
        <w:t>Plasmid map of HPV16 E6</w:t>
      </w:r>
    </w:p>
    <w:p>
      <w:pPr>
        <w:jc w:val="center"/>
        <w:rPr>
          <w:rStyle w:val="8"/>
          <w:rFonts w:ascii="Times New Roman" w:hAnsi="Times New Roman" w:cs="Times New Roman"/>
          <w:color w:val="000000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2</w:t>
      </w: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5274310" cy="14585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黑体" w:cs="Times New Roman"/>
          <w:color w:val="000000"/>
          <w:szCs w:val="21"/>
          <w:lang w:val="en-CA"/>
        </w:rPr>
      </w:pPr>
      <w:bookmarkStart w:id="0" w:name="_Hlk32755425"/>
      <w:r>
        <w:rPr>
          <w:rFonts w:ascii="Times New Roman" w:hAnsi="Times New Roman" w:cs="Times New Roman"/>
          <w:bCs/>
          <w:color w:val="000000"/>
        </w:rPr>
        <w:t>Figure 2.</w:t>
      </w:r>
      <w:r>
        <w:rPr>
          <w:rFonts w:ascii="Times New Roman" w:hAnsi="Times New Roman" w:eastAsia="黑体" w:cs="Times New Roman"/>
          <w:i/>
          <w:iCs/>
          <w:color w:val="000000"/>
          <w:szCs w:val="21"/>
          <w:lang w:val="en-CA"/>
        </w:rPr>
        <w:t xml:space="preserve"> </w:t>
      </w:r>
      <w:r>
        <w:rPr>
          <w:rStyle w:val="8"/>
          <w:rFonts w:ascii="Times New Roman" w:hAnsi="Times New Roman" w:eastAsia="黑体" w:cs="Times New Roman"/>
          <w:i/>
          <w:iCs/>
          <w:color w:val="000000"/>
          <w:szCs w:val="21"/>
          <w:lang w:val="en-CA"/>
        </w:rPr>
        <w:t>The expression of HPV16 E6 in C33A cells by indirect immunofluorescence</w:t>
      </w:r>
      <w:r>
        <w:rPr>
          <w:rFonts w:ascii="Times New Roman" w:hAnsi="Times New Roman" w:eastAsia="黑体" w:cs="Times New Roman"/>
          <w:i/>
          <w:iCs/>
          <w:color w:val="000000"/>
          <w:szCs w:val="21"/>
          <w:lang w:val="en-CA"/>
        </w:rPr>
        <w:t xml:space="preserve"> (200×).</w:t>
      </w:r>
      <w:r>
        <w:rPr>
          <w:rStyle w:val="8"/>
          <w:rFonts w:ascii="Times New Roman" w:hAnsi="Times New Roman" w:eastAsia="黑体" w:cs="Times New Roman"/>
          <w:color w:val="000000"/>
          <w:szCs w:val="21"/>
          <w:lang w:val="en-CA"/>
        </w:rPr>
        <w:t xml:space="preserve"> Following the transfection of C33A cells with a GV230 empty vector, HPV16 E6 prototype vector, HPV16 E6-G295/G350 mutation vector, HPV16 E6-T295/G350 mutation vector, the red </w:t>
      </w:r>
      <w:r>
        <w:rPr>
          <w:rFonts w:ascii="Times New Roman" w:hAnsi="Times New Roman" w:cs="Times New Roman"/>
          <w:szCs w:val="21"/>
          <w:lang w:val="en-CA"/>
        </w:rPr>
        <w:t xml:space="preserve">fluorescence of the vector was measured. The GV230 empty vector group was used as a control group and displayed no red fluorescence, </w:t>
      </w:r>
      <w:r>
        <w:rPr>
          <w:rFonts w:ascii="Times New Roman" w:hAnsi="Times New Roman" w:cs="Times New Roman"/>
          <w:lang w:val="en-CA"/>
        </w:rPr>
        <w:t xml:space="preserve">whereas </w:t>
      </w:r>
      <w:r>
        <w:rPr>
          <w:rFonts w:ascii="Times New Roman" w:hAnsi="Times New Roman" w:cs="Times New Roman"/>
          <w:szCs w:val="21"/>
          <w:lang w:val="en-CA"/>
        </w:rPr>
        <w:t xml:space="preserve">red fluorescence was observed in the other three experimental groups. The </w:t>
      </w:r>
      <w:r>
        <w:rPr>
          <w:rStyle w:val="8"/>
          <w:rFonts w:ascii="Times New Roman" w:hAnsi="Times New Roman" w:eastAsia="黑体" w:cs="Times New Roman"/>
          <w:color w:val="000000"/>
          <w:szCs w:val="21"/>
          <w:lang w:val="en-CA"/>
        </w:rPr>
        <w:t xml:space="preserve">HPV16 E6-T295/G350 </w:t>
      </w:r>
      <w:r>
        <w:rPr>
          <w:rFonts w:ascii="Times New Roman" w:hAnsi="Times New Roman" w:cs="Times New Roman"/>
          <w:szCs w:val="21"/>
          <w:lang w:val="en-CA"/>
        </w:rPr>
        <w:t xml:space="preserve">mutation group contained the highest fluorescence. </w:t>
      </w:r>
      <w:bookmarkEnd w:id="0"/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>
      <w:pPr>
        <w:jc w:val="center"/>
        <w:rPr>
          <w:rFonts w:ascii="Times New Roman" w:hAnsi="Times New Roman" w:eastAsia="黑体" w:cs="Times New Roman"/>
          <w:color w:val="000000"/>
          <w:szCs w:val="21"/>
        </w:rPr>
      </w:pPr>
      <w:r>
        <w:rPr>
          <w:rFonts w:ascii="Times New Roman" w:hAnsi="Times New Roman" w:eastAsia="黑体" w:cs="Times New Roman"/>
          <w:color w:val="000000"/>
          <w:szCs w:val="21"/>
        </w:rPr>
        <w:t>Table</w:t>
      </w:r>
      <w:r>
        <w:rPr>
          <w:rFonts w:hint="eastAsia" w:ascii="Times New Roman" w:hAnsi="Times New Roman" w:eastAsia="黑体" w:cs="Times New Roman"/>
          <w:color w:val="000000"/>
          <w:szCs w:val="21"/>
          <w:lang w:val="en-US" w:eastAsia="zh-CN"/>
        </w:rPr>
        <w:t>1</w:t>
      </w:r>
      <w:r>
        <w:rPr>
          <w:rFonts w:ascii="Times New Roman" w:hAnsi="Times New Roman" w:eastAsia="黑体" w:cs="Times New Roman"/>
          <w:color w:val="000000"/>
          <w:szCs w:val="21"/>
        </w:rPr>
        <w:t xml:space="preserve">. </w:t>
      </w:r>
      <w:r>
        <w:rPr>
          <w:rFonts w:ascii="Times New Roman" w:hAnsi="Times New Roman" w:cs="Times New Roman"/>
        </w:rPr>
        <w:t>HPV16 E6 gene mutation loci in the non-cervical cancer of Han women</w:t>
      </w:r>
    </w:p>
    <w:tbl>
      <w:tblPr>
        <w:tblStyle w:val="6"/>
        <w:tblW w:w="937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802"/>
        <w:gridCol w:w="992"/>
        <w:gridCol w:w="993"/>
        <w:gridCol w:w="992"/>
        <w:gridCol w:w="992"/>
        <w:gridCol w:w="992"/>
        <w:gridCol w:w="1028"/>
        <w:gridCol w:w="100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7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Mutation site</w:t>
            </w:r>
          </w:p>
        </w:tc>
        <w:tc>
          <w:tcPr>
            <w:tcW w:w="80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G94A</w:t>
            </w:r>
          </w:p>
        </w:tc>
        <w:tc>
          <w:tcPr>
            <w:tcW w:w="99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A95G</w:t>
            </w:r>
          </w:p>
        </w:tc>
        <w:tc>
          <w:tcPr>
            <w:tcW w:w="99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C168G</w:t>
            </w:r>
          </w:p>
        </w:tc>
        <w:tc>
          <w:tcPr>
            <w:tcW w:w="99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T178G</w:t>
            </w:r>
          </w:p>
        </w:tc>
        <w:tc>
          <w:tcPr>
            <w:tcW w:w="99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T178A</w:t>
            </w:r>
          </w:p>
        </w:tc>
        <w:tc>
          <w:tcPr>
            <w:tcW w:w="99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A276G</w:t>
            </w:r>
          </w:p>
        </w:tc>
        <w:tc>
          <w:tcPr>
            <w:tcW w:w="1028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T350G</w:t>
            </w:r>
          </w:p>
        </w:tc>
        <w:tc>
          <w:tcPr>
            <w:tcW w:w="100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A442C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7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Amino acid change</w:t>
            </w:r>
          </w:p>
        </w:tc>
        <w:tc>
          <w:tcPr>
            <w:tcW w:w="80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T22S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D25E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D25Q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N58S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L83V</w:t>
            </w:r>
          </w:p>
        </w:tc>
        <w:tc>
          <w:tcPr>
            <w:tcW w:w="100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E113D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7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Ep</w:t>
            </w:r>
          </w:p>
        </w:tc>
        <w:tc>
          <w:tcPr>
            <w:tcW w:w="80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00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7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AA</w:t>
            </w:r>
          </w:p>
        </w:tc>
        <w:tc>
          <w:tcPr>
            <w:tcW w:w="80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0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7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80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00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7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Af</w:t>
            </w:r>
          </w:p>
        </w:tc>
        <w:tc>
          <w:tcPr>
            <w:tcW w:w="80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9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99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99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9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9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2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00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XinJiang73</w:t>
            </w:r>
          </w:p>
        </w:tc>
        <w:tc>
          <w:tcPr>
            <w:tcW w:w="80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XinJiang75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XinJiang80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XinJiang81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XinJiang87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XinJiang88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XinJiang90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XinJiang92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XinJiang95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XinJiang100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XinJiang101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XinJiang112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XinJiang114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XinJiang119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XinJiang102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00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XinJiang49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XinJiang55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G</w:t>
            </w:r>
          </w:p>
        </w:tc>
        <w:tc>
          <w:tcPr>
            <w:tcW w:w="1006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XinJiang61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G</w:t>
            </w:r>
          </w:p>
        </w:tc>
        <w:tc>
          <w:tcPr>
            <w:tcW w:w="1006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XinJiang69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G</w:t>
            </w:r>
          </w:p>
        </w:tc>
        <w:tc>
          <w:tcPr>
            <w:tcW w:w="1006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7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8</w:t>
            </w:r>
          </w:p>
        </w:tc>
        <w:tc>
          <w:tcPr>
            <w:tcW w:w="1006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ascii="Times New Roman" w:hAnsi="Times New Roman" w:cs="Times New Roman"/>
        </w:rPr>
        <w:t>. EP = European standard strain; AA = Asian American; AS = Asian type; AF = African type; Syn = Synonymous. Capital letters are missense mutations, and lowercase letters are synonymous mutations.</w:t>
      </w:r>
    </w:p>
    <w:p>
      <w:pPr>
        <w:rPr>
          <w:rFonts w:ascii="Times New Roman" w:hAnsi="Times New Roman" w:cs="Times New Roman"/>
          <w:color w:val="000000"/>
          <w:sz w:val="18"/>
          <w:szCs w:val="18"/>
        </w:rPr>
      </w:pPr>
    </w:p>
    <w:p>
      <w:pPr>
        <w:rPr>
          <w:rFonts w:ascii="Times New Roman" w:hAnsi="Times New Roman" w:cs="Times New Roman"/>
          <w:color w:val="000000"/>
          <w:sz w:val="18"/>
          <w:szCs w:val="18"/>
        </w:rPr>
      </w:pPr>
    </w:p>
    <w:p>
      <w:pPr>
        <w:jc w:val="center"/>
        <w:rPr>
          <w:rFonts w:ascii="Times New Roman" w:hAnsi="Times New Roman" w:eastAsia="黑体" w:cs="Times New Roman"/>
          <w:color w:val="000000"/>
          <w:szCs w:val="21"/>
          <w:lang w:val="en-CA"/>
        </w:rPr>
      </w:pPr>
      <w:r>
        <w:rPr>
          <w:rFonts w:ascii="Times New Roman" w:hAnsi="Times New Roman" w:eastAsia="黑体" w:cs="Times New Roman"/>
          <w:color w:val="000000"/>
          <w:szCs w:val="21"/>
          <w:lang w:val="en-CA"/>
        </w:rPr>
        <w:t xml:space="preserve">Table </w:t>
      </w:r>
      <w:r>
        <w:rPr>
          <w:rFonts w:hint="eastAsia" w:ascii="Times New Roman" w:hAnsi="Times New Roman" w:eastAsia="黑体" w:cs="Times New Roman"/>
          <w:color w:val="000000"/>
          <w:szCs w:val="21"/>
          <w:lang w:val="en-US" w:eastAsia="zh-CN"/>
        </w:rPr>
        <w:t>2</w:t>
      </w:r>
      <w:r>
        <w:rPr>
          <w:rFonts w:ascii="Times New Roman" w:hAnsi="Times New Roman" w:eastAsia="黑体" w:cs="Times New Roman"/>
          <w:color w:val="000000"/>
          <w:szCs w:val="21"/>
          <w:lang w:val="en-CA"/>
        </w:rPr>
        <w:t xml:space="preserve">. </w:t>
      </w:r>
      <w:r>
        <w:rPr>
          <w:rStyle w:val="8"/>
          <w:rFonts w:ascii="Times New Roman" w:hAnsi="Times New Roman" w:eastAsia="黑体" w:cs="Times New Roman"/>
          <w:color w:val="000000"/>
          <w:szCs w:val="21"/>
          <w:lang w:val="en-CA"/>
        </w:rPr>
        <w:t xml:space="preserve">HPV16 E6 gene mutation loci in the non-cervical cancer of </w:t>
      </w:r>
      <w:r>
        <w:rPr>
          <w:rFonts w:ascii="Times New Roman" w:hAnsi="Times New Roman" w:eastAsia="黑体" w:cs="Times New Roman"/>
          <w:color w:val="000000"/>
          <w:szCs w:val="21"/>
          <w:lang w:val="en-CA"/>
        </w:rPr>
        <w:t>Uygur women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1269"/>
        <w:gridCol w:w="1173"/>
        <w:gridCol w:w="1286"/>
        <w:gridCol w:w="125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13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Mutation site</w:t>
            </w:r>
          </w:p>
        </w:tc>
        <w:tc>
          <w:tcPr>
            <w:tcW w:w="1269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T109C</w:t>
            </w:r>
          </w:p>
        </w:tc>
        <w:tc>
          <w:tcPr>
            <w:tcW w:w="117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T178G</w:t>
            </w:r>
          </w:p>
        </w:tc>
        <w:tc>
          <w:tcPr>
            <w:tcW w:w="128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T183G</w:t>
            </w:r>
          </w:p>
        </w:tc>
        <w:tc>
          <w:tcPr>
            <w:tcW w:w="1258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T350G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Amino acid change</w:t>
            </w:r>
          </w:p>
        </w:tc>
        <w:tc>
          <w:tcPr>
            <w:tcW w:w="1269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D25E</w:t>
            </w:r>
          </w:p>
        </w:tc>
        <w:tc>
          <w:tcPr>
            <w:tcW w:w="12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I27R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L83V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Ep</w:t>
            </w:r>
          </w:p>
        </w:tc>
        <w:tc>
          <w:tcPr>
            <w:tcW w:w="1269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AA</w:t>
            </w:r>
          </w:p>
        </w:tc>
        <w:tc>
          <w:tcPr>
            <w:tcW w:w="1269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1269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173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Af</w:t>
            </w:r>
          </w:p>
        </w:tc>
        <w:tc>
          <w:tcPr>
            <w:tcW w:w="1269" w:type="dxa"/>
            <w:tcBorders>
              <w:top w:val="nil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173" w:type="dxa"/>
            <w:tcBorders>
              <w:top w:val="nil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86" w:type="dxa"/>
            <w:tcBorders>
              <w:top w:val="nil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58" w:type="dxa"/>
            <w:tcBorders>
              <w:top w:val="nil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XinJiang76</w:t>
            </w:r>
          </w:p>
        </w:tc>
        <w:tc>
          <w:tcPr>
            <w:tcW w:w="1269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86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XinJiang77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XinJiang78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XinJiang84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XinJiang86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XinJiang98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T/G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XinJiang111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XinJiang113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XinJiang115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XinJiang117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XinJiang118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XinJiang110</w:t>
            </w:r>
          </w:p>
        </w:tc>
        <w:tc>
          <w:tcPr>
            <w:tcW w:w="126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XinJiang34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XinJiang44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T/G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XinJiang46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5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</w:tbl>
    <w:p>
      <w:pPr>
        <w:rPr>
          <w:rFonts w:ascii="Times New Roman" w:hAnsi="Times New Roman" w:eastAsia="黑体" w:cs="Times New Roman"/>
          <w:szCs w:val="21"/>
        </w:rPr>
      </w:pPr>
      <w:r>
        <w:rPr>
          <w:rStyle w:val="8"/>
          <w:rFonts w:ascii="Times New Roman" w:hAnsi="Times New Roman" w:eastAsia="黑体" w:cs="Times New Roman"/>
        </w:rPr>
        <w:t xml:space="preserve">Table </w:t>
      </w:r>
      <w:r>
        <w:rPr>
          <w:rStyle w:val="8"/>
          <w:rFonts w:hint="eastAsia" w:ascii="Times New Roman" w:hAnsi="Times New Roman" w:eastAsia="黑体" w:cs="Times New Roman"/>
          <w:lang w:val="en-US" w:eastAsia="zh-CN"/>
        </w:rPr>
        <w:t>2</w:t>
      </w:r>
      <w:r>
        <w:rPr>
          <w:rStyle w:val="8"/>
          <w:rFonts w:ascii="Times New Roman" w:hAnsi="Times New Roman" w:eastAsia="黑体" w:cs="Times New Roman"/>
        </w:rPr>
        <w:t>. EP = European standard strain; AA = Asian American; AS = Asian type; AF = African type; Syn =</w:t>
      </w:r>
      <w:r>
        <w:rPr>
          <w:rStyle w:val="8"/>
          <w:rFonts w:ascii="Times New Roman" w:hAnsi="Times New Roman" w:eastAsia="黑体" w:cs="Times New Roman"/>
          <w:szCs w:val="21"/>
        </w:rPr>
        <w:t xml:space="preserve"> </w:t>
      </w:r>
      <w:r>
        <w:rPr>
          <w:rStyle w:val="8"/>
          <w:rFonts w:ascii="Times New Roman" w:hAnsi="Times New Roman" w:eastAsia="黑体" w:cs="Times New Roman"/>
        </w:rPr>
        <w:t>Synonymous. Capital letters are missense mutations, and lowercase letters are synonymous mutations.</w:t>
      </w:r>
    </w:p>
    <w:p>
      <w:pPr>
        <w:jc w:val="center"/>
        <w:rPr>
          <w:rStyle w:val="8"/>
          <w:rFonts w:ascii="Times New Roman" w:hAnsi="Times New Roman" w:cs="Times New Roman"/>
        </w:rPr>
      </w:pPr>
      <w:r>
        <w:rPr>
          <w:rStyle w:val="8"/>
          <w:rFonts w:ascii="Times New Roman" w:hAnsi="Times New Roman" w:cs="Times New Roman"/>
        </w:rPr>
        <w:t xml:space="preserve">Table </w:t>
      </w:r>
      <w:r>
        <w:rPr>
          <w:rStyle w:val="8"/>
          <w:rFonts w:hint="eastAsia" w:ascii="Times New Roman" w:hAnsi="Times New Roman" w:cs="Times New Roman"/>
          <w:lang w:val="en-US" w:eastAsia="zh-CN"/>
        </w:rPr>
        <w:t>3</w:t>
      </w:r>
      <w:r>
        <w:rPr>
          <w:rStyle w:val="8"/>
          <w:rFonts w:ascii="Times New Roman" w:hAnsi="Times New Roman" w:cs="Times New Roman"/>
        </w:rPr>
        <w:t xml:space="preserve">. </w:t>
      </w:r>
      <w:r>
        <w:rPr>
          <w:rStyle w:val="8"/>
          <w:rFonts w:ascii="Times New Roman" w:hAnsi="Times New Roman" w:eastAsia="黑体" w:cs="Times New Roman"/>
        </w:rPr>
        <w:t>HPV16 E6 gene mutation loci in the cervical cancer of Han women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1300"/>
        <w:gridCol w:w="1275"/>
        <w:gridCol w:w="993"/>
        <w:gridCol w:w="1006"/>
        <w:gridCol w:w="94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96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Mutation site</w:t>
            </w:r>
          </w:p>
        </w:tc>
        <w:tc>
          <w:tcPr>
            <w:tcW w:w="130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G94A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G96A</w:t>
            </w:r>
          </w:p>
        </w:tc>
        <w:tc>
          <w:tcPr>
            <w:tcW w:w="99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T178G</w:t>
            </w:r>
          </w:p>
        </w:tc>
        <w:tc>
          <w:tcPr>
            <w:tcW w:w="100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T295G</w:t>
            </w:r>
          </w:p>
        </w:tc>
        <w:tc>
          <w:tcPr>
            <w:tcW w:w="949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T350G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961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Amino acid change</w:t>
            </w: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D25E</w:t>
            </w:r>
          </w:p>
        </w:tc>
        <w:tc>
          <w:tcPr>
            <w:tcW w:w="1006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D64E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L83V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961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Ep</w:t>
            </w: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00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961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AA</w:t>
            </w: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00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961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130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0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96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Af</w:t>
            </w:r>
          </w:p>
        </w:tc>
        <w:tc>
          <w:tcPr>
            <w:tcW w:w="130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9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00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94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XinJiang96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XinJiang103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XinJiang104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XinJiang106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XinJiang48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XinJiang56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XinJiang57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XinJiang58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XinJiang59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XinJiang60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XinJiang62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XinJiang63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XinJiang64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XinJiang65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XinJiang66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XinJiang67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XinJiang68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XinJiang70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XinJiang71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30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4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10</w:t>
            </w:r>
          </w:p>
        </w:tc>
      </w:tr>
    </w:tbl>
    <w:p>
      <w:pPr>
        <w:rPr>
          <w:rFonts w:ascii="Times New Roman" w:hAnsi="Times New Roman" w:eastAsia="黑体" w:cs="Times New Roman"/>
        </w:rPr>
      </w:pPr>
      <w:r>
        <w:rPr>
          <w:rStyle w:val="8"/>
          <w:rFonts w:ascii="Times New Roman" w:hAnsi="Times New Roman" w:eastAsia="黑体" w:cs="Times New Roman"/>
        </w:rPr>
        <w:t xml:space="preserve">Table </w:t>
      </w:r>
      <w:r>
        <w:rPr>
          <w:rStyle w:val="8"/>
          <w:rFonts w:hint="eastAsia" w:ascii="Times New Roman" w:hAnsi="Times New Roman" w:eastAsia="黑体" w:cs="Times New Roman"/>
          <w:lang w:val="en-US" w:eastAsia="zh-CN"/>
        </w:rPr>
        <w:t>3</w:t>
      </w:r>
      <w:r>
        <w:rPr>
          <w:rStyle w:val="8"/>
          <w:rFonts w:ascii="Times New Roman" w:hAnsi="Times New Roman" w:eastAsia="黑体" w:cs="Times New Roman"/>
        </w:rPr>
        <w:t>. EP = European standard strain; AA = Asian American; AS = Asian type; AF = African type; Syn = Synonymous. Capital letters are missense mutations, and lowercase letters are synonymous mutations.</w:t>
      </w:r>
    </w:p>
    <w:p>
      <w:pPr>
        <w:jc w:val="center"/>
        <w:rPr>
          <w:rStyle w:val="8"/>
          <w:rFonts w:ascii="Times New Roman" w:hAnsi="Times New Roman" w:cs="Times New Roman"/>
        </w:rPr>
      </w:pPr>
      <w:r>
        <w:rPr>
          <w:rStyle w:val="8"/>
          <w:rFonts w:ascii="Times New Roman" w:hAnsi="Times New Roman" w:cs="Times New Roman"/>
        </w:rPr>
        <w:t xml:space="preserve">Table </w:t>
      </w:r>
      <w:r>
        <w:rPr>
          <w:rStyle w:val="8"/>
          <w:rFonts w:hint="eastAsia" w:ascii="Times New Roman" w:hAnsi="Times New Roman" w:cs="Times New Roman"/>
          <w:lang w:val="en-US" w:eastAsia="zh-CN"/>
        </w:rPr>
        <w:t>4</w:t>
      </w:r>
      <w:r>
        <w:rPr>
          <w:rStyle w:val="8"/>
          <w:rFonts w:ascii="Times New Roman" w:hAnsi="Times New Roman" w:cs="Times New Roman"/>
        </w:rPr>
        <w:t xml:space="preserve">. </w:t>
      </w:r>
      <w:r>
        <w:rPr>
          <w:rStyle w:val="8"/>
          <w:rFonts w:ascii="Times New Roman" w:hAnsi="Times New Roman" w:eastAsia="黑体" w:cs="Times New Roman"/>
        </w:rPr>
        <w:t xml:space="preserve">HPV16 E6 gene mutation loci in the cervical cancer of </w:t>
      </w:r>
      <w:r>
        <w:rPr>
          <w:rStyle w:val="8"/>
          <w:rFonts w:ascii="Times New Roman" w:hAnsi="Times New Roman" w:cs="Times New Roman"/>
        </w:rPr>
        <w:t>Uygur women</w:t>
      </w:r>
    </w:p>
    <w:tbl>
      <w:tblPr>
        <w:tblStyle w:val="6"/>
        <w:tblW w:w="983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794"/>
        <w:gridCol w:w="1418"/>
        <w:gridCol w:w="806"/>
        <w:gridCol w:w="986"/>
        <w:gridCol w:w="986"/>
        <w:gridCol w:w="1096"/>
        <w:gridCol w:w="1180"/>
        <w:gridCol w:w="109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7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Mutation site</w:t>
            </w:r>
          </w:p>
        </w:tc>
        <w:tc>
          <w:tcPr>
            <w:tcW w:w="79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A83T</w:t>
            </w:r>
          </w:p>
        </w:tc>
        <w:tc>
          <w:tcPr>
            <w:tcW w:w="1418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G94A</w:t>
            </w:r>
          </w:p>
        </w:tc>
        <w:tc>
          <w:tcPr>
            <w:tcW w:w="80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G96A</w:t>
            </w:r>
          </w:p>
        </w:tc>
        <w:tc>
          <w:tcPr>
            <w:tcW w:w="98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A131C</w:t>
            </w:r>
          </w:p>
        </w:tc>
        <w:tc>
          <w:tcPr>
            <w:tcW w:w="98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G176A</w:t>
            </w:r>
          </w:p>
        </w:tc>
        <w:tc>
          <w:tcPr>
            <w:tcW w:w="109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T178G</w:t>
            </w:r>
          </w:p>
        </w:tc>
        <w:tc>
          <w:tcPr>
            <w:tcW w:w="118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T295G</w:t>
            </w:r>
          </w:p>
        </w:tc>
        <w:tc>
          <w:tcPr>
            <w:tcW w:w="109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T350G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Amino acid change</w:t>
            </w:r>
          </w:p>
        </w:tc>
        <w:tc>
          <w:tcPr>
            <w:tcW w:w="7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Syn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D25N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D25E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D64E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L83V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Ep</w:t>
            </w:r>
          </w:p>
        </w:tc>
        <w:tc>
          <w:tcPr>
            <w:tcW w:w="7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AA</w:t>
            </w:r>
          </w:p>
        </w:tc>
        <w:tc>
          <w:tcPr>
            <w:tcW w:w="7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7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Af</w:t>
            </w:r>
          </w:p>
        </w:tc>
        <w:tc>
          <w:tcPr>
            <w:tcW w:w="794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418" w:type="dxa"/>
            <w:tcBorders>
              <w:top w:val="nil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806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986" w:type="dxa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986" w:type="dxa"/>
            <w:tcBorders>
              <w:top w:val="nil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tcBorders>
              <w:top w:val="nil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180" w:type="dxa"/>
            <w:tcBorders>
              <w:top w:val="nil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096" w:type="dxa"/>
            <w:tcBorders>
              <w:top w:val="nil"/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XinJiang79</w:t>
            </w:r>
          </w:p>
        </w:tc>
        <w:tc>
          <w:tcPr>
            <w:tcW w:w="79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80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tcBorders>
              <w:top w:val="single" w:color="auto" w:sz="4" w:space="0"/>
              <w:bottom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XinJiang83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T/G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T/G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XinJiang82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tcBorders>
              <w:top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XinJiang91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XinJiang120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XinJiang121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XinJiang122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XinJiang6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XinJiang7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XinJiang8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XinJiang9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XinJiang11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XinJiang14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XinJiang15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XinJiang16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XinJiang17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XinJiang18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XinJiang19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XinJiang21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XinJiang24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XinJiang25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XinJiang26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XinJiang27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XinJiang28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XinJiang29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XinJiang31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XinJiang35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XinJiang36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XinJiang37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XinJiang38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XinJiang39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XinJiang40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XinJiang41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XinJiang42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XinJiang43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XinJiang45</w:t>
            </w:r>
          </w:p>
        </w:tc>
        <w:tc>
          <w:tcPr>
            <w:tcW w:w="79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XinJiang47</w:t>
            </w:r>
          </w:p>
        </w:tc>
        <w:tc>
          <w:tcPr>
            <w:tcW w:w="79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t</w:t>
            </w: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XinJiang50</w:t>
            </w:r>
          </w:p>
        </w:tc>
        <w:tc>
          <w:tcPr>
            <w:tcW w:w="79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XinJiang51</w:t>
            </w:r>
          </w:p>
        </w:tc>
        <w:tc>
          <w:tcPr>
            <w:tcW w:w="79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XinJiang52</w:t>
            </w:r>
          </w:p>
        </w:tc>
        <w:tc>
          <w:tcPr>
            <w:tcW w:w="79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XinJiang53</w:t>
            </w:r>
          </w:p>
        </w:tc>
        <w:tc>
          <w:tcPr>
            <w:tcW w:w="79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c</w:t>
            </w: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XinJiang54</w:t>
            </w:r>
          </w:p>
        </w:tc>
        <w:tc>
          <w:tcPr>
            <w:tcW w:w="79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XinJiang72</w:t>
            </w:r>
          </w:p>
        </w:tc>
        <w:tc>
          <w:tcPr>
            <w:tcW w:w="79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79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0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40</w:t>
            </w:r>
          </w:p>
        </w:tc>
      </w:tr>
    </w:tbl>
    <w:p>
      <w:pPr>
        <w:rPr>
          <w:rStyle w:val="8"/>
          <w:rFonts w:ascii="Times New Roman" w:hAnsi="Times New Roman" w:eastAsia="黑体" w:cs="Times New Roman"/>
        </w:rPr>
      </w:pPr>
      <w:r>
        <w:rPr>
          <w:rStyle w:val="8"/>
          <w:rFonts w:ascii="Times New Roman" w:hAnsi="Times New Roman" w:eastAsia="黑体" w:cs="Times New Roman"/>
        </w:rPr>
        <w:t xml:space="preserve">Table </w:t>
      </w:r>
      <w:r>
        <w:rPr>
          <w:rStyle w:val="8"/>
          <w:rFonts w:hint="eastAsia" w:ascii="Times New Roman" w:hAnsi="Times New Roman" w:eastAsia="黑体" w:cs="Times New Roman"/>
          <w:lang w:val="en-US" w:eastAsia="zh-CN"/>
        </w:rPr>
        <w:t>4</w:t>
      </w:r>
      <w:bookmarkStart w:id="1" w:name="_GoBack"/>
      <w:bookmarkEnd w:id="1"/>
      <w:r>
        <w:rPr>
          <w:rStyle w:val="8"/>
          <w:rFonts w:ascii="Times New Roman" w:hAnsi="Times New Roman" w:eastAsia="黑体" w:cs="Times New Roman"/>
        </w:rPr>
        <w:t>. EP = European standard strain; AA = Asian American; AS = Asian type; AF = African type; Syn = Synonymous. Capital letters are missense mutations, and lowercase letters are synonymous mutations.</w:t>
      </w:r>
    </w:p>
    <w:p>
      <w:pPr>
        <w:rPr>
          <w:rStyle w:val="8"/>
          <w:rFonts w:ascii="Times New Roman" w:hAnsi="Times New Roman" w:eastAsia="黑体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MjM2MLc0NjM2NjCzMLZQ0lEKTi0uzszPAykwrgUAfQRI4ywAAAA="/>
  </w:docVars>
  <w:rsids>
    <w:rsidRoot w:val="00E95BC9"/>
    <w:rsid w:val="00084262"/>
    <w:rsid w:val="000B58C6"/>
    <w:rsid w:val="000F4F72"/>
    <w:rsid w:val="000F78E3"/>
    <w:rsid w:val="001824FA"/>
    <w:rsid w:val="00241219"/>
    <w:rsid w:val="00347E3A"/>
    <w:rsid w:val="004024C2"/>
    <w:rsid w:val="00442A9A"/>
    <w:rsid w:val="0049009A"/>
    <w:rsid w:val="004F1923"/>
    <w:rsid w:val="0050028A"/>
    <w:rsid w:val="00532A6E"/>
    <w:rsid w:val="00541E44"/>
    <w:rsid w:val="00561F90"/>
    <w:rsid w:val="00644121"/>
    <w:rsid w:val="006C22EF"/>
    <w:rsid w:val="007970D9"/>
    <w:rsid w:val="007C1C6D"/>
    <w:rsid w:val="00834D78"/>
    <w:rsid w:val="00866A83"/>
    <w:rsid w:val="009006CD"/>
    <w:rsid w:val="009227EA"/>
    <w:rsid w:val="00944E70"/>
    <w:rsid w:val="00963B75"/>
    <w:rsid w:val="00A57789"/>
    <w:rsid w:val="00AA3007"/>
    <w:rsid w:val="00B20D0B"/>
    <w:rsid w:val="00B47F27"/>
    <w:rsid w:val="00C04541"/>
    <w:rsid w:val="00C21528"/>
    <w:rsid w:val="00C30AD5"/>
    <w:rsid w:val="00D74B79"/>
    <w:rsid w:val="00E95BC9"/>
    <w:rsid w:val="00F620DF"/>
    <w:rsid w:val="00F7762A"/>
    <w:rsid w:val="00FD75C0"/>
    <w:rsid w:val="00FE741B"/>
    <w:rsid w:val="2633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high-light-bg4"/>
    <w:basedOn w:val="7"/>
    <w:qFormat/>
    <w:uiPriority w:val="0"/>
  </w:style>
  <w:style w:type="character" w:customStyle="1" w:styleId="9">
    <w:name w:val="页眉 Char"/>
    <w:basedOn w:val="7"/>
    <w:link w:val="5"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uiPriority w:val="99"/>
    <w:rPr>
      <w:sz w:val="18"/>
      <w:szCs w:val="18"/>
    </w:rPr>
  </w:style>
  <w:style w:type="character" w:customStyle="1" w:styleId="11">
    <w:name w:val="标题 3 Char"/>
    <w:basedOn w:val="7"/>
    <w:link w:val="2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2">
    <w:name w:val="批注框文本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167F4B-359A-430F-A425-4292D8E2EB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778</Words>
  <Characters>4436</Characters>
  <Lines>36</Lines>
  <Paragraphs>10</Paragraphs>
  <TotalTime>2630</TotalTime>
  <ScaleCrop>false</ScaleCrop>
  <LinksUpToDate>false</LinksUpToDate>
  <CharactersWithSpaces>5204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2019-09-16T09:21:00Z</dcterms:created>
  <dc:creator>辛慧珍 辛慧珍</dc:creator>
  <cp:lastModifiedBy>我是辛束木叔小女醜^O^</cp:lastModifiedBy>
  <dcterms:modified xsi:type="dcterms:W3CDTF">2021-11-11T14:43:51Z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E375377E14CB424FBF2B674B00B8A066</vt:lpwstr>
  </property>
</Properties>
</file>