
<file path=[Content_Types].xml><?xml version="1.0" encoding="utf-8"?>
<Types xmlns="http://schemas.openxmlformats.org/package/2006/content-types">
  <Default Extension="xml" ContentType="application/xml"/>
  <Default Extension="jpeg" ContentType="image/jpe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cs="Times New Roman"/>
          <w:b/>
          <w:sz w:val="28"/>
        </w:rPr>
      </w:pPr>
      <w:r>
        <w:rPr>
          <w:rFonts w:ascii="Times New Roman" w:hAnsi="Times New Roman" w:cs="Times New Roman"/>
          <w:b/>
          <w:sz w:val="28"/>
        </w:rPr>
        <w:t xml:space="preserve">Supplementary materials </w:t>
      </w:r>
    </w:p>
    <w:p>
      <w:pPr>
        <w:spacing w:line="360" w:lineRule="auto"/>
        <w:rPr>
          <w:rFonts w:ascii="Times New Roman" w:hAnsi="Times New Roman" w:cs="Times New Roman"/>
          <w:sz w:val="24"/>
          <w:szCs w:val="24"/>
        </w:rPr>
      </w:pPr>
      <w:r>
        <w:rPr>
          <w:rFonts w:ascii="Times New Roman" w:hAnsi="Times New Roman" w:cs="Times New Roman"/>
          <w:b/>
          <w:sz w:val="24"/>
          <w:szCs w:val="24"/>
        </w:rPr>
        <w:t>Novel i</w:t>
      </w:r>
      <w:r>
        <w:rPr>
          <w:rFonts w:hint="eastAsia" w:ascii="Times New Roman" w:hAnsi="Times New Roman" w:cs="Times New Roman"/>
          <w:b/>
          <w:sz w:val="24"/>
          <w:szCs w:val="24"/>
        </w:rPr>
        <w:t>nsight</w:t>
      </w:r>
      <w:r>
        <w:rPr>
          <w:rFonts w:ascii="Times New Roman" w:hAnsi="Times New Roman" w:cs="Times New Roman"/>
          <w:b/>
          <w:sz w:val="24"/>
          <w:szCs w:val="24"/>
        </w:rPr>
        <w:t xml:space="preserve">s </w:t>
      </w:r>
      <w:r>
        <w:rPr>
          <w:rFonts w:hint="eastAsia" w:ascii="Times New Roman" w:hAnsi="Times New Roman" w:cs="Times New Roman"/>
          <w:b/>
          <w:sz w:val="24"/>
          <w:szCs w:val="24"/>
        </w:rPr>
        <w:t xml:space="preserve">into the </w:t>
      </w:r>
      <w:r>
        <w:rPr>
          <w:rFonts w:ascii="Times New Roman" w:hAnsi="Times New Roman" w:cs="Times New Roman"/>
          <w:b/>
          <w:i/>
          <w:sz w:val="24"/>
          <w:szCs w:val="24"/>
        </w:rPr>
        <w:t>Thaumarchaeota</w:t>
      </w:r>
      <w:r>
        <w:rPr>
          <w:rFonts w:ascii="Times New Roman" w:hAnsi="Times New Roman" w:cs="Times New Roman"/>
          <w:b/>
          <w:sz w:val="24"/>
          <w:szCs w:val="24"/>
        </w:rPr>
        <w:t xml:space="preserve"> in the deepest oceans: their metabolism and potential adaptation mechanisms </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rPr>
      </w:pPr>
      <w:r>
        <w:rPr>
          <w:rFonts w:hint="eastAsia" w:ascii="Times New Roman" w:hAnsi="Times New Roman" w:cs="Times New Roman"/>
          <w:sz w:val="24"/>
          <w:szCs w:val="24"/>
        </w:rPr>
        <w:t>H</w:t>
      </w:r>
      <w:r>
        <w:rPr>
          <w:rFonts w:ascii="Times New Roman" w:hAnsi="Times New Roman" w:cs="Times New Roman"/>
          <w:sz w:val="24"/>
          <w:szCs w:val="24"/>
        </w:rPr>
        <w:t>aohui Zhong</w:t>
      </w:r>
      <w:r>
        <w:rPr>
          <w:rFonts w:hint="eastAsia" w:ascii="Times New Roman" w:hAnsi="Times New Roman" w:cs="Times New Roman"/>
          <w:sz w:val="24"/>
          <w:vertAlign w:val="superscript"/>
        </w:rPr>
        <w:t>1</w:t>
      </w:r>
      <w:r>
        <w:rPr>
          <w:rFonts w:ascii="Times New Roman" w:hAnsi="Times New Roman" w:cs="Times New Roman"/>
          <w:sz w:val="24"/>
          <w:vertAlign w:val="superscript"/>
        </w:rPr>
        <w:t>,2</w:t>
      </w:r>
      <w:r>
        <w:rPr>
          <w:rFonts w:ascii="Times New Roman" w:hAnsi="Times New Roman" w:cs="Times New Roman"/>
          <w:sz w:val="24"/>
          <w:szCs w:val="24"/>
        </w:rPr>
        <w:t xml:space="preserve">, </w:t>
      </w:r>
      <w:r>
        <w:rPr>
          <w:rFonts w:ascii="Times New Roman" w:hAnsi="Times New Roman" w:cs="Times New Roman"/>
          <w:sz w:val="24"/>
        </w:rPr>
        <w:t>Laura Lehtovirta-Morley</w:t>
      </w:r>
      <w:r>
        <w:rPr>
          <w:rFonts w:ascii="Times New Roman" w:hAnsi="Times New Roman" w:cs="Times New Roman"/>
          <w:sz w:val="24"/>
          <w:vertAlign w:val="superscript"/>
        </w:rPr>
        <w:t>3</w:t>
      </w:r>
      <w:r>
        <w:rPr>
          <w:rFonts w:ascii="Times New Roman" w:hAnsi="Times New Roman" w:cs="Times New Roman"/>
          <w:sz w:val="24"/>
        </w:rPr>
        <w:t xml:space="preserve">, </w:t>
      </w:r>
      <w:r>
        <w:rPr>
          <w:rFonts w:hint="eastAsia" w:ascii="Times New Roman" w:hAnsi="Times New Roman" w:cs="Times New Roman"/>
          <w:sz w:val="24"/>
        </w:rPr>
        <w:t>Jiwen Liu</w:t>
      </w:r>
      <w:r>
        <w:rPr>
          <w:rFonts w:ascii="Times New Roman" w:hAnsi="Times New Roman" w:cs="Times New Roman"/>
          <w:sz w:val="24"/>
          <w:vertAlign w:val="superscript"/>
        </w:rPr>
        <w:t>1,2</w:t>
      </w:r>
      <w:r>
        <w:rPr>
          <w:rFonts w:ascii="Times New Roman" w:hAnsi="Times New Roman" w:cs="Times New Roman"/>
          <w:sz w:val="24"/>
        </w:rPr>
        <w:t>, Yanfen Zheng</w:t>
      </w:r>
      <w:r>
        <w:rPr>
          <w:rFonts w:hint="eastAsia" w:ascii="Times New Roman" w:hAnsi="Times New Roman" w:cs="Times New Roman"/>
          <w:sz w:val="24"/>
          <w:vertAlign w:val="superscript"/>
        </w:rPr>
        <w:t>1</w:t>
      </w:r>
      <w:r>
        <w:rPr>
          <w:rFonts w:ascii="Times New Roman" w:hAnsi="Times New Roman" w:cs="Times New Roman"/>
          <w:sz w:val="24"/>
        </w:rPr>
        <w:t>, Heyu Lin</w:t>
      </w:r>
      <w:r>
        <w:rPr>
          <w:rFonts w:ascii="Times New Roman" w:hAnsi="Times New Roman" w:cs="Times New Roman"/>
          <w:sz w:val="24"/>
          <w:vertAlign w:val="superscript"/>
        </w:rPr>
        <w:t>1</w:t>
      </w:r>
      <w:r>
        <w:rPr>
          <w:rFonts w:ascii="Times New Roman" w:hAnsi="Times New Roman" w:cs="Times New Roman"/>
          <w:sz w:val="24"/>
        </w:rPr>
        <w:t>, Delei Song</w:t>
      </w:r>
      <w:r>
        <w:rPr>
          <w:rFonts w:ascii="Times New Roman" w:hAnsi="Times New Roman" w:cs="Times New Roman"/>
          <w:sz w:val="24"/>
          <w:vertAlign w:val="superscript"/>
        </w:rPr>
        <w:t>1</w:t>
      </w:r>
      <w:r>
        <w:rPr>
          <w:rFonts w:ascii="Times New Roman" w:hAnsi="Times New Roman" w:cs="Times New Roman"/>
          <w:sz w:val="24"/>
        </w:rPr>
        <w:t xml:space="preserve">, Jonathan D. </w:t>
      </w:r>
      <w:bookmarkStart w:id="0" w:name="OLE_LINK43"/>
      <w:bookmarkStart w:id="1" w:name="OLE_LINK44"/>
      <w:r>
        <w:rPr>
          <w:rFonts w:ascii="Times New Roman" w:hAnsi="Times New Roman" w:cs="Times New Roman"/>
          <w:sz w:val="24"/>
        </w:rPr>
        <w:t>Todd</w:t>
      </w:r>
      <w:bookmarkEnd w:id="0"/>
      <w:bookmarkEnd w:id="1"/>
      <w:r>
        <w:rPr>
          <w:rFonts w:ascii="Times New Roman" w:hAnsi="Times New Roman" w:cs="Times New Roman"/>
          <w:sz w:val="24"/>
          <w:vertAlign w:val="superscript"/>
        </w:rPr>
        <w:t>3</w:t>
      </w:r>
      <w:r>
        <w:rPr>
          <w:rFonts w:ascii="Times New Roman" w:hAnsi="Times New Roman" w:cs="Times New Roman"/>
          <w:sz w:val="24"/>
        </w:rPr>
        <w:t>, Jiwei Tian</w:t>
      </w:r>
      <w:r>
        <w:rPr>
          <w:rFonts w:ascii="Times New Roman" w:hAnsi="Times New Roman" w:cs="Times New Roman"/>
          <w:sz w:val="24"/>
          <w:vertAlign w:val="superscript"/>
        </w:rPr>
        <w:t>4</w:t>
      </w:r>
      <w:r>
        <w:rPr>
          <w:rFonts w:ascii="Times New Roman" w:hAnsi="Times New Roman" w:cs="Times New Roman"/>
          <w:sz w:val="24"/>
        </w:rPr>
        <w:t>, Xiao-Hua Zhang</w:t>
      </w:r>
      <w:r>
        <w:rPr>
          <w:rFonts w:ascii="Times New Roman" w:hAnsi="Times New Roman" w:cs="Times New Roman"/>
          <w:sz w:val="24"/>
          <w:vertAlign w:val="superscript"/>
        </w:rPr>
        <w:t>1,2,5</w:t>
      </w:r>
      <w:r>
        <w:rPr>
          <w:rFonts w:ascii="Times New Roman" w:hAnsi="Times New Roman" w:cs="Times New Roman"/>
          <w:sz w:val="24"/>
        </w:rPr>
        <w:t>*</w:t>
      </w:r>
    </w:p>
    <w:p>
      <w:pPr>
        <w:spacing w:line="360" w:lineRule="auto"/>
        <w:rPr>
          <w:rStyle w:val="15"/>
          <w:rFonts w:ascii="Times New Roman" w:hAnsi="Times New Roman" w:cs="Times New Roman"/>
          <w:sz w:val="24"/>
          <w:vertAlign w:val="superscript"/>
        </w:rPr>
      </w:pPr>
    </w:p>
    <w:p>
      <w:pPr>
        <w:spacing w:line="360" w:lineRule="auto"/>
        <w:rPr>
          <w:rFonts w:ascii="Times New Roman" w:hAnsi="Times New Roman" w:cs="Times New Roman"/>
          <w:iCs/>
          <w:sz w:val="24"/>
          <w:szCs w:val="21"/>
        </w:rPr>
      </w:pPr>
      <w:r>
        <w:rPr>
          <w:rStyle w:val="15"/>
          <w:rFonts w:ascii="Times New Roman" w:hAnsi="Times New Roman" w:cs="Times New Roman"/>
          <w:sz w:val="24"/>
          <w:vertAlign w:val="superscript"/>
        </w:rPr>
        <w:t>1</w:t>
      </w:r>
      <w:bookmarkStart w:id="2" w:name="OLE_LINK34"/>
      <w:bookmarkStart w:id="3" w:name="OLE_LINK35"/>
      <w:r>
        <w:rPr>
          <w:rFonts w:ascii="Times New Roman" w:hAnsi="Times New Roman" w:cs="Times New Roman"/>
          <w:iCs/>
          <w:sz w:val="24"/>
          <w:szCs w:val="21"/>
        </w:rPr>
        <w:t>College of Marine Life Sciences, Ocean University</w:t>
      </w:r>
      <w:r>
        <w:rPr>
          <w:rFonts w:ascii="Times New Roman" w:hAnsi="Times New Roman" w:cs="Times New Roman"/>
          <w:sz w:val="24"/>
          <w:szCs w:val="21"/>
        </w:rPr>
        <w:t xml:space="preserve"> </w:t>
      </w:r>
      <w:r>
        <w:rPr>
          <w:rFonts w:ascii="Times New Roman" w:hAnsi="Times New Roman" w:cs="Times New Roman"/>
          <w:iCs/>
          <w:sz w:val="24"/>
          <w:szCs w:val="21"/>
        </w:rPr>
        <w:t>of China</w:t>
      </w:r>
      <w:bookmarkEnd w:id="2"/>
      <w:bookmarkEnd w:id="3"/>
      <w:r>
        <w:rPr>
          <w:rFonts w:ascii="Times New Roman" w:hAnsi="Times New Roman" w:cs="Times New Roman"/>
          <w:iCs/>
          <w:sz w:val="24"/>
          <w:szCs w:val="21"/>
        </w:rPr>
        <w:t xml:space="preserve">, Qingdao 266003, China. </w:t>
      </w:r>
    </w:p>
    <w:p>
      <w:pPr>
        <w:spacing w:line="360" w:lineRule="auto"/>
        <w:rPr>
          <w:rFonts w:ascii="Times New Roman" w:hAnsi="Times New Roman" w:cs="Times New Roman"/>
          <w:iCs/>
          <w:sz w:val="24"/>
          <w:szCs w:val="24"/>
        </w:rPr>
      </w:pPr>
      <w:r>
        <w:rPr>
          <w:rFonts w:ascii="Times New Roman" w:hAnsi="Times New Roman" w:cs="Times New Roman"/>
          <w:iCs/>
          <w:sz w:val="24"/>
          <w:szCs w:val="21"/>
          <w:vertAlign w:val="superscript"/>
        </w:rPr>
        <w:t>2</w:t>
      </w:r>
      <w:r>
        <w:rPr>
          <w:rFonts w:ascii="Times New Roman" w:hAnsi="Times New Roman" w:cs="Times New Roman"/>
          <w:iCs/>
          <w:sz w:val="24"/>
          <w:szCs w:val="21"/>
        </w:rPr>
        <w:t xml:space="preserve">Laboratory for Marine Ecology and Environmental Science, Qingdao National Laboratory for Marine Science and Technology, Qingdao 266237, China. </w:t>
      </w:r>
      <w:r>
        <w:rPr>
          <w:rFonts w:ascii="Times New Roman" w:hAnsi="Times New Roman" w:cs="Times New Roman"/>
          <w:iCs/>
          <w:sz w:val="24"/>
          <w:szCs w:val="21"/>
          <w:vertAlign w:val="superscript"/>
        </w:rPr>
        <w:t>3</w:t>
      </w:r>
      <w:r>
        <w:rPr>
          <w:rFonts w:ascii="Times New Roman" w:hAnsi="Times New Roman" w:cs="Times New Roman"/>
          <w:iCs/>
          <w:sz w:val="24"/>
          <w:szCs w:val="21"/>
        </w:rPr>
        <w:t>School of Biological Sciences, University of East Anglia, Norwich Research Park, Norwich,</w:t>
      </w:r>
      <w:r>
        <w:rPr>
          <w:rFonts w:hint="eastAsia" w:ascii="Times New Roman" w:hAnsi="Times New Roman" w:cs="Times New Roman"/>
          <w:iCs/>
          <w:sz w:val="24"/>
          <w:szCs w:val="21"/>
        </w:rPr>
        <w:t xml:space="preserve"> </w:t>
      </w:r>
      <w:r>
        <w:rPr>
          <w:rFonts w:ascii="Times New Roman" w:hAnsi="Times New Roman" w:cs="Times New Roman"/>
          <w:iCs/>
          <w:sz w:val="24"/>
          <w:szCs w:val="21"/>
        </w:rPr>
        <w:t xml:space="preserve">Norfolk NR4 7TJ, UK. </w:t>
      </w:r>
      <w:r>
        <w:rPr>
          <w:rFonts w:ascii="Times New Roman" w:hAnsi="Times New Roman" w:cs="Times New Roman"/>
          <w:iCs/>
          <w:sz w:val="24"/>
          <w:szCs w:val="21"/>
          <w:vertAlign w:val="superscript"/>
        </w:rPr>
        <w:t>4</w:t>
      </w:r>
      <w:r>
        <w:rPr>
          <w:rFonts w:ascii="Times New Roman" w:hAnsi="Times New Roman" w:cs="Times New Roman"/>
          <w:iCs/>
          <w:sz w:val="24"/>
          <w:szCs w:val="21"/>
        </w:rPr>
        <w:t>Key Laboratory of Physical Oceanography, Ministry of Education, Ocean University of China, Qingdao 266100, China.</w:t>
      </w:r>
      <w:r>
        <w:rPr>
          <w:rFonts w:hint="eastAsia"/>
          <w:iCs/>
          <w:vertAlign w:val="superscript"/>
        </w:rPr>
        <w:t xml:space="preserve"> </w:t>
      </w:r>
      <w:r>
        <w:rPr>
          <w:rFonts w:ascii="Times New Roman" w:hAnsi="Times New Roman" w:cs="Times New Roman"/>
          <w:iCs/>
          <w:sz w:val="24"/>
          <w:szCs w:val="24"/>
          <w:vertAlign w:val="superscript"/>
        </w:rPr>
        <w:t>5</w:t>
      </w:r>
      <w:bookmarkStart w:id="4" w:name="_GoBack"/>
      <w:bookmarkEnd w:id="4"/>
      <w:r>
        <w:rPr>
          <w:rFonts w:hint="eastAsia" w:ascii="Times New Roman" w:hAnsi="Times New Roman" w:eastAsia="Times New Roman" w:cs="Times New Roman"/>
          <w:color w:val="C00000"/>
          <w:sz w:val="24"/>
          <w:szCs w:val="24"/>
        </w:rPr>
        <w:t>Frontiers Science Center for Deep Ocean Multispheres and Earth System, Ocean University of China, Qingdao 266100, China</w:t>
      </w:r>
      <w:r>
        <w:rPr>
          <w:rFonts w:ascii="Times New Roman" w:hAnsi="Times New Roman" w:cs="Times New Roman"/>
          <w:iCs/>
          <w:sz w:val="24"/>
          <w:szCs w:val="24"/>
        </w:rPr>
        <w:t>.</w:t>
      </w:r>
    </w:p>
    <w:p>
      <w:pPr>
        <w:spacing w:line="360" w:lineRule="auto"/>
        <w:rPr>
          <w:rFonts w:ascii="Times New Roman" w:hAnsi="Times New Roman" w:cs="Times New Roman"/>
          <w:iCs/>
          <w:sz w:val="24"/>
          <w:szCs w:val="21"/>
        </w:rPr>
      </w:pPr>
    </w:p>
    <w:p>
      <w:pPr>
        <w:spacing w:line="360" w:lineRule="auto"/>
        <w:rPr>
          <w:rStyle w:val="11"/>
          <w:rFonts w:ascii="Times New Roman" w:hAnsi="Times New Roman" w:cs="Times New Roman"/>
          <w:color w:val="auto"/>
          <w:sz w:val="24"/>
          <w:szCs w:val="24"/>
        </w:rPr>
      </w:pPr>
      <w:r>
        <w:rPr>
          <w:rFonts w:ascii="Times New Roman" w:hAnsi="Times New Roman" w:cs="Times New Roman"/>
          <w:sz w:val="24"/>
          <w:szCs w:val="24"/>
        </w:rPr>
        <w:t xml:space="preserve">* Corresponding author: </w:t>
      </w:r>
      <w:r>
        <w:fldChar w:fldCharType="begin"/>
      </w:r>
      <w:r>
        <w:instrText xml:space="preserve"> HYPERLINK "mailto:xhzhang@ouc.edu.cn" </w:instrText>
      </w:r>
      <w:r>
        <w:fldChar w:fldCharType="separate"/>
      </w:r>
      <w:r>
        <w:rPr>
          <w:rStyle w:val="11"/>
          <w:rFonts w:ascii="Times New Roman" w:hAnsi="Times New Roman" w:cs="Times New Roman"/>
          <w:sz w:val="24"/>
          <w:szCs w:val="24"/>
        </w:rPr>
        <w:t>xhzhang@ouc.edu.cn</w:t>
      </w:r>
      <w:r>
        <w:rPr>
          <w:rStyle w:val="11"/>
          <w:rFonts w:ascii="Times New Roman" w:hAnsi="Times New Roman" w:cs="Times New Roman"/>
          <w:sz w:val="24"/>
          <w:szCs w:val="24"/>
        </w:rPr>
        <w:fldChar w:fldCharType="end"/>
      </w: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Style w:val="11"/>
          <w:rFonts w:ascii="Times New Roman" w:hAnsi="Times New Roman" w:cs="Times New Roman"/>
          <w:color w:val="auto"/>
          <w:sz w:val="24"/>
          <w:szCs w:val="24"/>
        </w:rPr>
      </w:pPr>
    </w:p>
    <w:p>
      <w:pPr>
        <w:spacing w:line="360" w:lineRule="auto"/>
        <w:rPr>
          <w:rFonts w:ascii="Times New Roman" w:hAnsi="Times New Roman" w:cs="Times New Roman"/>
          <w:sz w:val="24"/>
          <w:szCs w:val="24"/>
        </w:rPr>
        <w:sectPr>
          <w:pgSz w:w="11906" w:h="16838"/>
          <w:pgMar w:top="1440" w:right="1800" w:bottom="1440" w:left="1800" w:header="851" w:footer="992" w:gutter="0"/>
          <w:cols w:space="425" w:num="1"/>
          <w:docGrid w:type="lines" w:linePitch="312" w:charSpace="0"/>
        </w:sectPr>
      </w:pPr>
    </w:p>
    <w:p>
      <w:pPr>
        <w:tabs>
          <w:tab w:val="left" w:pos="4770"/>
        </w:tabs>
        <w:rPr>
          <w:rFonts w:ascii="Times New Roman" w:hAnsi="Times New Roman" w:eastAsia="Yu Mincho" w:cs="Times New Roman"/>
          <w:sz w:val="24"/>
          <w:szCs w:val="24"/>
          <w:lang w:eastAsia="ja-JP"/>
        </w:rPr>
      </w:pPr>
      <w:r>
        <w:rPr>
          <w:rFonts w:ascii="Times New Roman" w:hAnsi="Times New Roman" w:eastAsia="Yu Mincho" w:cs="Times New Roman"/>
          <w:sz w:val="24"/>
          <w:szCs w:val="24"/>
          <w:lang w:eastAsia="ja-JP"/>
        </w:rPr>
        <w:t>a</w:t>
      </w:r>
    </w:p>
    <w:p>
      <w:pPr>
        <w:tabs>
          <w:tab w:val="left" w:pos="4770"/>
        </w:tabs>
        <w:rPr>
          <w:rFonts w:ascii="Times New Roman" w:hAnsi="Times New Roman" w:cs="Times New Roman"/>
          <w:sz w:val="24"/>
          <w:szCs w:val="24"/>
        </w:rPr>
      </w:pPr>
      <w:r>
        <w:rPr>
          <w:rFonts w:ascii="Times New Roman" w:hAnsi="Times New Roman" w:cs="Times New Roman"/>
          <w:sz w:val="24"/>
          <w:szCs w:val="24"/>
        </w:rPr>
        <w:drawing>
          <wp:inline distT="0" distB="0" distL="0" distR="0">
            <wp:extent cx="3876675" cy="3528060"/>
            <wp:effectExtent l="0" t="0" r="0" b="0"/>
            <wp:docPr id="8" name="图片 8" descr="C:\Users\LSD\AppData\Local\Microsoft\Windows\INetCache\Content.Word\16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LSD\AppData\Local\Microsoft\Windows\INetCache\Content.Word\16S.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879192" cy="3530970"/>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r>
        <w:rPr>
          <w:rFonts w:ascii="Times New Roman" w:hAnsi="Times New Roman" w:cs="Times New Roman"/>
          <w:sz w:val="24"/>
          <w:szCs w:val="24"/>
        </w:rPr>
        <w:t>b</w:t>
      </w:r>
    </w:p>
    <w:p>
      <w:pPr>
        <w:tabs>
          <w:tab w:val="left" w:pos="4770"/>
        </w:tabs>
        <w:rPr>
          <w:rFonts w:ascii="Times New Roman" w:hAnsi="Times New Roman" w:cs="Times New Roman"/>
          <w:sz w:val="24"/>
          <w:szCs w:val="24"/>
        </w:rPr>
      </w:pPr>
      <w:r>
        <w:rPr>
          <w:rFonts w:ascii="Times New Roman" w:hAnsi="Times New Roman" w:cs="Times New Roman"/>
          <w:sz w:val="24"/>
          <w:szCs w:val="24"/>
        </w:rPr>
        <w:pict>
          <v:shape id="_x0000_i1025" o:spt="75" type="#_x0000_t75" style="height:284.25pt;width:415.5pt;" filled="f" o:preferrelative="t" stroked="f" coordsize="21600,21600">
            <v:path/>
            <v:fill on="f" focussize="0,0"/>
            <v:stroke on="f" joinstyle="miter"/>
            <v:imagedata r:id="rId5" o:title="amoA"/>
            <o:lock v:ext="edit" aspectratio="t"/>
            <w10:wrap type="none"/>
            <w10:anchorlock/>
          </v:shape>
        </w:pict>
      </w:r>
    </w:p>
    <w:p>
      <w:pPr>
        <w:tabs>
          <w:tab w:val="left" w:pos="4770"/>
        </w:tabs>
        <w:rPr>
          <w:rFonts w:ascii="Times New Roman" w:hAnsi="Times New Roman" w:cs="Times New Roman"/>
          <w:sz w:val="24"/>
          <w:szCs w:val="24"/>
        </w:rPr>
      </w:pPr>
    </w:p>
    <w:p>
      <w:pPr>
        <w:tabs>
          <w:tab w:val="left" w:pos="4770"/>
        </w:tabs>
        <w:rPr>
          <w:rFonts w:ascii="Times New Roman" w:hAnsi="Times New Roman" w:eastAsia="Yu Mincho" w:cs="Times New Roman"/>
          <w:sz w:val="24"/>
          <w:szCs w:val="24"/>
          <w:lang w:eastAsia="ja-JP"/>
        </w:rPr>
      </w:pPr>
      <w:r>
        <w:rPr>
          <w:rFonts w:ascii="Times New Roman" w:hAnsi="Times New Roman" w:cs="Times New Roman"/>
          <w:b/>
          <w:sz w:val="24"/>
          <w:szCs w:val="24"/>
        </w:rPr>
        <w:t xml:space="preserve">Figure S1 </w:t>
      </w:r>
      <w:r>
        <w:rPr>
          <w:rFonts w:ascii="Times New Roman" w:hAnsi="Times New Roman" w:cs="Times New Roman"/>
          <w:sz w:val="24"/>
          <w:szCs w:val="24"/>
        </w:rPr>
        <w:t>Phylogenetic tree based on 16S rRNA (a) and</w:t>
      </w:r>
      <w:r>
        <w:rPr>
          <w:rFonts w:ascii="Times New Roman" w:hAnsi="Times New Roman" w:cs="Times New Roman"/>
          <w:i/>
          <w:sz w:val="24"/>
          <w:szCs w:val="24"/>
        </w:rPr>
        <w:t xml:space="preserve"> amoA </w:t>
      </w:r>
      <w:r>
        <w:rPr>
          <w:rFonts w:ascii="Times New Roman" w:hAnsi="Times New Roman" w:cs="Times New Roman"/>
          <w:sz w:val="24"/>
          <w:szCs w:val="24"/>
        </w:rPr>
        <w:t>(b) genes (nucleotide trees). Neighbor-joining, 100 bootstraps. Size of the red dot shows the bootstrap value of the branch. Genes started with “denovogenes” were from metagenomic data directly. Colors of clades follow those in Figure 1.</w:t>
      </w:r>
    </w:p>
    <w:p>
      <w:pPr>
        <w:tabs>
          <w:tab w:val="left" w:pos="4770"/>
        </w:tabs>
        <w:rPr>
          <w:rFonts w:ascii="Times New Roman" w:hAnsi="Times New Roman" w:eastAsia="Yu Mincho" w:cs="Times New Roman"/>
          <w:sz w:val="24"/>
          <w:szCs w:val="24"/>
          <w:lang w:eastAsia="ja-JP"/>
        </w:rPr>
        <w:sectPr>
          <w:pgSz w:w="11906" w:h="16838"/>
          <w:pgMar w:top="1440" w:right="1800" w:bottom="1440" w:left="1800" w:header="851" w:footer="992" w:gutter="0"/>
          <w:cols w:space="425" w:num="1"/>
          <w:docGrid w:type="lines" w:linePitch="312" w:charSpace="0"/>
        </w:sectPr>
      </w:pPr>
    </w:p>
    <w:p>
      <w:pPr>
        <w:tabs>
          <w:tab w:val="left" w:pos="4770"/>
        </w:tabs>
        <w:rPr>
          <w:rFonts w:ascii="Times New Roman" w:hAnsi="Times New Roman" w:cs="Times New Roman"/>
          <w:sz w:val="24"/>
          <w:szCs w:val="24"/>
        </w:rPr>
      </w:pPr>
      <w:r>
        <w:rPr>
          <w:rFonts w:hint="eastAsia" w:ascii="Times New Roman" w:hAnsi="Times New Roman" w:cs="Times New Roman"/>
          <w:sz w:val="24"/>
          <w:szCs w:val="24"/>
        </w:rPr>
        <w:t>a</w:t>
      </w:r>
    </w:p>
    <w:p>
      <w:pPr>
        <w:tabs>
          <w:tab w:val="left" w:pos="4770"/>
        </w:tabs>
        <w:rPr>
          <w:rFonts w:ascii="Times New Roman" w:hAnsi="Times New Roman" w:cs="Times New Roman"/>
          <w:sz w:val="24"/>
          <w:szCs w:val="24"/>
        </w:rPr>
      </w:pPr>
      <w:r>
        <w:rPr>
          <w:rFonts w:ascii="Times New Roman" w:hAnsi="Times New Roman" w:cs="Times New Roman"/>
        </w:rPr>
        <w:drawing>
          <wp:inline distT="0" distB="0" distL="0" distR="0">
            <wp:extent cx="5274310" cy="26479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2648220"/>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r>
        <w:rPr>
          <w:rFonts w:hint="eastAsia" w:ascii="Times New Roman" w:hAnsi="Times New Roman" w:cs="Times New Roman"/>
          <w:sz w:val="24"/>
          <w:szCs w:val="24"/>
        </w:rPr>
        <w:t>b</w:t>
      </w:r>
    </w:p>
    <w:p>
      <w:pPr>
        <w:tabs>
          <w:tab w:val="left" w:pos="4770"/>
        </w:tabs>
        <w:rPr>
          <w:rFonts w:ascii="Times New Roman" w:hAnsi="Times New Roman" w:cs="Times New Roman"/>
          <w:sz w:val="24"/>
          <w:szCs w:val="24"/>
        </w:rPr>
      </w:pPr>
      <w:r>
        <w:rPr>
          <w:rFonts w:ascii="Times New Roman" w:hAnsi="Times New Roman" w:cs="Times New Roman"/>
        </w:rPr>
        <w:drawing>
          <wp:inline distT="0" distB="0" distL="0" distR="0">
            <wp:extent cx="5274310" cy="2663190"/>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2663192"/>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p>
    <w:p>
      <w:pPr>
        <w:tabs>
          <w:tab w:val="left" w:pos="4770"/>
        </w:tabs>
        <w:rPr>
          <w:rFonts w:ascii="Times New Roman" w:hAnsi="Times New Roman" w:cs="Times New Roman"/>
          <w:sz w:val="24"/>
          <w:szCs w:val="24"/>
        </w:rPr>
      </w:pPr>
      <w:r>
        <w:rPr>
          <w:rFonts w:ascii="Times New Roman" w:hAnsi="Times New Roman" w:cs="Times New Roman"/>
          <w:b/>
          <w:sz w:val="24"/>
          <w:szCs w:val="24"/>
        </w:rPr>
        <w:t>Figure S2</w:t>
      </w:r>
      <w:r>
        <w:rPr>
          <w:rFonts w:ascii="Times New Roman" w:hAnsi="Times New Roman" w:cs="Times New Roman"/>
          <w:sz w:val="24"/>
          <w:szCs w:val="24"/>
        </w:rPr>
        <w:t xml:space="preserve"> ANI and TETRA between HMGI, DMGI and other representative assemblages. If ANI &gt; 0.95 or TETRA &gt; 0.99 (shown in red) between two genomes then they could be considered to be the same phylotype.</w:t>
      </w:r>
    </w:p>
    <w:p>
      <w:pPr>
        <w:widowControl/>
        <w:jc w:val="left"/>
        <w:rPr>
          <w:rFonts w:ascii="Times New Roman" w:hAnsi="Times New Roman" w:cs="Times New Roman"/>
          <w:sz w:val="24"/>
          <w:szCs w:val="24"/>
        </w:rPr>
        <w:sectPr>
          <w:pgSz w:w="11906" w:h="16838"/>
          <w:pgMar w:top="1440" w:right="1800" w:bottom="1440" w:left="1800" w:header="851" w:footer="992" w:gutter="0"/>
          <w:cols w:space="425" w:num="1"/>
          <w:docGrid w:type="lines" w:linePitch="312" w:charSpace="0"/>
        </w:sectPr>
      </w:pPr>
      <w:r>
        <w:rPr>
          <w:rFonts w:ascii="Times New Roman" w:hAnsi="Times New Roman" w:cs="Times New Roman"/>
          <w:sz w:val="24"/>
          <w:szCs w:val="24"/>
        </w:rPr>
        <w:br w:type="page"/>
      </w:r>
    </w:p>
    <w:p>
      <w:pPr>
        <w:widowControl/>
        <w:jc w:val="left"/>
        <w:rPr>
          <w:rFonts w:ascii="Times New Roman" w:hAnsi="Times New Roman" w:cs="Times New Roman"/>
          <w:sz w:val="24"/>
          <w:szCs w:val="24"/>
        </w:rPr>
      </w:pPr>
    </w:p>
    <w:p>
      <w:pPr>
        <w:tabs>
          <w:tab w:val="left" w:pos="4770"/>
        </w:tabs>
        <w:rPr>
          <w:rFonts w:ascii="Times New Roman" w:hAnsi="Times New Roman" w:cs="Times New Roman"/>
          <w:b/>
          <w:sz w:val="24"/>
          <w:szCs w:val="24"/>
        </w:rPr>
      </w:pPr>
      <w:r>
        <w:rPr>
          <w:rFonts w:ascii="Times New Roman" w:hAnsi="Times New Roman" w:cs="Times New Roman"/>
          <w:b/>
          <w:sz w:val="24"/>
          <w:szCs w:val="24"/>
        </w:rPr>
        <w:drawing>
          <wp:inline distT="0" distB="0" distL="0" distR="0">
            <wp:extent cx="5321300" cy="250063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58578" cy="2518022"/>
                    </a:xfrm>
                    <a:prstGeom prst="rect">
                      <a:avLst/>
                    </a:prstGeom>
                    <a:noFill/>
                  </pic:spPr>
                </pic:pic>
              </a:graphicData>
            </a:graphic>
          </wp:inline>
        </w:drawing>
      </w:r>
    </w:p>
    <w:p>
      <w:pPr>
        <w:tabs>
          <w:tab w:val="left" w:pos="4770"/>
        </w:tabs>
        <w:rPr>
          <w:rFonts w:ascii="Times New Roman" w:hAnsi="Times New Roman" w:cs="Times New Roman"/>
          <w:sz w:val="24"/>
          <w:szCs w:val="24"/>
        </w:rPr>
      </w:pPr>
      <w:r>
        <w:rPr>
          <w:rFonts w:ascii="Times New Roman" w:hAnsi="Times New Roman" w:cs="Times New Roman"/>
          <w:b/>
          <w:sz w:val="24"/>
          <w:szCs w:val="24"/>
        </w:rPr>
        <w:t>Figure S3</w:t>
      </w:r>
      <w:r>
        <w:rPr>
          <w:rFonts w:ascii="Times New Roman" w:hAnsi="Times New Roman" w:cs="Times New Roman"/>
          <w:sz w:val="24"/>
          <w:szCs w:val="24"/>
        </w:rPr>
        <w:t xml:space="preserve"> arCOG </w:t>
      </w:r>
      <w:r>
        <w:rPr>
          <w:rFonts w:hint="eastAsia" w:ascii="Times New Roman" w:hAnsi="Times New Roman" w:cs="Times New Roman"/>
          <w:sz w:val="24"/>
          <w:szCs w:val="24"/>
        </w:rPr>
        <w:t>categories graph of several</w:t>
      </w:r>
      <w:r>
        <w:rPr>
          <w:rFonts w:ascii="Times New Roman" w:hAnsi="Times New Roman" w:cs="Times New Roman"/>
          <w:sz w:val="24"/>
          <w:szCs w:val="24"/>
        </w:rPr>
        <w:t xml:space="preserve"> other high completeness AOA from water samples including</w:t>
      </w:r>
      <w:r>
        <w:rPr>
          <w:rFonts w:hint="eastAsia" w:ascii="Times New Roman" w:hAnsi="Times New Roman" w:cs="Times New Roman"/>
          <w:sz w:val="24"/>
          <w:szCs w:val="24"/>
        </w:rPr>
        <w:t xml:space="preserve"> MTA1</w:t>
      </w:r>
      <w:r>
        <w:rPr>
          <w:rFonts w:ascii="Times New Roman" w:hAnsi="Times New Roman" w:cs="Times New Roman"/>
          <w:sz w:val="24"/>
          <w:szCs w:val="24"/>
        </w:rPr>
        <w:t xml:space="preserve"> (DMGI SAGs are not complete enough thus not suited for this analysis)</w:t>
      </w:r>
      <w:r>
        <w:rPr>
          <w:rFonts w:hint="eastAsia" w:ascii="Times New Roman" w:hAnsi="Times New Roman" w:cs="Times New Roman"/>
          <w:sz w:val="24"/>
          <w:szCs w:val="24"/>
        </w:rPr>
        <w:t>.</w:t>
      </w:r>
      <w:r>
        <w:rPr>
          <w:rFonts w:ascii="Times New Roman" w:hAnsi="Times New Roman" w:cs="Times New Roman"/>
          <w:sz w:val="24"/>
          <w:szCs w:val="24"/>
        </w:rPr>
        <w:t xml:space="preserve"> Meanings of these categories are listed below.</w:t>
      </w:r>
    </w:p>
    <w:p>
      <w:pPr>
        <w:tabs>
          <w:tab w:val="left" w:pos="4770"/>
        </w:tabs>
        <w:rPr>
          <w:rFonts w:ascii="Times New Roman" w:hAnsi="Times New Roman" w:cs="Times New Roman"/>
          <w:sz w:val="24"/>
          <w:szCs w:val="24"/>
        </w:rPr>
      </w:pPr>
      <w:r>
        <w:rPr>
          <w:rFonts w:ascii="Times New Roman" w:hAnsi="Times New Roman" w:cs="Times New Roman"/>
          <w:sz w:val="24"/>
          <w:szCs w:val="24"/>
        </w:rPr>
        <w:t>F   Nucleotide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U   Intracellular trafficking, secretion, and vesicular transport</w:t>
      </w:r>
    </w:p>
    <w:p>
      <w:pPr>
        <w:tabs>
          <w:tab w:val="left" w:pos="4770"/>
        </w:tabs>
        <w:rPr>
          <w:rFonts w:ascii="Times New Roman" w:hAnsi="Times New Roman" w:cs="Times New Roman"/>
          <w:sz w:val="24"/>
          <w:szCs w:val="24"/>
        </w:rPr>
      </w:pPr>
      <w:r>
        <w:rPr>
          <w:rFonts w:ascii="Times New Roman" w:hAnsi="Times New Roman" w:cs="Times New Roman"/>
          <w:sz w:val="24"/>
          <w:szCs w:val="24"/>
        </w:rPr>
        <w:t>X   Mobilome: prophages, transposons</w:t>
      </w:r>
    </w:p>
    <w:p>
      <w:pPr>
        <w:tabs>
          <w:tab w:val="left" w:pos="4770"/>
        </w:tabs>
        <w:rPr>
          <w:rFonts w:ascii="Times New Roman" w:hAnsi="Times New Roman" w:cs="Times New Roman"/>
          <w:sz w:val="24"/>
          <w:szCs w:val="24"/>
        </w:rPr>
      </w:pPr>
      <w:r>
        <w:rPr>
          <w:rFonts w:ascii="Times New Roman" w:hAnsi="Times New Roman" w:cs="Times New Roman"/>
          <w:sz w:val="24"/>
          <w:szCs w:val="24"/>
        </w:rPr>
        <w:t>J   Translation, ribosomal structure and biogenesis</w:t>
      </w:r>
    </w:p>
    <w:p>
      <w:pPr>
        <w:tabs>
          <w:tab w:val="left" w:pos="4770"/>
        </w:tabs>
        <w:rPr>
          <w:rFonts w:ascii="Times New Roman" w:hAnsi="Times New Roman" w:cs="Times New Roman"/>
          <w:sz w:val="24"/>
          <w:szCs w:val="24"/>
        </w:rPr>
      </w:pPr>
      <w:r>
        <w:rPr>
          <w:rFonts w:ascii="Times New Roman" w:hAnsi="Times New Roman" w:cs="Times New Roman"/>
          <w:sz w:val="24"/>
          <w:szCs w:val="24"/>
        </w:rPr>
        <w:t>P   Inorganic ion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D   Cell cycle control, cell division, chromosome partitioning</w:t>
      </w:r>
    </w:p>
    <w:p>
      <w:pPr>
        <w:tabs>
          <w:tab w:val="left" w:pos="4770"/>
        </w:tabs>
        <w:rPr>
          <w:rFonts w:ascii="Times New Roman" w:hAnsi="Times New Roman" w:cs="Times New Roman"/>
          <w:sz w:val="24"/>
          <w:szCs w:val="24"/>
        </w:rPr>
      </w:pPr>
      <w:r>
        <w:rPr>
          <w:rFonts w:ascii="Times New Roman" w:hAnsi="Times New Roman" w:cs="Times New Roman"/>
          <w:sz w:val="24"/>
          <w:szCs w:val="24"/>
        </w:rPr>
        <w:t>I   Lipid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M   Cell wall/membrane/envelope biogenesis</w:t>
      </w:r>
    </w:p>
    <w:p>
      <w:pPr>
        <w:tabs>
          <w:tab w:val="left" w:pos="4770"/>
        </w:tabs>
        <w:rPr>
          <w:rFonts w:ascii="Times New Roman" w:hAnsi="Times New Roman" w:cs="Times New Roman"/>
          <w:sz w:val="24"/>
          <w:szCs w:val="24"/>
        </w:rPr>
      </w:pPr>
      <w:r>
        <w:rPr>
          <w:rFonts w:ascii="Times New Roman" w:hAnsi="Times New Roman" w:cs="Times New Roman"/>
          <w:sz w:val="24"/>
          <w:szCs w:val="24"/>
        </w:rPr>
        <w:t>N   Cell motility</w:t>
      </w:r>
    </w:p>
    <w:p>
      <w:pPr>
        <w:tabs>
          <w:tab w:val="left" w:pos="4770"/>
        </w:tabs>
        <w:rPr>
          <w:rFonts w:ascii="Times New Roman" w:hAnsi="Times New Roman" w:cs="Times New Roman"/>
          <w:sz w:val="24"/>
          <w:szCs w:val="24"/>
        </w:rPr>
      </w:pPr>
      <w:r>
        <w:rPr>
          <w:rFonts w:ascii="Times New Roman" w:hAnsi="Times New Roman" w:cs="Times New Roman"/>
          <w:sz w:val="24"/>
          <w:szCs w:val="24"/>
        </w:rPr>
        <w:t>K   Transcription</w:t>
      </w:r>
    </w:p>
    <w:p>
      <w:pPr>
        <w:tabs>
          <w:tab w:val="left" w:pos="4770"/>
        </w:tabs>
        <w:rPr>
          <w:rFonts w:ascii="Times New Roman" w:hAnsi="Times New Roman" w:cs="Times New Roman"/>
          <w:sz w:val="24"/>
          <w:szCs w:val="24"/>
        </w:rPr>
      </w:pPr>
      <w:r>
        <w:rPr>
          <w:rFonts w:ascii="Times New Roman" w:hAnsi="Times New Roman" w:cs="Times New Roman"/>
          <w:sz w:val="24"/>
          <w:szCs w:val="24"/>
        </w:rPr>
        <w:t>T   Signal transduction mechanisms</w:t>
      </w:r>
    </w:p>
    <w:p>
      <w:pPr>
        <w:tabs>
          <w:tab w:val="left" w:pos="4770"/>
        </w:tabs>
        <w:rPr>
          <w:rFonts w:ascii="Times New Roman" w:hAnsi="Times New Roman" w:cs="Times New Roman"/>
          <w:sz w:val="24"/>
          <w:szCs w:val="24"/>
        </w:rPr>
      </w:pPr>
      <w:r>
        <w:rPr>
          <w:rFonts w:ascii="Times New Roman" w:hAnsi="Times New Roman" w:cs="Times New Roman"/>
          <w:sz w:val="24"/>
          <w:szCs w:val="24"/>
        </w:rPr>
        <w:t>V   Defense mechanisms</w:t>
      </w:r>
    </w:p>
    <w:p>
      <w:pPr>
        <w:tabs>
          <w:tab w:val="left" w:pos="4770"/>
        </w:tabs>
        <w:rPr>
          <w:rFonts w:ascii="Times New Roman" w:hAnsi="Times New Roman" w:cs="Times New Roman"/>
          <w:sz w:val="24"/>
          <w:szCs w:val="24"/>
        </w:rPr>
      </w:pPr>
      <w:r>
        <w:rPr>
          <w:rFonts w:ascii="Times New Roman" w:hAnsi="Times New Roman" w:cs="Times New Roman"/>
          <w:sz w:val="24"/>
          <w:szCs w:val="24"/>
        </w:rPr>
        <w:t>C   Energy production and conversion</w:t>
      </w:r>
    </w:p>
    <w:p>
      <w:pPr>
        <w:tabs>
          <w:tab w:val="left" w:pos="4770"/>
        </w:tabs>
        <w:rPr>
          <w:rFonts w:ascii="Times New Roman" w:hAnsi="Times New Roman" w:cs="Times New Roman"/>
          <w:sz w:val="24"/>
          <w:szCs w:val="24"/>
        </w:rPr>
      </w:pPr>
      <w:r>
        <w:rPr>
          <w:rFonts w:ascii="Times New Roman" w:hAnsi="Times New Roman" w:cs="Times New Roman"/>
          <w:sz w:val="24"/>
          <w:szCs w:val="24"/>
        </w:rPr>
        <w:t>E   Amino acid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H   Coenzyme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O   Posttranslational modification, protein turnover, chaperones</w:t>
      </w:r>
    </w:p>
    <w:p>
      <w:pPr>
        <w:tabs>
          <w:tab w:val="left" w:pos="4770"/>
        </w:tabs>
        <w:rPr>
          <w:rFonts w:ascii="Times New Roman" w:hAnsi="Times New Roman" w:cs="Times New Roman"/>
          <w:sz w:val="24"/>
          <w:szCs w:val="24"/>
        </w:rPr>
      </w:pPr>
      <w:r>
        <w:rPr>
          <w:rFonts w:ascii="Times New Roman" w:hAnsi="Times New Roman" w:cs="Times New Roman"/>
          <w:sz w:val="24"/>
          <w:szCs w:val="24"/>
        </w:rPr>
        <w:t>G   Carbohydrate transport and metabolism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Q   Secondary metabolites biosynthesis, transport and catabolism</w:t>
      </w:r>
    </w:p>
    <w:p>
      <w:pPr>
        <w:tabs>
          <w:tab w:val="left" w:pos="4770"/>
        </w:tabs>
        <w:rPr>
          <w:rFonts w:ascii="Times New Roman" w:hAnsi="Times New Roman" w:cs="Times New Roman"/>
          <w:sz w:val="24"/>
          <w:szCs w:val="24"/>
        </w:rPr>
      </w:pPr>
      <w:r>
        <w:rPr>
          <w:rFonts w:ascii="Times New Roman" w:hAnsi="Times New Roman" w:cs="Times New Roman"/>
          <w:sz w:val="24"/>
          <w:szCs w:val="24"/>
        </w:rPr>
        <w:t>L   Replication, recombination and repair</w:t>
      </w:r>
    </w:p>
    <w:p>
      <w:pPr>
        <w:tabs>
          <w:tab w:val="left" w:pos="4770"/>
        </w:tabs>
        <w:rPr>
          <w:rFonts w:ascii="Times New Roman" w:hAnsi="Times New Roman" w:cs="Times New Roman"/>
          <w:sz w:val="24"/>
          <w:szCs w:val="24"/>
        </w:rPr>
      </w:pPr>
      <w:r>
        <w:rPr>
          <w:rFonts w:ascii="Times New Roman" w:hAnsi="Times New Roman" w:cs="Times New Roman"/>
          <w:sz w:val="24"/>
          <w:szCs w:val="24"/>
        </w:rPr>
        <w:t>R   General function prediction only</w:t>
      </w:r>
    </w:p>
    <w:p>
      <w:pPr>
        <w:tabs>
          <w:tab w:val="left" w:pos="4770"/>
        </w:tabs>
        <w:rPr>
          <w:rFonts w:ascii="Times New Roman" w:hAnsi="Times New Roman" w:cs="Times New Roman"/>
          <w:sz w:val="24"/>
          <w:szCs w:val="24"/>
        </w:rPr>
      </w:pPr>
      <w:r>
        <w:rPr>
          <w:rFonts w:ascii="Times New Roman" w:hAnsi="Times New Roman" w:cs="Times New Roman"/>
          <w:sz w:val="24"/>
          <w:szCs w:val="24"/>
        </w:rPr>
        <w:t>S   Function unknown</w:t>
      </w:r>
    </w:p>
    <w:p>
      <w:pPr>
        <w:rPr>
          <w:rFonts w:ascii="Times New Roman" w:hAnsi="Times New Roman" w:cs="Times New Roman"/>
          <w:b/>
        </w:rPr>
      </w:pPr>
      <w:r>
        <w:rPr>
          <w:rFonts w:ascii="Times New Roman" w:hAnsi="Times New Roman" w:cs="Times New Roman"/>
          <w:b/>
        </w:rPr>
        <w:drawing>
          <wp:inline distT="0" distB="0" distL="0" distR="0">
            <wp:extent cx="5276850" cy="34874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6850" cy="3487420"/>
                    </a:xfrm>
                    <a:prstGeom prst="rect">
                      <a:avLst/>
                    </a:prstGeom>
                    <a:noFill/>
                  </pic:spPr>
                </pic:pic>
              </a:graphicData>
            </a:graphic>
          </wp:inline>
        </w:drawing>
      </w: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b/>
        </w:rPr>
        <w:t>F</w:t>
      </w:r>
      <w:r>
        <w:rPr>
          <w:rFonts w:ascii="Times New Roman" w:hAnsi="Times New Roman" w:cs="Times New Roman"/>
          <w:b/>
        </w:rPr>
        <w:t>igure S4</w:t>
      </w:r>
      <w:r>
        <w:rPr>
          <w:rFonts w:ascii="Times New Roman" w:hAnsi="Times New Roman" w:cs="Times New Roman"/>
        </w:rPr>
        <w:t xml:space="preserve"> Comparisons of unique gene proportions in arCOG categories between the DMGI and the HMGI. Categories follow figure S3.</w:t>
      </w:r>
    </w:p>
    <w:p>
      <w:pPr>
        <w:rPr>
          <w:rFonts w:ascii="Times New Roman" w:hAnsi="Times New Roman" w:cs="Times New Roman"/>
        </w:rPr>
      </w:pPr>
      <w:r>
        <w:rPr>
          <w:rFonts w:hint="eastAsia" w:ascii="Times New Roman" w:hAnsi="Times New Roman" w:cs="Times New Roman"/>
        </w:rPr>
        <w:t>a</w:t>
      </w:r>
    </w:p>
    <w:p>
      <w:pPr>
        <w:rPr>
          <w:rFonts w:ascii="Times New Roman" w:hAnsi="Times New Roman" w:cs="Times New Roman"/>
          <w:b/>
        </w:rPr>
      </w:pPr>
      <w:r>
        <w:rPr>
          <w:rFonts w:ascii="Times New Roman" w:hAnsi="Times New Roman" w:cs="Times New Roman"/>
          <w:b/>
        </w:rPr>
        <w:drawing>
          <wp:inline distT="0" distB="0" distL="0" distR="0">
            <wp:extent cx="5248275" cy="2395855"/>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62647" cy="2402794"/>
                    </a:xfrm>
                    <a:prstGeom prst="rect">
                      <a:avLst/>
                    </a:prstGeom>
                    <a:noFill/>
                  </pic:spPr>
                </pic:pic>
              </a:graphicData>
            </a:graphic>
          </wp:inline>
        </w:drawing>
      </w:r>
    </w:p>
    <w:p>
      <w:pPr>
        <w:rPr>
          <w:rFonts w:ascii="Times New Roman" w:hAnsi="Times New Roman" w:cs="Times New Roman"/>
        </w:rPr>
      </w:pPr>
      <w:r>
        <w:rPr>
          <w:rFonts w:hint="eastAsia" w:ascii="Times New Roman" w:hAnsi="Times New Roman" w:cs="Times New Roman"/>
        </w:rPr>
        <w:t>b</w:t>
      </w:r>
    </w:p>
    <w:p>
      <w:pPr>
        <w:jc w:val="center"/>
        <w:rPr>
          <w:rFonts w:ascii="Times New Roman" w:hAnsi="Times New Roman" w:cs="Times New Roman"/>
          <w:b/>
        </w:rPr>
      </w:pPr>
      <w:r>
        <w:rPr>
          <w:rFonts w:ascii="Times New Roman" w:hAnsi="Times New Roman" w:cs="Times New Roman"/>
          <w:b/>
        </w:rPr>
        <w:drawing>
          <wp:inline distT="0" distB="0" distL="0" distR="0">
            <wp:extent cx="5224780" cy="2506345"/>
            <wp:effectExtent l="0" t="0" r="0"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32210" cy="2509683"/>
                    </a:xfrm>
                    <a:prstGeom prst="rect">
                      <a:avLst/>
                    </a:prstGeom>
                    <a:noFill/>
                  </pic:spPr>
                </pic:pic>
              </a:graphicData>
            </a:graphic>
          </wp:inline>
        </w:drawing>
      </w:r>
    </w:p>
    <w:p>
      <w:pPr>
        <w:rPr>
          <w:rFonts w:ascii="Times New Roman" w:hAnsi="Times New Roman" w:cs="Times New Roman"/>
        </w:rPr>
      </w:pPr>
      <w:r>
        <w:rPr>
          <w:rFonts w:ascii="Times New Roman" w:hAnsi="Times New Roman" w:cs="Times New Roman"/>
          <w:b/>
        </w:rPr>
        <w:t>Figure S5</w:t>
      </w:r>
      <w:r>
        <w:rPr>
          <w:rFonts w:ascii="Times New Roman" w:hAnsi="Times New Roman" w:cs="Times New Roman"/>
        </w:rPr>
        <w:t xml:space="preserve"> Tetranucleotide frequencies divergence linear regression of two ATP synthase gene islands based on zero-order Markov method frequency expectations (Pride et al., 2003). Since the R</w:t>
      </w:r>
      <w:r>
        <w:rPr>
          <w:rFonts w:ascii="Times New Roman" w:hAnsi="Times New Roman" w:cs="Times New Roman"/>
          <w:vertAlign w:val="superscript"/>
        </w:rPr>
        <w:t>2</w:t>
      </w:r>
      <w:r>
        <w:rPr>
          <w:rFonts w:ascii="Times New Roman" w:hAnsi="Times New Roman" w:cs="Times New Roman"/>
        </w:rPr>
        <w:t xml:space="preserve"> of the Na</w:t>
      </w:r>
      <w:r>
        <w:rPr>
          <w:rFonts w:ascii="Times New Roman" w:hAnsi="Times New Roman" w:cs="Times New Roman"/>
          <w:vertAlign w:val="superscript"/>
        </w:rPr>
        <w:t>+</w:t>
      </w:r>
      <w:r>
        <w:rPr>
          <w:rFonts w:ascii="Times New Roman" w:hAnsi="Times New Roman" w:cs="Times New Roman"/>
        </w:rPr>
        <w:t xml:space="preserve"> coupling ATP synthase gene island is smaller, it is more likely from HGT.</w:t>
      </w:r>
    </w:p>
    <w:p>
      <w:pPr>
        <w:rPr>
          <w:rFonts w:ascii="Times New Roman" w:hAnsi="Times New Roman" w:cs="Times New Roman"/>
        </w:rPr>
      </w:pPr>
    </w:p>
    <w:p>
      <w:pPr>
        <w:spacing w:line="360" w:lineRule="auto"/>
        <w:rPr>
          <w:rFonts w:ascii="Times New Roman" w:hAnsi="Times New Roman" w:cs="Times New Roman"/>
          <w:sz w:val="24"/>
          <w:szCs w:val="24"/>
        </w:rPr>
      </w:pPr>
      <w:r>
        <w:rPr>
          <w:rFonts w:ascii="Times New Roman" w:hAnsi="Times New Roman" w:cs="Times New Roman"/>
          <w:sz w:val="24"/>
          <w:szCs w:val="24"/>
        </w:rPr>
        <w:pict>
          <v:shape id="_x0000_i1026" o:spt="75" type="#_x0000_t75" style="height:238.5pt;width:414.75pt;" filled="f" o:preferrelative="t" stroked="f" coordsize="21600,21600">
            <v:path/>
            <v:fill on="f" focussize="0,0"/>
            <v:stroke on="f" joinstyle="miter"/>
            <v:imagedata r:id="rId12" o:title="Figure_S4"/>
            <o:lock v:ext="edit" aspectratio="t"/>
            <w10:wrap type="none"/>
            <w10:anchorlock/>
          </v:shape>
        </w:pict>
      </w:r>
    </w:p>
    <w:p>
      <w:pPr>
        <w:spacing w:line="360" w:lineRule="auto"/>
        <w:rPr>
          <w:rFonts w:ascii="Times New Roman" w:hAnsi="Times New Roman" w:cs="Times New Roman"/>
          <w:sz w:val="24"/>
          <w:szCs w:val="24"/>
        </w:rPr>
      </w:pPr>
      <w:r>
        <w:rPr>
          <w:rFonts w:ascii="Times New Roman" w:hAnsi="Times New Roman" w:cs="Times New Roman"/>
          <w:b/>
          <w:sz w:val="24"/>
          <w:szCs w:val="24"/>
        </w:rPr>
        <w:t xml:space="preserve">Figure S6 </w:t>
      </w:r>
      <w:r>
        <w:rPr>
          <w:rFonts w:ascii="Times New Roman" w:hAnsi="Times New Roman" w:cs="Times New Roman"/>
          <w:sz w:val="24"/>
          <w:szCs w:val="24"/>
        </w:rPr>
        <w:t>DIPPS+IPCT gene order.</w:t>
      </w:r>
      <w:r>
        <w:rPr>
          <w:rFonts w:hint="eastAsia" w:ascii="Times New Roman" w:hAnsi="Times New Roman" w:cs="Times New Roman"/>
          <w:sz w:val="24"/>
          <w:szCs w:val="24"/>
        </w:rPr>
        <w:t xml:space="preserve"> D</w:t>
      </w:r>
      <w:r>
        <w:rPr>
          <w:rFonts w:ascii="Times New Roman" w:hAnsi="Times New Roman" w:cs="Times New Roman"/>
          <w:sz w:val="24"/>
          <w:szCs w:val="24"/>
        </w:rPr>
        <w:t>IPPS: di-myo-inositol phosphate phosphate synthase; IPCT: inositol-1-phosphate cytidylyltransferase.</w:t>
      </w:r>
    </w:p>
    <w:p>
      <w:pPr>
        <w:spacing w:line="360" w:lineRule="auto"/>
        <w:rPr>
          <w:rFonts w:ascii="Times New Roman" w:hAnsi="Times New Roman" w:cs="Times New Roman"/>
          <w:sz w:val="24"/>
          <w:szCs w:val="24"/>
        </w:rPr>
        <w:sectPr>
          <w:pgSz w:w="11906" w:h="16838"/>
          <w:pgMar w:top="1440" w:right="1800" w:bottom="1440" w:left="1800" w:header="851" w:footer="992" w:gutter="0"/>
          <w:cols w:space="425" w:num="1"/>
          <w:docGrid w:type="lines" w:linePitch="312" w:charSpace="0"/>
        </w:sectPr>
      </w:pPr>
    </w:p>
    <w:p>
      <w:pPr>
        <w:tabs>
          <w:tab w:val="left" w:pos="4770"/>
        </w:tabs>
        <w:rPr>
          <w:rFonts w:ascii="Times New Roman" w:hAnsi="Times New Roman" w:cs="Times New Roman"/>
          <w:sz w:val="24"/>
          <w:szCs w:val="24"/>
        </w:rPr>
      </w:pPr>
      <w:r>
        <w:rPr>
          <w:rFonts w:ascii="Times New Roman" w:hAnsi="Times New Roman" w:cs="Times New Roman"/>
          <w:sz w:val="24"/>
          <w:szCs w:val="24"/>
        </w:rPr>
        <w:t>a</w:t>
      </w:r>
    </w:p>
    <w:p>
      <w:pPr>
        <w:tabs>
          <w:tab w:val="left" w:pos="4770"/>
        </w:tabs>
        <w:rPr>
          <w:rFonts w:ascii="Times New Roman" w:hAnsi="Times New Roman" w:cs="Times New Roman"/>
          <w:sz w:val="24"/>
          <w:szCs w:val="24"/>
        </w:rPr>
      </w:pPr>
      <w:r>
        <w:rPr>
          <w:rFonts w:ascii="Times New Roman" w:hAnsi="Times New Roman" w:cs="Times New Roman"/>
          <w:sz w:val="24"/>
          <w:szCs w:val="24"/>
        </w:rPr>
        <w:drawing>
          <wp:inline distT="0" distB="0" distL="0" distR="0">
            <wp:extent cx="5267325" cy="2781300"/>
            <wp:effectExtent l="0" t="0" r="9525" b="0"/>
            <wp:docPr id="2" name="图片 2" descr="C:\Users\LSD\AppData\Local\Microsoft\Windows\INetCache\Content.Word\Figure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SD\AppData\Local\Microsoft\Windows\INetCache\Content.Word\FigureS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67325" cy="2781300"/>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r>
        <w:rPr>
          <w:rFonts w:ascii="Times New Roman" w:hAnsi="Times New Roman" w:cs="Times New Roman"/>
          <w:sz w:val="24"/>
          <w:szCs w:val="24"/>
        </w:rPr>
        <w:t>b</w:t>
      </w:r>
    </w:p>
    <w:p>
      <w:pPr>
        <w:tabs>
          <w:tab w:val="left" w:pos="4770"/>
        </w:tabs>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1909445"/>
            <wp:effectExtent l="0" t="0" r="2540" b="0"/>
            <wp:docPr id="6" name="图片 6" descr="C:\Users\LSD\AppData\Local\Microsoft\Windows\INetCache\Content.Word\Figure_S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LSD\AppData\Local\Microsoft\Windows\INetCache\Content.Word\Figure_S5_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4310" cy="1909664"/>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p>
    <w:p>
      <w:pPr>
        <w:tabs>
          <w:tab w:val="left" w:pos="4770"/>
        </w:tabs>
        <w:rPr>
          <w:rFonts w:ascii="Times New Roman" w:hAnsi="Times New Roman" w:cs="Times New Roman"/>
          <w:sz w:val="24"/>
          <w:szCs w:val="24"/>
        </w:rPr>
      </w:pPr>
      <w:r>
        <w:rPr>
          <w:rFonts w:ascii="Times New Roman" w:hAnsi="Times New Roman" w:cs="Times New Roman"/>
          <w:b/>
          <w:sz w:val="24"/>
          <w:szCs w:val="24"/>
        </w:rPr>
        <w:t>Figure S7</w:t>
      </w:r>
      <w:r>
        <w:rPr>
          <w:rFonts w:ascii="Times New Roman" w:hAnsi="Times New Roman" w:cs="Times New Roman"/>
          <w:sz w:val="24"/>
          <w:szCs w:val="24"/>
        </w:rPr>
        <w:t xml:space="preserve"> Phylogenetic tree (a) (Neighbor joining, amino acids, 100 bootstraps) and gene order of the urease and extra thermosome genes (b)</w:t>
      </w:r>
    </w:p>
    <w:p>
      <w:pPr>
        <w:tabs>
          <w:tab w:val="left" w:pos="4770"/>
        </w:tabs>
        <w:rPr>
          <w:rFonts w:ascii="Times New Roman" w:hAnsi="Times New Roman" w:cs="Times New Roman"/>
          <w:sz w:val="24"/>
          <w:szCs w:val="24"/>
        </w:rPr>
      </w:pPr>
    </w:p>
    <w:p>
      <w:pPr>
        <w:tabs>
          <w:tab w:val="left" w:pos="4770"/>
        </w:tabs>
        <w:rPr>
          <w:rFonts w:ascii="Times New Roman" w:hAnsi="Times New Roman" w:cs="Times New Roman"/>
          <w:sz w:val="24"/>
          <w:szCs w:val="24"/>
        </w:rPr>
        <w:sectPr>
          <w:pgSz w:w="11906" w:h="16838"/>
          <w:pgMar w:top="1440" w:right="1800" w:bottom="1440" w:left="1800" w:header="851" w:footer="992" w:gutter="0"/>
          <w:cols w:space="425" w:num="1"/>
          <w:docGrid w:type="lines" w:linePitch="312" w:charSpace="0"/>
        </w:sectPr>
      </w:pPr>
    </w:p>
    <w:p>
      <w:pPr>
        <w:tabs>
          <w:tab w:val="left" w:pos="4770"/>
        </w:tabs>
        <w:rPr>
          <w:rFonts w:ascii="Times New Roman" w:hAnsi="Times New Roman" w:cs="Times New Roman"/>
          <w:sz w:val="24"/>
          <w:szCs w:val="24"/>
        </w:rPr>
      </w:pPr>
      <w:r>
        <w:rPr>
          <w:rFonts w:ascii="Times New Roman" w:hAnsi="Times New Roman" w:cs="Times New Roman"/>
          <w:sz w:val="24"/>
          <w:szCs w:val="24"/>
        </w:rPr>
        <w:drawing>
          <wp:inline distT="0" distB="0" distL="0" distR="0">
            <wp:extent cx="5267325" cy="3867150"/>
            <wp:effectExtent l="0" t="0" r="9525" b="0"/>
            <wp:docPr id="1" name="图片 1" descr="Figure_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_S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67325" cy="3867150"/>
                    </a:xfrm>
                    <a:prstGeom prst="rect">
                      <a:avLst/>
                    </a:prstGeom>
                    <a:noFill/>
                    <a:ln>
                      <a:noFill/>
                    </a:ln>
                  </pic:spPr>
                </pic:pic>
              </a:graphicData>
            </a:graphic>
          </wp:inline>
        </w:drawing>
      </w:r>
    </w:p>
    <w:p>
      <w:pPr>
        <w:tabs>
          <w:tab w:val="left" w:pos="4770"/>
        </w:tabs>
        <w:rPr>
          <w:rFonts w:ascii="Times New Roman" w:hAnsi="Times New Roman" w:cs="Times New Roman"/>
          <w:sz w:val="24"/>
          <w:szCs w:val="24"/>
        </w:rPr>
      </w:pPr>
      <w:r>
        <w:rPr>
          <w:rFonts w:ascii="Times New Roman" w:hAnsi="Times New Roman" w:cs="Times New Roman"/>
          <w:b/>
          <w:sz w:val="24"/>
          <w:szCs w:val="24"/>
        </w:rPr>
        <w:t xml:space="preserve">Figure S8 </w:t>
      </w:r>
      <w:r>
        <w:rPr>
          <w:rFonts w:ascii="Times New Roman" w:hAnsi="Times New Roman" w:cs="Times New Roman"/>
          <w:sz w:val="24"/>
          <w:szCs w:val="24"/>
        </w:rPr>
        <w:t>A whole pipeline graph of material and method</w:t>
      </w: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tabs>
          <w:tab w:val="left" w:pos="4770"/>
        </w:tabs>
        <w:spacing w:before="156" w:beforeLines="50" w:after="156" w:afterLines="50"/>
        <w:rPr>
          <w:rFonts w:ascii="Times New Roman" w:hAnsi="Times New Roman" w:cs="Times New Roman"/>
          <w:sz w:val="24"/>
          <w:szCs w:val="24"/>
        </w:rPr>
      </w:pPr>
      <w:r>
        <w:rPr>
          <w:rFonts w:ascii="Times New Roman" w:hAnsi="Times New Roman" w:cs="Times New Roman"/>
          <w:b/>
          <w:sz w:val="24"/>
          <w:szCs w:val="24"/>
        </w:rPr>
        <w:t xml:space="preserve">Table S1 </w:t>
      </w:r>
      <w:r>
        <w:rPr>
          <w:rFonts w:ascii="Times New Roman" w:hAnsi="Times New Roman" w:cs="Times New Roman"/>
          <w:sz w:val="24"/>
          <w:szCs w:val="24"/>
        </w:rPr>
        <w:t>Environmental factors in trenches at various depths (especially the NH4</w:t>
      </w:r>
      <w:r>
        <w:rPr>
          <w:rFonts w:ascii="Times New Roman" w:hAnsi="Times New Roman" w:cs="Times New Roman"/>
          <w:sz w:val="24"/>
          <w:szCs w:val="24"/>
          <w:vertAlign w:val="superscript"/>
        </w:rPr>
        <w:t>+</w:t>
      </w:r>
      <w:r>
        <w:rPr>
          <w:rFonts w:ascii="Times New Roman" w:hAnsi="Times New Roman" w:cs="Times New Roman"/>
          <w:sz w:val="24"/>
          <w:szCs w:val="24"/>
        </w:rPr>
        <w:t>)</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3"/>
        <w:gridCol w:w="818"/>
        <w:gridCol w:w="851"/>
        <w:gridCol w:w="709"/>
        <w:gridCol w:w="796"/>
        <w:gridCol w:w="851"/>
        <w:gridCol w:w="851"/>
        <w:gridCol w:w="845"/>
        <w:gridCol w:w="851"/>
        <w:gridCol w:w="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Sampling Depth (m)</w:t>
            </w:r>
          </w:p>
        </w:tc>
        <w:tc>
          <w:tcPr>
            <w:tcW w:w="818"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Temperature (°C)</w:t>
            </w:r>
          </w:p>
        </w:tc>
        <w:tc>
          <w:tcPr>
            <w:tcW w:w="851"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 xml:space="preserve">Salinity </w:t>
            </w:r>
          </w:p>
        </w:tc>
        <w:tc>
          <w:tcPr>
            <w:tcW w:w="709"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DO (mg/L)</w:t>
            </w:r>
          </w:p>
        </w:tc>
        <w:tc>
          <w:tcPr>
            <w:tcW w:w="796"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pH</w:t>
            </w:r>
          </w:p>
        </w:tc>
        <w:tc>
          <w:tcPr>
            <w:tcW w:w="851"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NOx- (μmol/L)</w:t>
            </w:r>
          </w:p>
        </w:tc>
        <w:tc>
          <w:tcPr>
            <w:tcW w:w="851"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NO2- (μmol/L)</w:t>
            </w:r>
          </w:p>
        </w:tc>
        <w:tc>
          <w:tcPr>
            <w:tcW w:w="845"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NH4 (nmol/L)</w:t>
            </w:r>
          </w:p>
        </w:tc>
        <w:tc>
          <w:tcPr>
            <w:tcW w:w="851"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SiO42- (μmol/L)</w:t>
            </w:r>
          </w:p>
        </w:tc>
        <w:tc>
          <w:tcPr>
            <w:tcW w:w="851"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PO43- (μmol/L)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4a</w:t>
            </w:r>
          </w:p>
        </w:tc>
        <w:tc>
          <w:tcPr>
            <w:tcW w:w="818"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29.82</w:t>
            </w:r>
          </w:p>
        </w:tc>
        <w:tc>
          <w:tcPr>
            <w:tcW w:w="851"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34.06</w:t>
            </w:r>
          </w:p>
        </w:tc>
        <w:tc>
          <w:tcPr>
            <w:tcW w:w="709"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193.64</w:t>
            </w:r>
          </w:p>
        </w:tc>
        <w:tc>
          <w:tcPr>
            <w:tcW w:w="796"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8.24</w:t>
            </w:r>
          </w:p>
        </w:tc>
        <w:tc>
          <w:tcPr>
            <w:tcW w:w="851"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0.1</w:t>
            </w:r>
          </w:p>
        </w:tc>
        <w:tc>
          <w:tcPr>
            <w:tcW w:w="851"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18.9</w:t>
            </w:r>
          </w:p>
        </w:tc>
        <w:tc>
          <w:tcPr>
            <w:tcW w:w="851"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0.55</w:t>
            </w:r>
          </w:p>
        </w:tc>
        <w:tc>
          <w:tcPr>
            <w:tcW w:w="851"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50a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29.82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34.06</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193.6</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8.24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24.9</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0.42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100a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28.62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34.05</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197.5</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8.26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0.03</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26.7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0.56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125a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26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34.8</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198.6</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8.24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0.32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0.07</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24.6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2.34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150a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12.95</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34.47</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131.3</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7.93</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5.12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0.11</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20.6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5.05</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200a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18.85</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34.83</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164.8</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8.11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18.06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0.03</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18.2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2.34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500a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11.47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34.7</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89.67</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7.74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32.76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19.66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800a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5.77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34.59</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87.3</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35.89</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0.008</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18.2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72.32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1000a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4.91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34.57</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84.92</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37.86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20.7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89.29</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1500a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3.24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34.62</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100.4</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7.77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39.36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0.006</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17.6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123.18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2000a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2.31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34.67</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117.1</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7.82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38.78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0.01</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24.6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140.52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3000a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1.61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34.68</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136.4</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36.6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0.005</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19.2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149.61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4000a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1.46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34.7</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157.7</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35.18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0.01</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20.4</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144.08</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6050a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34.71</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174.4</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7.83</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34.17</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17.5</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136.31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Pr>
          <w:p>
            <w:pPr>
              <w:rPr>
                <w:rFonts w:ascii="Times New Roman" w:hAnsi="Times New Roman" w:eastAsia="MS Mincho" w:cs="Times New Roman"/>
                <w:lang w:eastAsia="ja-JP"/>
              </w:rPr>
            </w:pPr>
            <w:r>
              <w:rPr>
                <w:rFonts w:ascii="Times New Roman" w:hAnsi="Times New Roman" w:eastAsia="MS Mincho" w:cs="Times New Roman"/>
                <w:lang w:eastAsia="ja-JP"/>
              </w:rPr>
              <w:t>8320a</w:t>
            </w:r>
          </w:p>
        </w:tc>
        <w:tc>
          <w:tcPr>
            <w:tcW w:w="818" w:type="dxa"/>
          </w:tcPr>
          <w:p>
            <w:pPr>
              <w:rPr>
                <w:rFonts w:ascii="Times New Roman" w:hAnsi="Times New Roman" w:eastAsia="MS Mincho" w:cs="Times New Roman"/>
                <w:lang w:eastAsia="ja-JP"/>
              </w:rPr>
            </w:pPr>
            <w:r>
              <w:rPr>
                <w:rFonts w:ascii="Times New Roman" w:hAnsi="Times New Roman" w:eastAsia="MS Mincho" w:cs="Times New Roman"/>
                <w:lang w:eastAsia="ja-JP"/>
              </w:rPr>
              <w:t>1.96</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34.72</w:t>
            </w:r>
          </w:p>
        </w:tc>
        <w:tc>
          <w:tcPr>
            <w:tcW w:w="709" w:type="dxa"/>
          </w:tcPr>
          <w:p>
            <w:pPr>
              <w:rPr>
                <w:rFonts w:ascii="Times New Roman" w:hAnsi="Times New Roman" w:eastAsia="MS Mincho" w:cs="Times New Roman"/>
                <w:lang w:eastAsia="ja-JP"/>
              </w:rPr>
            </w:pPr>
            <w:r>
              <w:rPr>
                <w:rFonts w:ascii="Times New Roman" w:hAnsi="Times New Roman" w:eastAsia="MS Mincho" w:cs="Times New Roman"/>
                <w:lang w:eastAsia="ja-JP"/>
              </w:rPr>
              <w:t>174.8</w:t>
            </w:r>
          </w:p>
        </w:tc>
        <w:tc>
          <w:tcPr>
            <w:tcW w:w="796" w:type="dxa"/>
          </w:tcPr>
          <w:p>
            <w:pPr>
              <w:rPr>
                <w:rFonts w:ascii="Times New Roman" w:hAnsi="Times New Roman" w:eastAsia="MS Mincho" w:cs="Times New Roman"/>
                <w:lang w:eastAsia="ja-JP"/>
              </w:rPr>
            </w:pPr>
            <w:r>
              <w:rPr>
                <w:rFonts w:ascii="Times New Roman" w:hAnsi="Times New Roman" w:eastAsia="MS Mincho" w:cs="Times New Roman"/>
                <w:lang w:eastAsia="ja-JP"/>
              </w:rPr>
              <w:t>7.75</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34.02</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0.02</w:t>
            </w:r>
          </w:p>
        </w:tc>
        <w:tc>
          <w:tcPr>
            <w:tcW w:w="845" w:type="dxa"/>
          </w:tcPr>
          <w:p>
            <w:pPr>
              <w:rPr>
                <w:rFonts w:ascii="Times New Roman" w:hAnsi="Times New Roman" w:eastAsia="MS Mincho" w:cs="Times New Roman"/>
                <w:lang w:eastAsia="ja-JP"/>
              </w:rPr>
            </w:pPr>
            <w:r>
              <w:rPr>
                <w:rFonts w:ascii="Times New Roman" w:hAnsi="Times New Roman" w:eastAsia="MS Mincho" w:cs="Times New Roman"/>
                <w:lang w:eastAsia="ja-JP"/>
              </w:rPr>
              <w:t>18.9</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134.31</w:t>
            </w:r>
          </w:p>
        </w:tc>
        <w:tc>
          <w:tcPr>
            <w:tcW w:w="851" w:type="dxa"/>
          </w:tcPr>
          <w:p>
            <w:pPr>
              <w:rPr>
                <w:rFonts w:ascii="Times New Roman" w:hAnsi="Times New Roman" w:eastAsia="MS Mincho" w:cs="Times New Roman"/>
                <w:lang w:eastAsia="ja-JP"/>
              </w:rPr>
            </w:pPr>
            <w:r>
              <w:rPr>
                <w:rFonts w:ascii="Times New Roman" w:hAnsi="Times New Roman" w:eastAsia="MS Mincho" w:cs="Times New Roman"/>
                <w:lang w:eastAsia="ja-JP"/>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3"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10257b</w:t>
            </w:r>
          </w:p>
        </w:tc>
        <w:tc>
          <w:tcPr>
            <w:tcW w:w="818"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~1.00</w:t>
            </w:r>
          </w:p>
        </w:tc>
        <w:tc>
          <w:tcPr>
            <w:tcW w:w="851"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~34.70</w:t>
            </w:r>
          </w:p>
        </w:tc>
        <w:tc>
          <w:tcPr>
            <w:tcW w:w="709"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156</w:t>
            </w:r>
          </w:p>
        </w:tc>
        <w:tc>
          <w:tcPr>
            <w:tcW w:w="796"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~7.80</w:t>
            </w:r>
          </w:p>
        </w:tc>
        <w:tc>
          <w:tcPr>
            <w:tcW w:w="851"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36.43</w:t>
            </w:r>
          </w:p>
        </w:tc>
        <w:tc>
          <w:tcPr>
            <w:tcW w:w="851"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0.03</w:t>
            </w:r>
          </w:p>
        </w:tc>
        <w:tc>
          <w:tcPr>
            <w:tcW w:w="845"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NA</w:t>
            </w:r>
          </w:p>
        </w:tc>
        <w:tc>
          <w:tcPr>
            <w:tcW w:w="851"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NA</w:t>
            </w:r>
          </w:p>
        </w:tc>
        <w:tc>
          <w:tcPr>
            <w:tcW w:w="851"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~2.40</w:t>
            </w:r>
          </w:p>
        </w:tc>
      </w:tr>
    </w:tbl>
    <w:p>
      <w:pPr>
        <w:spacing w:after="156" w:afterLines="50"/>
        <w:jc w:val="center"/>
        <w:rPr>
          <w:rFonts w:ascii="Times New Roman" w:hAnsi="Times New Roman" w:cs="Times New Roman"/>
          <w:szCs w:val="21"/>
        </w:rPr>
      </w:pPr>
      <w:r>
        <w:rPr>
          <w:rFonts w:hint="eastAsia" w:ascii="Times New Roman" w:hAnsi="Times New Roman" w:cs="Times New Roman"/>
          <w:szCs w:val="21"/>
        </w:rPr>
        <w:t>Note</w:t>
      </w:r>
      <w:r>
        <w:rPr>
          <w:rFonts w:ascii="Times New Roman" w:hAnsi="Times New Roman" w:cs="Times New Roman"/>
          <w:szCs w:val="21"/>
        </w:rPr>
        <w:t xml:space="preserve">: a, from Mar. 2017 cruise [1]; b, from Nunoura </w:t>
      </w:r>
      <w:r>
        <w:rPr>
          <w:rFonts w:ascii="Times New Roman" w:hAnsi="Times New Roman" w:cs="Times New Roman"/>
          <w:i/>
          <w:szCs w:val="21"/>
        </w:rPr>
        <w:t>et al</w:t>
      </w:r>
      <w:r>
        <w:rPr>
          <w:rFonts w:ascii="Times New Roman" w:hAnsi="Times New Roman" w:cs="Times New Roman"/>
          <w:szCs w:val="21"/>
        </w:rPr>
        <w:t>. [2]</w:t>
      </w:r>
    </w:p>
    <w:p>
      <w:pPr>
        <w:spacing w:after="156" w:afterLines="50"/>
        <w:jc w:val="left"/>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 w:val="24"/>
          <w:szCs w:val="24"/>
        </w:rPr>
        <w:t>Liu J, Zheng Y, Lin H, Wang X, Li M, Liu Y, et al. Proliferation of hydrocarbon-degrading microbes at the bottom of the Mariana Trench. Microbiome. 2019; 7:47.</w:t>
      </w:r>
    </w:p>
    <w:p>
      <w:pPr>
        <w:snapToGrid w:val="0"/>
        <w:spacing w:line="360" w:lineRule="auto"/>
        <w:rPr>
          <w:rFonts w:ascii="Times New Roman" w:hAnsi="Times New Roman" w:cs="Times New Roman"/>
          <w:sz w:val="24"/>
          <w:szCs w:val="24"/>
        </w:rPr>
      </w:pPr>
      <w:r>
        <w:rPr>
          <w:rFonts w:ascii="Times New Roman" w:hAnsi="Times New Roman" w:cs="Times New Roman"/>
          <w:szCs w:val="21"/>
        </w:rPr>
        <w:t xml:space="preserve">2. </w:t>
      </w:r>
      <w:r>
        <w:rPr>
          <w:rFonts w:ascii="Times New Roman" w:hAnsi="Times New Roman" w:cs="Times New Roman"/>
          <w:sz w:val="24"/>
          <w:szCs w:val="24"/>
        </w:rPr>
        <w:t>Nunoura T, Takaki Y, Hirai M, Shimamura S, Makabe A, Koide O, et al. Hadal biosphere: insight into the microbial ecosystem in the deepest ocean on Earth. Proc Nat Acad Sci USA. 2015; 112:E1230-E1236.</w:t>
      </w:r>
    </w:p>
    <w:p>
      <w:pPr>
        <w:spacing w:after="156" w:afterLines="50"/>
        <w:jc w:val="left"/>
        <w:rPr>
          <w:rFonts w:ascii="Times New Roman" w:hAnsi="Times New Roman" w:cs="Times New Roman"/>
          <w:szCs w:val="21"/>
        </w:rPr>
      </w:pPr>
    </w:p>
    <w:p>
      <w:pPr>
        <w:spacing w:after="156" w:afterLines="50"/>
        <w:jc w:val="left"/>
        <w:rPr>
          <w:rFonts w:ascii="Times New Roman" w:hAnsi="Times New Roman" w:cs="Times New Roman"/>
          <w:szCs w:val="21"/>
        </w:rPr>
      </w:pPr>
    </w:p>
    <w:p>
      <w:pPr>
        <w:spacing w:after="156" w:afterLines="50"/>
        <w:jc w:val="left"/>
        <w:rPr>
          <w:rFonts w:ascii="Times New Roman" w:hAnsi="Times New Roman" w:cs="Times New Roman"/>
          <w:szCs w:val="21"/>
        </w:rPr>
      </w:pPr>
    </w:p>
    <w:p>
      <w:pPr>
        <w:spacing w:after="156" w:afterLines="50"/>
        <w:jc w:val="left"/>
        <w:rPr>
          <w:rFonts w:ascii="Times New Roman" w:hAnsi="Times New Roman" w:cs="Times New Roman"/>
          <w:sz w:val="24"/>
        </w:rPr>
      </w:pPr>
    </w:p>
    <w:p>
      <w:pPr>
        <w:snapToGrid w:val="0"/>
        <w:spacing w:before="156" w:beforeLines="50" w:after="156" w:afterLines="50"/>
        <w:jc w:val="left"/>
        <w:rPr>
          <w:rFonts w:ascii="Times New Roman" w:hAnsi="Times New Roman" w:cs="Times New Roman"/>
          <w:b/>
          <w:sz w:val="24"/>
          <w:szCs w:val="24"/>
        </w:rPr>
        <w:sectPr>
          <w:pgSz w:w="11906" w:h="16838"/>
          <w:pgMar w:top="1440" w:right="1800" w:bottom="1440" w:left="1800" w:header="851" w:footer="992" w:gutter="0"/>
          <w:cols w:space="425" w:num="1"/>
          <w:docGrid w:type="lines" w:linePitch="312" w:charSpace="0"/>
        </w:sectPr>
      </w:pPr>
    </w:p>
    <w:p>
      <w:pPr>
        <w:snapToGrid w:val="0"/>
        <w:spacing w:before="156" w:beforeLines="50" w:after="156" w:afterLines="50"/>
        <w:rPr>
          <w:rFonts w:ascii="Times New Roman" w:hAnsi="Times New Roman" w:cs="Times New Roman"/>
          <w:sz w:val="24"/>
          <w:szCs w:val="24"/>
        </w:rPr>
      </w:pPr>
      <w:r>
        <w:rPr>
          <w:rFonts w:ascii="Times New Roman" w:hAnsi="Times New Roman" w:eastAsia="MS Mincho" w:cs="Times New Roman"/>
          <w:b/>
          <w:sz w:val="24"/>
          <w:szCs w:val="24"/>
          <w:lang w:eastAsia="ja-JP"/>
        </w:rPr>
        <w:t>Table S2</w:t>
      </w:r>
      <w:r>
        <w:rPr>
          <w:rFonts w:ascii="Times New Roman" w:hAnsi="Times New Roman" w:eastAsia="MS Mincho" w:cs="Times New Roman"/>
          <w:sz w:val="24"/>
          <w:szCs w:val="24"/>
          <w:lang w:eastAsia="ja-JP"/>
        </w:rPr>
        <w:t xml:space="preserve"> Genes of major metabolic pathways and key functions in MTA1</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
        <w:gridCol w:w="1377"/>
        <w:gridCol w:w="5189"/>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12" w:space="0"/>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single" w:color="auto" w:sz="12"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Short Name</w:t>
            </w:r>
          </w:p>
        </w:tc>
        <w:tc>
          <w:tcPr>
            <w:tcW w:w="5189" w:type="dxa"/>
            <w:tcBorders>
              <w:top w:val="single" w:color="auto" w:sz="12"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Name</w:t>
            </w:r>
          </w:p>
        </w:tc>
        <w:tc>
          <w:tcPr>
            <w:tcW w:w="1451" w:type="dxa"/>
            <w:tcBorders>
              <w:top w:val="single" w:color="auto" w:sz="12"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locus tag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GNG/EMP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fructose-bisphosphate aldolase / 2-amino-3,7-dideoxy-D-threo-hept-6-ulosonate synthase [EC:4.1.2.13 2.2.1.10]</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apgM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2,3-bisphosphoglycerate-independent phosphoglycerate mutase [EC:5.4.2.12]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adhP</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alcohol dehydrogenase, propanol-preferring [EC:1.1.1.1]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Nhad_148, Nhad_508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PGK</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phosphoglycerate kinase [EC:2.7.2.3]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ENO</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enolase [EC:4.2.1.11]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pmm-pgm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phosphomannomutase / phosphoglucomutase [EC:5.4.2.8 5.4.2.2]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gpmB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probable phosphoglycerate mutase [EC:5.4.2.12]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korB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2-oxoglutarate/2-oxoacid ferredoxin oxidoreductase subunit beta [EC:1.2.7.3 1.2.7.11]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korA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2-oxoglutarate/2-oxoacid ferredoxin oxidoreductase subunit alpha [EC:1.2.7.3 1.2.7.11]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phosphoenolpyruvate carboxykinase (ATP) [EC:4.1.1.49]</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ACSS</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acetyl-CoA synthetase [EC:6.2.1.1]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Nhad_1123, Nhad_1457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TPI</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triosephosphate isomerase (TIM) [EC:5.3.1.1]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fructose 1,6-bisphosphate aldolase/phosphatase</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gap2</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glyceraldehyde-3-phosphate dehydrogenase (NAD(P)) [EC:1.2.1.59]</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pgi-pmi</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glucose/mannose-6-phosphate isomerase [EC:5.3.1.9 5.3.1.8]</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TCA cycle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mdh</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malate dehydrogenase [EC:1.1.1.37]</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succinyl-CoA synthetase beta subunit [EC:6.2.1.5]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succinyl-CoA synthetase alpha subunit [EC:6.2.1.5]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korB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2-oxoglutarate/2-oxoacid ferredoxin oxidoreductase subunit beta [EC:1.2.7.3 1.2.7.11]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korA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2-oxoglutarate/2-oxoacid ferredoxin oxidoreductase subunit alpha [EC:1.2.7.3 1.2.7.11]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phosphoenolpyruvate carboxykinase (ATP) [EC:4.1.1.49]</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IDH1</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isocitrate dehydrogenase [EC:1.1.1.42]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ACO</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aconitate hydratase [EC:4.2.1.3]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CS</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citrate synthase [EC:2.3.3.1]</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transketolase [EC:2.2.1.1]</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Nhad_315, Nhad_316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transaldolase [EC:2.2.1.2]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PRPS</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ribose-phosphate pyrophosphokinase [EC:2.7.6.1]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fructose 1,6-bisphosphate aldolase/phosphatase</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rpiA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ribose 5-phosphate isomerase A [EC:5.3.1.6]</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gck</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glycerate 2-kinase [EC:2.7.1.165]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pmm-pgm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phosphomannomutase / phosphoglucomutase [EC:5.4.2.8 5.4.2.2]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pgi-pmi</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glucose/mannose-6-phosphate isomerase [EC:5.3.1.9 5.3.1.8]</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fructose-bisphosphate aldolase / 2-amino-3,7-dideoxy-D-threo-hept-6-ulosonate synthase [EC:4.1.2.13 2.2.1.10]</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3-HP/4-HB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ACC/PCC</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Acetyl-CoA carboxylase (EC 6.4.1.2); Propionyl-CoA carboxylase (EC 6.4.1.3)</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 xml:space="preserve">Nhad_341, Nhad_342, Nhad_343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3-hydroxypropionyl-CoA synthetase (ADP-forming) [EC:6.2.1.-]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MCEE</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Methylmalonyl-CoA epimerase (EC 5.1.99.1)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MCM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Methylmalonyl-CoA mutase (EC 5.4.99.2)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MCM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B12 binding domain of Methylmalonyl-CoA mutase (EC 5.4.99.2)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SSADH</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Succinate-semialdehyde dehydrogenase [NAD] (EC 1.2.1.24); Succinate-semialdehyde dehydrogenase [NAD(P)+] (EC 1.2.1.16)</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 semialdehyde reductase (EC 1.1.1.-)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4-hydroxybutyryl-CoA synthetase (EC 6.2.1.-)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abfD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4-hydroxybutyryl-CoA dehydratase (EC:4.2.1.120)</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Crotonyl-CoA hydratase (EC:4.2.1.17)</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3-Hydroxybutyryl-CoA dehydrogenase (EC 1.1.1.35)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Acetoacetyl-CoA beta-ketothiolase (EC 2.3.1.9)</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Nhad_1428, Nhad_1589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ammonia monooxygenase (AMO) [EC:1.14.99.39]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amoA</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ammonia monooxygenase subunit A</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amoB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ammonia monooxygenase subunit B</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amoC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ammonia monooxygenase subunit C</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"amoX"</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ammonia monooxygenase subunit "X" / conserved protein near other subunits</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inositol phosphate related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IMPA</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myo-inositol-1(or 4)-monophosphatase [EC:3.1.3.25]</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Nhad_347, Nhad_1609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INO1</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myo-inositol-1-phosphate synthase [EC:5.5.1.4]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DIPPS</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CDP-L-myo-inositol myo-inositolphosphotransferase [EC:2.7.8.34]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IPCT</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1L-myo-inositol 1-phosphate cytidylyltransferase [EC:2.7.7.74]</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and lipoate associated (unique gene island in HMGI)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DLD</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L-protein / dihydrolipoyl dehydrogenase [EC:1.8.1.4]</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gcvH</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H-protein</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gcvT</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T-protein [EC:2.1.2.10]</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gcvPA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PA-protein [EC:1.4.4.2]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gcvPB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GCS PB-protein [EC:1.4.4.2]</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LipA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Lipoate synthase</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lplA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Lipoate-protein ligase A</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N5,N10-methylenetetrahydromethanopterin reductase-related protein</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UreC</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alpha subunit (EC 3.5.1.5)</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beta subunit (EC 3.5.1.5)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gamma subunit (EC 3.5.1.5)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UreF</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accessory protein UreF</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UreG</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accessory protein UreG</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Urease accessory protein UreD</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Urea transporter (found in PRT-SC01)</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absent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I / NADH dehydrogenase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nuoN</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N (EC 1.6.5.3)</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nuoL</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L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nuoM</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M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nuoK</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K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nuoJ</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J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nuoI</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I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nuoH</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H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D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C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NADH-ubiquinone oxidoreductase chain B (EC 1.6.5.3)</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nuoA</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NADH ubiquinone oxidoreductase chain A (EC 1.6.5.3)</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II / succinate dehydrogenase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sdhB</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 dehydrogenase / fumarate reductase, iron-sulfur subunit [EC:1.3.5.1 1.3.5.4]</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sdhD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 dehydrogenase / fumarate reductase, membrane anchor subunit</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sdhC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 dehydrogenase / fumarate reductase, cytochrome b subunit</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sdhA</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succinate dehydrogenase / fumarate reductase, flavoprotein subunit [EC:1.3.5.1 1.3.5.4]</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III / cytochrome bc1 complex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cytb</w:t>
            </w:r>
          </w:p>
        </w:tc>
        <w:tc>
          <w:tcPr>
            <w:tcW w:w="5189" w:type="dxa"/>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Cytochrome b/b6, N-terminal</w:t>
            </w:r>
          </w:p>
        </w:tc>
        <w:tc>
          <w:tcPr>
            <w:tcW w:w="1451" w:type="dxa"/>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IV / cytochrome c oxidase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ctaB, COX10, cyoE</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heme o synthase [EC:2.5.1.141]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Nhad_526, Nhad_1550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ctaA, COX15</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cytochrome c oxidase assembly protein subunit 15</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ctaD, coxA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cytochrome c oxidase subunit I [EC:1.9.3.1]</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ctaC, coxB</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cytochrome c oxidase subunit II [EC:1.9.3.1]</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V / A-type ATP synthase sodium coupling / horizontal gene transfer set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atpI</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a/I (EC 3.6.3.14)</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atpH</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H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D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B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A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atpF</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F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d/C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atpE</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E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4"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atpK</w:t>
            </w:r>
          </w:p>
        </w:tc>
        <w:tc>
          <w:tcPr>
            <w:tcW w:w="5189"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c/K (EC 3.6.3.14)</w:t>
            </w:r>
          </w:p>
        </w:tc>
        <w:tc>
          <w:tcPr>
            <w:tcW w:w="1451" w:type="dxa"/>
            <w:tcBorders>
              <w:top w:val="nil"/>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296" w:type="dxa"/>
            <w:gridSpan w:val="4"/>
            <w:tcBorders>
              <w:top w:val="single" w:color="auto" w:sz="4" w:space="0"/>
              <w:left w:val="nil"/>
              <w:bottom w:val="single" w:color="auto" w:sz="4"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ETC complex V / A-type ATP synthase proton coupling / original set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single" w:color="auto" w:sz="4" w:space="0"/>
              <w:left w:val="nil"/>
              <w:bottom w:val="nil"/>
              <w:right w:val="nil"/>
            </w:tcBorders>
            <w:noWrap/>
          </w:tcPr>
          <w:p>
            <w:pPr>
              <w:rPr>
                <w:rFonts w:ascii="Times New Roman" w:hAnsi="Times New Roman" w:eastAsia="MS Mincho" w:cs="Times New Roman"/>
                <w:lang w:eastAsia="ja-JP"/>
              </w:rPr>
            </w:pPr>
          </w:p>
        </w:tc>
        <w:tc>
          <w:tcPr>
            <w:tcW w:w="1377"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atpK</w:t>
            </w:r>
          </w:p>
        </w:tc>
        <w:tc>
          <w:tcPr>
            <w:tcW w:w="5189"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c/K (EC 3.6.3.14)</w:t>
            </w:r>
          </w:p>
        </w:tc>
        <w:tc>
          <w:tcPr>
            <w:tcW w:w="1451" w:type="dxa"/>
            <w:tcBorders>
              <w:top w:val="single" w:color="auto" w:sz="4" w:space="0"/>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atpD</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D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atpB</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B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atpA</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A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atpE</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E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atpI</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a/I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atpC</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d/C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nil"/>
              <w:right w:val="nil"/>
            </w:tcBorders>
            <w:noWrap/>
          </w:tcPr>
          <w:p>
            <w:pPr>
              <w:rPr>
                <w:rFonts w:ascii="Times New Roman" w:hAnsi="Times New Roman" w:eastAsia="MS Mincho" w:cs="Times New Roman"/>
                <w:lang w:eastAsia="ja-JP"/>
              </w:rPr>
            </w:pPr>
          </w:p>
        </w:tc>
        <w:tc>
          <w:tcPr>
            <w:tcW w:w="1377"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atpH</w:t>
            </w:r>
          </w:p>
        </w:tc>
        <w:tc>
          <w:tcPr>
            <w:tcW w:w="5189"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H (EC 3.6.3.14)</w:t>
            </w:r>
          </w:p>
        </w:tc>
        <w:tc>
          <w:tcPr>
            <w:tcW w:w="1451" w:type="dxa"/>
            <w:tcBorders>
              <w:top w:val="nil"/>
              <w:left w:val="nil"/>
              <w:bottom w:val="nil"/>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79" w:type="dxa"/>
            <w:tcBorders>
              <w:top w:val="nil"/>
              <w:left w:val="nil"/>
              <w:bottom w:val="single" w:color="auto" w:sz="12" w:space="0"/>
              <w:right w:val="nil"/>
            </w:tcBorders>
            <w:noWrap/>
          </w:tcPr>
          <w:p>
            <w:pPr>
              <w:rPr>
                <w:rFonts w:ascii="Times New Roman" w:hAnsi="Times New Roman" w:eastAsia="MS Mincho" w:cs="Times New Roman"/>
                <w:lang w:eastAsia="ja-JP"/>
              </w:rPr>
            </w:pPr>
          </w:p>
        </w:tc>
        <w:tc>
          <w:tcPr>
            <w:tcW w:w="1377" w:type="dxa"/>
            <w:tcBorders>
              <w:top w:val="nil"/>
              <w:left w:val="nil"/>
              <w:bottom w:val="single" w:color="auto" w:sz="12"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atpF</w:t>
            </w:r>
          </w:p>
        </w:tc>
        <w:tc>
          <w:tcPr>
            <w:tcW w:w="5189" w:type="dxa"/>
            <w:tcBorders>
              <w:top w:val="nil"/>
              <w:left w:val="nil"/>
              <w:bottom w:val="single" w:color="auto" w:sz="12"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A-type ATP synthase subunit F (EC 3.6.3.14)</w:t>
            </w:r>
          </w:p>
        </w:tc>
        <w:tc>
          <w:tcPr>
            <w:tcW w:w="1451" w:type="dxa"/>
            <w:tcBorders>
              <w:top w:val="nil"/>
              <w:left w:val="nil"/>
              <w:bottom w:val="single" w:color="auto" w:sz="12" w:space="0"/>
              <w:right w:val="nil"/>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Nhad_1622</w:t>
            </w:r>
          </w:p>
        </w:tc>
      </w:tr>
    </w:tbl>
    <w:p>
      <w:pPr>
        <w:rPr>
          <w:rFonts w:ascii="Times New Roman" w:hAnsi="Times New Roman" w:eastAsia="MS Mincho" w:cs="Times New Roman"/>
          <w:lang w:eastAsia="ja-JP"/>
        </w:rPr>
        <w:sectPr>
          <w:pgSz w:w="11906" w:h="16838"/>
          <w:pgMar w:top="1440" w:right="1800" w:bottom="1440" w:left="1800" w:header="851" w:footer="992" w:gutter="0"/>
          <w:cols w:space="425" w:num="1"/>
          <w:docGrid w:type="lines" w:linePitch="312" w:charSpace="0"/>
        </w:sectPr>
      </w:pPr>
    </w:p>
    <w:p>
      <w:pPr>
        <w:tabs>
          <w:tab w:val="left" w:pos="4770"/>
        </w:tabs>
        <w:spacing w:before="156" w:beforeLines="50" w:after="156" w:afterLines="50"/>
        <w:rPr>
          <w:rFonts w:ascii="Times New Roman" w:hAnsi="Times New Roman" w:cs="Times New Roman"/>
          <w:sz w:val="24"/>
          <w:szCs w:val="24"/>
        </w:rPr>
      </w:pPr>
      <w:r>
        <w:rPr>
          <w:rFonts w:ascii="Times New Roman" w:hAnsi="Times New Roman" w:cs="Times New Roman"/>
          <w:b/>
          <w:sz w:val="24"/>
          <w:szCs w:val="24"/>
        </w:rPr>
        <w:t>Table S3</w:t>
      </w:r>
      <w:r>
        <w:rPr>
          <w:rFonts w:ascii="Times New Roman" w:hAnsi="Times New Roman" w:cs="Times New Roman"/>
          <w:sz w:val="24"/>
          <w:szCs w:val="24"/>
        </w:rPr>
        <w:t xml:space="preserve"> Transporter genes associated with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bioenergetics in MTA1</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2"/>
        <w:gridCol w:w="3975"/>
        <w:gridCol w:w="1599"/>
        <w:gridCol w:w="1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1680" w:type="dxa"/>
            <w:tcBorders>
              <w:top w:val="single" w:color="auto" w:sz="12" w:space="0"/>
              <w:bottom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Short name</w:t>
            </w:r>
          </w:p>
        </w:tc>
        <w:tc>
          <w:tcPr>
            <w:tcW w:w="4740" w:type="dxa"/>
            <w:tcBorders>
              <w:top w:val="single" w:color="auto" w:sz="12" w:space="0"/>
              <w:bottom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Name</w:t>
            </w:r>
          </w:p>
        </w:tc>
        <w:tc>
          <w:tcPr>
            <w:tcW w:w="1880" w:type="dxa"/>
            <w:tcBorders>
              <w:top w:val="single" w:color="auto" w:sz="12" w:space="0"/>
              <w:bottom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locus tag in MTA1</w:t>
            </w:r>
          </w:p>
        </w:tc>
        <w:tc>
          <w:tcPr>
            <w:tcW w:w="1780" w:type="dxa"/>
            <w:tcBorders>
              <w:top w:val="single" w:color="auto" w:sz="12" w:space="0"/>
              <w:bottom w:val="single" w:color="auto" w:sz="4" w:space="0"/>
            </w:tcBorders>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In other epipelagic marine AOA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0" w:type="dxa"/>
            <w:tcBorders>
              <w:top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NCX</w:t>
            </w:r>
          </w:p>
        </w:tc>
        <w:tc>
          <w:tcPr>
            <w:tcW w:w="4740" w:type="dxa"/>
            <w:tcBorders>
              <w:top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Sodium/calcium exchanger</w:t>
            </w:r>
          </w:p>
        </w:tc>
        <w:tc>
          <w:tcPr>
            <w:tcW w:w="1880" w:type="dxa"/>
            <w:tcBorders>
              <w:top w:val="single" w:color="auto" w:sz="4"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Nhad_61</w:t>
            </w:r>
          </w:p>
        </w:tc>
        <w:tc>
          <w:tcPr>
            <w:tcW w:w="1780" w:type="dxa"/>
            <w:tcBorders>
              <w:top w:val="single" w:color="auto" w:sz="4" w:space="0"/>
            </w:tcBorders>
            <w:noWrap/>
          </w:tcPr>
          <w:p>
            <w:pPr>
              <w:jc w:val="cente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w:t>
            </w:r>
          </w:p>
        </w:tc>
        <w:tc>
          <w:tcPr>
            <w:tcW w:w="474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Na+/H+ antiporter NhaD type</w:t>
            </w:r>
          </w:p>
        </w:tc>
        <w:tc>
          <w:tcPr>
            <w:tcW w:w="18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Nhad_65</w:t>
            </w:r>
          </w:p>
        </w:tc>
        <w:tc>
          <w:tcPr>
            <w:tcW w:w="17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nhaP</w:t>
            </w:r>
          </w:p>
        </w:tc>
        <w:tc>
          <w:tcPr>
            <w:tcW w:w="474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Na+/H+ antiporter NhaP type</w:t>
            </w:r>
          </w:p>
        </w:tc>
        <w:tc>
          <w:tcPr>
            <w:tcW w:w="18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Nhad_948</w:t>
            </w:r>
          </w:p>
        </w:tc>
        <w:tc>
          <w:tcPr>
            <w:tcW w:w="1780" w:type="dxa"/>
            <w:noWrap/>
          </w:tcPr>
          <w:p>
            <w:pPr>
              <w:jc w:val="cente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0" w:type="dxa"/>
            <w:noWrap/>
          </w:tcPr>
          <w:p>
            <w:pPr>
              <w:jc w:val="center"/>
              <w:rPr>
                <w:rFonts w:ascii="Times New Roman" w:hAnsi="Times New Roman" w:eastAsia="MS Mincho" w:cs="Times New Roman"/>
                <w:lang w:eastAsia="ja-JP"/>
              </w:rPr>
            </w:pPr>
          </w:p>
        </w:tc>
        <w:tc>
          <w:tcPr>
            <w:tcW w:w="474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putative sodium-dependent bicarbonate transporter</w:t>
            </w:r>
          </w:p>
        </w:tc>
        <w:tc>
          <w:tcPr>
            <w:tcW w:w="1880" w:type="dxa"/>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Nhad_188</w:t>
            </w:r>
          </w:p>
        </w:tc>
        <w:tc>
          <w:tcPr>
            <w:tcW w:w="1780" w:type="dxa"/>
            <w:noWrap/>
          </w:tcPr>
          <w:p>
            <w:pPr>
              <w:jc w:val="cente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0" w:type="dxa"/>
            <w:tcBorders>
              <w:bottom w:val="single" w:color="auto" w:sz="12" w:space="0"/>
            </w:tcBorders>
            <w:noWrap/>
          </w:tcPr>
          <w:p>
            <w:pPr>
              <w:jc w:val="center"/>
              <w:rPr>
                <w:rFonts w:ascii="Times New Roman" w:hAnsi="Times New Roman" w:eastAsia="MS Mincho" w:cs="Times New Roman"/>
                <w:lang w:eastAsia="ja-JP"/>
              </w:rPr>
            </w:pPr>
          </w:p>
        </w:tc>
        <w:tc>
          <w:tcPr>
            <w:tcW w:w="4740" w:type="dxa"/>
            <w:tcBorders>
              <w:bottom w:val="single" w:color="auto" w:sz="12"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sodium-solute symporter, putative</w:t>
            </w:r>
          </w:p>
        </w:tc>
        <w:tc>
          <w:tcPr>
            <w:tcW w:w="1880" w:type="dxa"/>
            <w:tcBorders>
              <w:bottom w:val="single" w:color="auto" w:sz="12"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Nhad_128</w:t>
            </w:r>
          </w:p>
        </w:tc>
        <w:tc>
          <w:tcPr>
            <w:tcW w:w="1780" w:type="dxa"/>
            <w:tcBorders>
              <w:bottom w:val="single" w:color="auto" w:sz="12" w:space="0"/>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yes</w:t>
            </w:r>
          </w:p>
        </w:tc>
      </w:tr>
    </w:tbl>
    <w:p>
      <w:pPr>
        <w:rPr>
          <w:rFonts w:ascii="Times New Roman" w:hAnsi="Times New Roman" w:eastAsia="MS Mincho" w:cs="Times New Roman"/>
          <w:lang w:eastAsia="ja-JP"/>
        </w:rPr>
        <w:sectPr>
          <w:pgSz w:w="11906" w:h="16838"/>
          <w:pgMar w:top="1440" w:right="1800" w:bottom="1440" w:left="1800" w:header="851" w:footer="992" w:gutter="0"/>
          <w:cols w:space="425" w:num="1"/>
          <w:docGrid w:type="lines" w:linePitch="312" w:charSpace="0"/>
        </w:sectPr>
      </w:pPr>
    </w:p>
    <w:p>
      <w:pPr>
        <w:snapToGrid w:val="0"/>
        <w:spacing w:before="156" w:beforeLines="50" w:after="156" w:afterLines="50"/>
        <w:rPr>
          <w:rFonts w:ascii="Times New Roman" w:hAnsi="Times New Roman" w:eastAsia="MS Mincho" w:cs="Times New Roman"/>
          <w:sz w:val="24"/>
          <w:szCs w:val="24"/>
          <w:lang w:eastAsia="ja-JP"/>
        </w:rPr>
      </w:pPr>
      <w:r>
        <w:rPr>
          <w:rFonts w:ascii="Times New Roman" w:hAnsi="Times New Roman" w:eastAsia="MS Mincho" w:cs="Times New Roman"/>
          <w:b/>
          <w:sz w:val="24"/>
          <w:szCs w:val="24"/>
          <w:lang w:eastAsia="ja-JP"/>
        </w:rPr>
        <w:t>Table S4</w:t>
      </w:r>
      <w:r>
        <w:rPr>
          <w:rFonts w:ascii="Times New Roman" w:hAnsi="Times New Roman" w:eastAsia="MS Mincho" w:cs="Times New Roman"/>
          <w:sz w:val="24"/>
          <w:szCs w:val="24"/>
          <w:lang w:eastAsia="ja-JP"/>
        </w:rPr>
        <w:t xml:space="preserve"> </w:t>
      </w:r>
      <w:r>
        <w:rPr>
          <w:rFonts w:ascii="Times New Roman" w:hAnsi="Times New Roman" w:cs="Times New Roman"/>
          <w:sz w:val="24"/>
          <w:szCs w:val="24"/>
        </w:rPr>
        <w:t>Unique genes in HMGI and several other shown in the Venn diagram</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5"/>
        <w:gridCol w:w="837"/>
        <w:gridCol w:w="3815"/>
        <w:gridCol w:w="1306"/>
        <w:gridCol w:w="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 No.</w:t>
            </w:r>
          </w:p>
        </w:tc>
        <w:tc>
          <w:tcPr>
            <w:tcW w:w="837"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Categories</w:t>
            </w:r>
          </w:p>
        </w:tc>
        <w:tc>
          <w:tcPr>
            <w:tcW w:w="3815"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Function</w:t>
            </w:r>
          </w:p>
        </w:tc>
        <w:tc>
          <w:tcPr>
            <w:tcW w:w="1306"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Other annotations</w:t>
            </w:r>
          </w:p>
        </w:tc>
        <w:tc>
          <w:tcPr>
            <w:tcW w:w="783" w:type="dxa"/>
            <w:tcBorders>
              <w:top w:val="single" w:color="auto" w:sz="12"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In MTA1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92" w:type="dxa"/>
            <w:gridSpan w:val="2"/>
            <w:tcBorders>
              <w:bottom w:val="single" w:color="auto" w:sz="4" w:space="0"/>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Proteins only in HMGI :</w:t>
            </w:r>
          </w:p>
        </w:tc>
        <w:tc>
          <w:tcPr>
            <w:tcW w:w="3815" w:type="dxa"/>
            <w:tcBorders>
              <w:bottom w:val="single" w:color="auto" w:sz="4" w:space="0"/>
            </w:tcBorders>
          </w:tcPr>
          <w:p>
            <w:pPr>
              <w:rPr>
                <w:rFonts w:ascii="Times New Roman" w:hAnsi="Times New Roman" w:eastAsia="MS Mincho" w:cs="Times New Roman"/>
                <w:lang w:eastAsia="ja-JP"/>
              </w:rPr>
            </w:pPr>
          </w:p>
        </w:tc>
        <w:tc>
          <w:tcPr>
            <w:tcW w:w="1306" w:type="dxa"/>
            <w:tcBorders>
              <w:bottom w:val="single" w:color="auto" w:sz="4" w:space="0"/>
            </w:tcBorders>
          </w:tcPr>
          <w:p>
            <w:pPr>
              <w:rPr>
                <w:rFonts w:ascii="Times New Roman" w:hAnsi="Times New Roman" w:eastAsia="MS Mincho" w:cs="Times New Roman"/>
                <w:lang w:eastAsia="ja-JP"/>
              </w:rPr>
            </w:pPr>
          </w:p>
        </w:tc>
        <w:tc>
          <w:tcPr>
            <w:tcW w:w="783" w:type="dxa"/>
            <w:tcBorders>
              <w:bottom w:val="single" w:color="auto" w:sz="4" w:space="0"/>
            </w:tcBorders>
          </w:tcPr>
          <w:p>
            <w:pPr>
              <w:rPr>
                <w:rFonts w:ascii="Times New Roman" w:hAnsi="Times New Roman" w:eastAsia="MS Mincho" w:cs="Times New Roman"/>
                <w:lang w:eastAsia="ja-JP"/>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arCOG01794</w:t>
            </w:r>
          </w:p>
        </w:tc>
        <w:tc>
          <w:tcPr>
            <w:tcW w:w="837"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Q</w:t>
            </w:r>
          </w:p>
        </w:tc>
        <w:tc>
          <w:tcPr>
            <w:tcW w:w="381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SAM-dependent methyltransferase</w:t>
            </w:r>
          </w:p>
        </w:tc>
        <w:tc>
          <w:tcPr>
            <w:tcW w:w="1306" w:type="dxa"/>
            <w:tcBorders>
              <w:top w:val="single" w:color="auto" w:sz="4" w:space="0"/>
            </w:tcBorders>
          </w:tcPr>
          <w:p>
            <w:pPr>
              <w:rPr>
                <w:rFonts w:ascii="Times New Roman" w:hAnsi="Times New Roman" w:eastAsia="MS Mincho" w:cs="Times New Roman"/>
                <w:lang w:eastAsia="ja-JP"/>
              </w:rPr>
            </w:pPr>
          </w:p>
        </w:tc>
        <w:tc>
          <w:tcPr>
            <w:tcW w:w="783"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arCOG00298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Q</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McbC-like oxidoreductase, duplicated domains (non-ribosomal peptide synthetase component)</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arCOG00674</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I</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Phosphatidylglycerophosphate synthase</w:t>
            </w:r>
          </w:p>
        </w:tc>
        <w:tc>
          <w:tcPr>
            <w:tcW w:w="1306" w:type="dxa"/>
          </w:tcPr>
          <w:p>
            <w:pPr>
              <w:rPr>
                <w:rFonts w:ascii="Times New Roman" w:hAnsi="Times New Roman" w:eastAsia="MS Mincho" w:cs="Times New Roman"/>
                <w:lang w:eastAsia="ja-JP"/>
              </w:rPr>
            </w:pPr>
            <w:r>
              <w:rPr>
                <w:rFonts w:ascii="Times New Roman" w:hAnsi="Times New Roman" w:eastAsia="MS Mincho" w:cs="Times New Roman"/>
                <w:lang w:eastAsia="ja-JP"/>
              </w:rPr>
              <w:t>IPCT and DIPPS</w:t>
            </w: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arCOG03500</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M</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Cell surface protein, contains right handed beta helix region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arCOG01319</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Na+/proline symporter</w:t>
            </w:r>
          </w:p>
        </w:tc>
        <w:tc>
          <w:tcPr>
            <w:tcW w:w="1306" w:type="dxa"/>
          </w:tcPr>
          <w:p>
            <w:pPr>
              <w:rPr>
                <w:rFonts w:ascii="Times New Roman" w:hAnsi="Times New Roman" w:eastAsia="MS Mincho" w:cs="Times New Roman"/>
                <w:lang w:eastAsia="ja-JP"/>
              </w:rPr>
            </w:pPr>
            <w:r>
              <w:rPr>
                <w:rFonts w:ascii="Times New Roman" w:hAnsi="Times New Roman" w:eastAsia="MS Mincho" w:cs="Times New Roman"/>
                <w:lang w:eastAsia="ja-JP"/>
              </w:rPr>
              <w:t>Na+/solute symporter</w:t>
            </w: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arCOG14289</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arCOG11507</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arCOG03088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V</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Toxic component of  toxin-antitoxin system, dsRBD-like fold, HicA family</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arCOG10846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L</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PD-(DE)xK superfamily endonuclease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arCOG02129</w:t>
            </w:r>
          </w:p>
        </w:tc>
        <w:tc>
          <w:tcPr>
            <w:tcW w:w="837" w:type="dxa"/>
            <w:tcBorders>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X</w:t>
            </w:r>
          </w:p>
        </w:tc>
        <w:tc>
          <w:tcPr>
            <w:tcW w:w="3815" w:type="dxa"/>
            <w:tcBorders>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Transposase</w:t>
            </w:r>
          </w:p>
        </w:tc>
        <w:tc>
          <w:tcPr>
            <w:tcW w:w="1306" w:type="dxa"/>
            <w:tcBorders>
              <w:bottom w:val="single" w:color="auto" w:sz="4" w:space="0"/>
            </w:tcBorders>
          </w:tcPr>
          <w:p>
            <w:pPr>
              <w:rPr>
                <w:rFonts w:ascii="Times New Roman" w:hAnsi="Times New Roman" w:eastAsia="MS Mincho" w:cs="Times New Roman"/>
                <w:lang w:eastAsia="ja-JP"/>
              </w:rPr>
            </w:pPr>
          </w:p>
        </w:tc>
        <w:tc>
          <w:tcPr>
            <w:tcW w:w="783" w:type="dxa"/>
            <w:tcBorders>
              <w:bottom w:val="single" w:color="auto" w:sz="4" w:space="0"/>
            </w:tcBorders>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513" w:type="dxa"/>
            <w:gridSpan w:val="4"/>
            <w:tcBorders>
              <w:top w:val="single" w:color="auto" w:sz="4" w:space="0"/>
              <w:bottom w:val="single" w:color="auto" w:sz="4" w:space="0"/>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Proteins both in HMGI and DMGI :</w:t>
            </w:r>
          </w:p>
        </w:tc>
        <w:tc>
          <w:tcPr>
            <w:tcW w:w="783" w:type="dxa"/>
            <w:tcBorders>
              <w:top w:val="single" w:color="auto" w:sz="4" w:space="0"/>
              <w:bottom w:val="single" w:color="auto" w:sz="4" w:space="0"/>
            </w:tcBorders>
          </w:tcPr>
          <w:p>
            <w:pPr>
              <w:rPr>
                <w:rFonts w:ascii="Times New Roman" w:hAnsi="Times New Roman" w:eastAsia="MS Mincho" w:cs="Times New Roman"/>
                <w:lang w:eastAsia="ja-JP"/>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arCOG00880</w:t>
            </w:r>
          </w:p>
        </w:tc>
        <w:tc>
          <w:tcPr>
            <w:tcW w:w="837"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V</w:t>
            </w:r>
          </w:p>
        </w:tc>
        <w:tc>
          <w:tcPr>
            <w:tcW w:w="381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Type I site-specific restriction-modification system, R (restriction) subunit or related helicase</w:t>
            </w:r>
          </w:p>
        </w:tc>
        <w:tc>
          <w:tcPr>
            <w:tcW w:w="1306" w:type="dxa"/>
            <w:tcBorders>
              <w:top w:val="single" w:color="auto" w:sz="4" w:space="0"/>
            </w:tcBorders>
          </w:tcPr>
          <w:p>
            <w:pPr>
              <w:rPr>
                <w:rFonts w:ascii="Times New Roman" w:hAnsi="Times New Roman" w:eastAsia="MS Mincho" w:cs="Times New Roman"/>
                <w:lang w:eastAsia="ja-JP"/>
              </w:rPr>
            </w:pPr>
          </w:p>
        </w:tc>
        <w:tc>
          <w:tcPr>
            <w:tcW w:w="783"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arCOG00756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Glycine cleavage system T protein (aminomethyltransferase)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arCOG01303</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Glycine cleavage system H protein (lipoate-binding)</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arCOG00077</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Glycine cleavage system protein P (pyridoxal-binding), N-terminal domain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arCOG00076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Glycine cleavage system protein P (pyridoxal-binding), C-terminal domain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arCOG03837</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H</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Lipoate-protein ligase A associated domain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arCOG01939</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H</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Lipoate-protein ligase A</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arCOG01068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C</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Pyruvate/2-oxoglutarate dehydrogenase complex, dihydrolipoamide dehydrogenase (E3) component or related enzyme</w:t>
            </w:r>
          </w:p>
        </w:tc>
        <w:tc>
          <w:tcPr>
            <w:tcW w:w="1306" w:type="dxa"/>
          </w:tcPr>
          <w:p>
            <w:pPr>
              <w:rPr>
                <w:rFonts w:ascii="Times New Roman" w:hAnsi="Times New Roman" w:eastAsia="MS Mincho" w:cs="Times New Roman"/>
                <w:lang w:eastAsia="ja-JP"/>
              </w:rPr>
            </w:pPr>
            <w:r>
              <w:rPr>
                <w:rFonts w:ascii="Times New Roman" w:hAnsi="Times New Roman" w:eastAsia="MS Mincho" w:cs="Times New Roman"/>
                <w:lang w:eastAsia="ja-JP"/>
              </w:rPr>
              <w:t>Glycine cleavage system protein L</w:t>
            </w: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arCOG00660</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H</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Lipoate synthase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arCOG03611</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Peptidase C1A subfamily</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07" w:type="dxa"/>
            <w:gridSpan w:val="3"/>
            <w:tcBorders>
              <w:top w:val="single" w:color="auto" w:sz="4" w:space="0"/>
              <w:bottom w:val="single" w:color="auto" w:sz="4" w:space="0"/>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Common proteins in HMGI DMGI RSA3 :</w:t>
            </w:r>
          </w:p>
        </w:tc>
        <w:tc>
          <w:tcPr>
            <w:tcW w:w="1306" w:type="dxa"/>
            <w:tcBorders>
              <w:top w:val="single" w:color="auto" w:sz="4" w:space="0"/>
              <w:bottom w:val="single" w:color="auto" w:sz="4" w:space="0"/>
            </w:tcBorders>
          </w:tcPr>
          <w:p>
            <w:pPr>
              <w:rPr>
                <w:rFonts w:ascii="Times New Roman" w:hAnsi="Times New Roman" w:eastAsia="MS Mincho" w:cs="Times New Roman"/>
                <w:lang w:eastAsia="ja-JP"/>
              </w:rPr>
            </w:pPr>
          </w:p>
        </w:tc>
        <w:tc>
          <w:tcPr>
            <w:tcW w:w="783" w:type="dxa"/>
            <w:tcBorders>
              <w:top w:val="single" w:color="auto" w:sz="4" w:space="0"/>
              <w:bottom w:val="single" w:color="auto" w:sz="4" w:space="0"/>
            </w:tcBorders>
          </w:tcPr>
          <w:p>
            <w:pPr>
              <w:rPr>
                <w:rFonts w:ascii="Times New Roman" w:hAnsi="Times New Roman" w:eastAsia="MS Mincho" w:cs="Times New Roman"/>
                <w:lang w:eastAsia="ja-JP"/>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top w:val="single" w:color="auto" w:sz="4"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arCOG03005</w:t>
            </w:r>
          </w:p>
        </w:tc>
        <w:tc>
          <w:tcPr>
            <w:tcW w:w="837" w:type="dxa"/>
            <w:tcBorders>
              <w:top w:val="single" w:color="auto" w:sz="4"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F</w:t>
            </w:r>
          </w:p>
        </w:tc>
        <w:tc>
          <w:tcPr>
            <w:tcW w:w="3815" w:type="dxa"/>
            <w:tcBorders>
              <w:top w:val="single" w:color="auto" w:sz="4" w:space="0"/>
              <w:bottom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Nucleoside triphosphate pyrophosphohydrolase, MazG superfamily</w:t>
            </w:r>
          </w:p>
        </w:tc>
        <w:tc>
          <w:tcPr>
            <w:tcW w:w="1306" w:type="dxa"/>
            <w:tcBorders>
              <w:top w:val="single" w:color="auto" w:sz="4" w:space="0"/>
              <w:bottom w:val="single" w:color="auto" w:sz="4" w:space="0"/>
            </w:tcBorders>
          </w:tcPr>
          <w:p>
            <w:pPr>
              <w:rPr>
                <w:rFonts w:ascii="Times New Roman" w:hAnsi="Times New Roman" w:eastAsia="MS Mincho" w:cs="Times New Roman"/>
                <w:lang w:eastAsia="ja-JP"/>
              </w:rPr>
            </w:pPr>
          </w:p>
        </w:tc>
        <w:tc>
          <w:tcPr>
            <w:tcW w:w="783" w:type="dxa"/>
            <w:tcBorders>
              <w:top w:val="single" w:color="auto" w:sz="4" w:space="0"/>
              <w:bottom w:val="single" w:color="auto" w:sz="4" w:space="0"/>
            </w:tcBorders>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07" w:type="dxa"/>
            <w:gridSpan w:val="3"/>
            <w:tcBorders>
              <w:top w:val="single" w:color="auto" w:sz="4" w:space="0"/>
              <w:bottom w:val="single" w:color="auto" w:sz="4" w:space="0"/>
            </w:tcBorders>
            <w:noWrap/>
          </w:tcPr>
          <w:p>
            <w:pPr>
              <w:rPr>
                <w:rFonts w:ascii="Times New Roman" w:hAnsi="Times New Roman" w:eastAsia="MS Mincho" w:cs="Times New Roman"/>
                <w:lang w:eastAsia="ja-JP"/>
              </w:rPr>
            </w:pPr>
            <w:r>
              <w:rPr>
                <w:rFonts w:ascii="Times New Roman" w:hAnsi="Times New Roman" w:eastAsia="MS Mincho" w:cs="Times New Roman"/>
                <w:lang w:eastAsia="ja-JP"/>
              </w:rPr>
              <w:t>Proteins both in HMGI and epipelagic species :</w:t>
            </w:r>
          </w:p>
        </w:tc>
        <w:tc>
          <w:tcPr>
            <w:tcW w:w="1306" w:type="dxa"/>
            <w:tcBorders>
              <w:top w:val="single" w:color="auto" w:sz="4" w:space="0"/>
              <w:bottom w:val="single" w:color="auto" w:sz="4" w:space="0"/>
            </w:tcBorders>
            <w:noWrap/>
          </w:tcPr>
          <w:p>
            <w:pPr>
              <w:rPr>
                <w:rFonts w:ascii="Times New Roman" w:hAnsi="Times New Roman" w:eastAsia="MS Mincho" w:cs="Times New Roman"/>
                <w:lang w:eastAsia="ja-JP"/>
              </w:rPr>
            </w:pPr>
          </w:p>
        </w:tc>
        <w:tc>
          <w:tcPr>
            <w:tcW w:w="783" w:type="dxa"/>
            <w:tcBorders>
              <w:top w:val="single" w:color="auto" w:sz="4" w:space="0"/>
              <w:bottom w:val="single" w:color="auto" w:sz="4" w:space="0"/>
            </w:tcBorders>
            <w:noWrap/>
          </w:tcPr>
          <w:p>
            <w:pPr>
              <w:rPr>
                <w:rFonts w:ascii="Times New Roman" w:hAnsi="Times New Roman" w:eastAsia="MS Mincho" w:cs="Times New Roman"/>
                <w:lang w:eastAsia="ja-JP"/>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arCOG14073</w:t>
            </w:r>
          </w:p>
        </w:tc>
        <w:tc>
          <w:tcPr>
            <w:tcW w:w="837"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Borders>
              <w:top w:val="single" w:color="auto" w:sz="4"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Borders>
              <w:top w:val="single" w:color="auto" w:sz="4" w:space="0"/>
            </w:tcBorders>
          </w:tcPr>
          <w:p>
            <w:pPr>
              <w:rPr>
                <w:rFonts w:ascii="Times New Roman" w:hAnsi="Times New Roman" w:eastAsia="MS Mincho" w:cs="Times New Roman"/>
                <w:lang w:eastAsia="ja-JP"/>
              </w:rPr>
            </w:pPr>
          </w:p>
        </w:tc>
        <w:tc>
          <w:tcPr>
            <w:tcW w:w="783" w:type="dxa"/>
            <w:tcBorders>
              <w:top w:val="single" w:color="auto" w:sz="4" w:space="0"/>
            </w:tcBorders>
          </w:tcPr>
          <w:p>
            <w:pPr>
              <w:rPr>
                <w:rFonts w:ascii="Times New Roman" w:hAnsi="Times New Roman" w:eastAsia="MS Mincho" w:cs="Times New Roman"/>
                <w:lang w:eastAsia="ja-JP"/>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arCOG06192</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T</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Signal transduction histidine kinase, contains PAS domain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arCOG11939</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N</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Surface protein, associated with type IV pili like system</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arCOG05183</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T</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Signal transduction histidine kinase, contains PocR-like and PAS domains</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arCOG14320</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arCOG11612</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arCOG10856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membrane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arCOG10556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arCOG10555</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arCOG10554</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arCOG00489</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H</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Cob(I)alamin adenosyltransferase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arCOG01475</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P</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Predicted Co/Zn/Cd cation transporter</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arCOG11931</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arCOG00795</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L</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UvrD/REP helicase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arCOG03118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Membrane protein DegA family</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arCOG07264</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Predicted membrane protein with C-terminal Zn ribbon domain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arCOG10580</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arCOG14078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R</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Predicted kinase or ATPase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arCOG01273</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E</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ABC-type branched-chain amino acid transport system, permease component</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arCOG04936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M</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Glycosyl transferase family 2</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宋体" w:cs="Times New Roman"/>
                <w:lang w:eastAsia="ja-JP"/>
              </w:rPr>
              <w:t>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arCOG14096</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arCOG04920</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arCOG08821</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  (expansion in Thaumarchaeota)</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arCOG08658</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S</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Uncharacterized protein</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Pr>
          <w:p>
            <w:pPr>
              <w:rPr>
                <w:rFonts w:ascii="Times New Roman" w:hAnsi="Times New Roman" w:eastAsia="MS Mincho" w:cs="Times New Roman"/>
                <w:lang w:eastAsia="ja-JP"/>
              </w:rPr>
            </w:pPr>
            <w:r>
              <w:rPr>
                <w:rFonts w:ascii="Times New Roman" w:hAnsi="Times New Roman" w:eastAsia="MS Mincho" w:cs="Times New Roman"/>
                <w:lang w:eastAsia="ja-JP"/>
              </w:rPr>
              <w:t>arCOG15271</w:t>
            </w:r>
          </w:p>
        </w:tc>
        <w:tc>
          <w:tcPr>
            <w:tcW w:w="837" w:type="dxa"/>
          </w:tcPr>
          <w:p>
            <w:pPr>
              <w:rPr>
                <w:rFonts w:ascii="Times New Roman" w:hAnsi="Times New Roman" w:eastAsia="MS Mincho" w:cs="Times New Roman"/>
                <w:lang w:eastAsia="ja-JP"/>
              </w:rPr>
            </w:pPr>
            <w:r>
              <w:rPr>
                <w:rFonts w:ascii="Times New Roman" w:hAnsi="Times New Roman" w:eastAsia="MS Mincho" w:cs="Times New Roman"/>
                <w:lang w:eastAsia="ja-JP"/>
              </w:rPr>
              <w:t>X</w:t>
            </w:r>
          </w:p>
        </w:tc>
        <w:tc>
          <w:tcPr>
            <w:tcW w:w="3815" w:type="dxa"/>
          </w:tcPr>
          <w:p>
            <w:pPr>
              <w:rPr>
                <w:rFonts w:ascii="Times New Roman" w:hAnsi="Times New Roman" w:eastAsia="MS Mincho" w:cs="Times New Roman"/>
                <w:lang w:eastAsia="ja-JP"/>
              </w:rPr>
            </w:pPr>
            <w:r>
              <w:rPr>
                <w:rFonts w:ascii="Times New Roman" w:hAnsi="Times New Roman" w:eastAsia="MS Mincho" w:cs="Times New Roman"/>
                <w:lang w:eastAsia="ja-JP"/>
              </w:rPr>
              <w:t>Casposon associated protein-primed PolB family polymerase</w:t>
            </w:r>
          </w:p>
        </w:tc>
        <w:tc>
          <w:tcPr>
            <w:tcW w:w="1306" w:type="dxa"/>
          </w:tcPr>
          <w:p>
            <w:pPr>
              <w:rPr>
                <w:rFonts w:ascii="Times New Roman" w:hAnsi="Times New Roman" w:eastAsia="MS Mincho" w:cs="Times New Roman"/>
                <w:lang w:eastAsia="ja-JP"/>
              </w:rPr>
            </w:pPr>
          </w:p>
        </w:tc>
        <w:tc>
          <w:tcPr>
            <w:tcW w:w="783" w:type="dxa"/>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55"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arCOG01452</w:t>
            </w:r>
          </w:p>
        </w:tc>
        <w:tc>
          <w:tcPr>
            <w:tcW w:w="837"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V</w:t>
            </w:r>
          </w:p>
        </w:tc>
        <w:tc>
          <w:tcPr>
            <w:tcW w:w="3815"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CRISPR-associated protein Cas1</w:t>
            </w:r>
          </w:p>
        </w:tc>
        <w:tc>
          <w:tcPr>
            <w:tcW w:w="1306" w:type="dxa"/>
            <w:tcBorders>
              <w:bottom w:val="single" w:color="auto" w:sz="12" w:space="0"/>
            </w:tcBorders>
          </w:tcPr>
          <w:p>
            <w:pPr>
              <w:rPr>
                <w:rFonts w:ascii="Times New Roman" w:hAnsi="Times New Roman" w:eastAsia="MS Mincho" w:cs="Times New Roman"/>
                <w:lang w:eastAsia="ja-JP"/>
              </w:rPr>
            </w:pPr>
          </w:p>
        </w:tc>
        <w:tc>
          <w:tcPr>
            <w:tcW w:w="783" w:type="dxa"/>
            <w:tcBorders>
              <w:bottom w:val="single" w:color="auto" w:sz="12" w:space="0"/>
            </w:tcBorders>
          </w:tcPr>
          <w:p>
            <w:pPr>
              <w:rPr>
                <w:rFonts w:ascii="Times New Roman" w:hAnsi="Times New Roman" w:eastAsia="MS Mincho" w:cs="Times New Roman"/>
                <w:lang w:eastAsia="ja-JP"/>
              </w:rPr>
            </w:pPr>
            <w:r>
              <w:rPr>
                <w:rFonts w:ascii="Times New Roman" w:hAnsi="Times New Roman" w:eastAsia="MS Mincho" w:cs="Times New Roman"/>
                <w:lang w:eastAsia="ja-JP"/>
              </w:rPr>
              <w:t>yes</w:t>
            </w:r>
          </w:p>
        </w:tc>
      </w:tr>
    </w:tbl>
    <w:p>
      <w:pPr>
        <w:spacing w:before="156" w:beforeLines="50" w:after="156" w:afterLines="50"/>
        <w:rPr>
          <w:rFonts w:ascii="Times New Roman" w:hAnsi="Times New Roman" w:eastAsia="MS Mincho" w:cs="Times New Roman"/>
          <w:lang w:eastAsia="ja-JP"/>
        </w:rPr>
      </w:pPr>
    </w:p>
    <w:p>
      <w:pPr>
        <w:tabs>
          <w:tab w:val="left" w:pos="4770"/>
        </w:tabs>
        <w:spacing w:before="156" w:beforeLines="50" w:after="156" w:afterLines="50"/>
        <w:rPr>
          <w:rFonts w:ascii="Times New Roman" w:hAnsi="Times New Roman" w:cs="Times New Roman"/>
          <w:b/>
          <w:sz w:val="24"/>
          <w:szCs w:val="24"/>
        </w:rPr>
        <w:sectPr>
          <w:pgSz w:w="11906" w:h="16838"/>
          <w:pgMar w:top="1440" w:right="1800" w:bottom="1440" w:left="1800" w:header="851" w:footer="992" w:gutter="0"/>
          <w:cols w:space="425" w:num="1"/>
          <w:docGrid w:type="lines" w:linePitch="312" w:charSpace="0"/>
        </w:sectPr>
      </w:pPr>
    </w:p>
    <w:p>
      <w:pPr>
        <w:tabs>
          <w:tab w:val="left" w:pos="4770"/>
        </w:tabs>
        <w:spacing w:before="156" w:beforeLines="50" w:after="156" w:afterLines="50"/>
        <w:rPr>
          <w:rFonts w:ascii="Times New Roman" w:hAnsi="Times New Roman" w:cs="Times New Roman"/>
          <w:sz w:val="24"/>
          <w:szCs w:val="24"/>
        </w:rPr>
      </w:pPr>
      <w:r>
        <w:rPr>
          <w:rFonts w:ascii="Times New Roman" w:hAnsi="Times New Roman" w:cs="Times New Roman"/>
          <w:b/>
          <w:sz w:val="24"/>
          <w:szCs w:val="24"/>
        </w:rPr>
        <w:t>Table S5</w:t>
      </w:r>
      <w:r>
        <w:rPr>
          <w:rFonts w:ascii="Times New Roman" w:hAnsi="Times New Roman" w:cs="Times New Roman"/>
          <w:sz w:val="24"/>
          <w:szCs w:val="24"/>
        </w:rPr>
        <w:t xml:space="preserve"> Unique genes associated with amino acids and their transportations in MTA1.</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5246"/>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275" w:type="dxa"/>
            <w:tcBorders>
              <w:top w:val="single" w:color="auto" w:sz="12" w:space="0"/>
              <w:left w:val="nil"/>
              <w:bottom w:val="single" w:color="auto" w:sz="4" w:space="0"/>
              <w:right w:val="nil"/>
            </w:tcBorders>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Short name</w:t>
            </w:r>
          </w:p>
        </w:tc>
        <w:tc>
          <w:tcPr>
            <w:tcW w:w="5246" w:type="dxa"/>
            <w:tcBorders>
              <w:top w:val="single" w:color="auto" w:sz="12" w:space="0"/>
              <w:left w:val="nil"/>
              <w:bottom w:val="single" w:color="auto" w:sz="4" w:space="0"/>
              <w:right w:val="nil"/>
            </w:tcBorders>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Name</w:t>
            </w:r>
          </w:p>
        </w:tc>
        <w:tc>
          <w:tcPr>
            <w:tcW w:w="1785" w:type="dxa"/>
            <w:tcBorders>
              <w:top w:val="single" w:color="auto" w:sz="12" w:space="0"/>
              <w:left w:val="nil"/>
              <w:bottom w:val="single" w:color="auto" w:sz="4" w:space="0"/>
              <w:right w:val="nil"/>
            </w:tcBorders>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locus tag in MTA1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single" w:color="auto" w:sz="4" w:space="0"/>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LysE</w:t>
            </w:r>
          </w:p>
        </w:tc>
        <w:tc>
          <w:tcPr>
            <w:tcW w:w="5246" w:type="dxa"/>
            <w:tcBorders>
              <w:top w:val="single" w:color="auto" w:sz="4" w:space="0"/>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lysine transporter</w:t>
            </w:r>
          </w:p>
        </w:tc>
        <w:tc>
          <w:tcPr>
            <w:tcW w:w="1785" w:type="dxa"/>
            <w:tcBorders>
              <w:top w:val="single" w:color="auto" w:sz="4" w:space="0"/>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Nhad_1061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putP</w:t>
            </w:r>
          </w:p>
        </w:tc>
        <w:tc>
          <w:tcPr>
            <w:tcW w:w="5246"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Na+/proline symporter</w:t>
            </w:r>
          </w:p>
        </w:tc>
        <w:tc>
          <w:tcPr>
            <w:tcW w:w="178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MetH</w:t>
            </w:r>
          </w:p>
        </w:tc>
        <w:tc>
          <w:tcPr>
            <w:tcW w:w="5246"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Methionine synthase I (cobalamin-dependent), methyltransferase domain</w:t>
            </w:r>
          </w:p>
        </w:tc>
        <w:tc>
          <w:tcPr>
            <w:tcW w:w="178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nil"/>
              <w:right w:val="nil"/>
            </w:tcBorders>
            <w:noWrap/>
          </w:tcPr>
          <w:p>
            <w:pPr>
              <w:jc w:val="center"/>
              <w:rPr>
                <w:rFonts w:ascii="Times New Roman" w:hAnsi="Times New Roman" w:eastAsia="MS Mincho" w:cs="Times New Roman"/>
                <w:lang w:eastAsia="ja-JP"/>
              </w:rPr>
            </w:pPr>
          </w:p>
        </w:tc>
        <w:tc>
          <w:tcPr>
            <w:tcW w:w="5246"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glyoxalase family protein, putative</w:t>
            </w:r>
          </w:p>
        </w:tc>
        <w:tc>
          <w:tcPr>
            <w:tcW w:w="178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nil"/>
              <w:right w:val="nil"/>
            </w:tcBorders>
            <w:noWrap/>
          </w:tcPr>
          <w:p>
            <w:pPr>
              <w:jc w:val="center"/>
              <w:rPr>
                <w:rFonts w:ascii="Times New Roman" w:hAnsi="Times New Roman" w:eastAsia="MS Mincho" w:cs="Times New Roman"/>
                <w:lang w:eastAsia="ja-JP"/>
              </w:rPr>
            </w:pPr>
          </w:p>
        </w:tc>
        <w:tc>
          <w:tcPr>
            <w:tcW w:w="5246"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Proline dehydrogenase</w:t>
            </w:r>
          </w:p>
        </w:tc>
        <w:tc>
          <w:tcPr>
            <w:tcW w:w="178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LivM</w:t>
            </w:r>
          </w:p>
        </w:tc>
        <w:tc>
          <w:tcPr>
            <w:tcW w:w="5246"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ABC-type branched-chain amino acid transport system, permease component</w:t>
            </w:r>
          </w:p>
        </w:tc>
        <w:tc>
          <w:tcPr>
            <w:tcW w:w="1785" w:type="dxa"/>
            <w:tcBorders>
              <w:top w:val="nil"/>
              <w:left w:val="nil"/>
              <w:bottom w:val="nil"/>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75" w:type="dxa"/>
            <w:tcBorders>
              <w:top w:val="nil"/>
              <w:left w:val="nil"/>
              <w:bottom w:val="single" w:color="auto" w:sz="12" w:space="0"/>
              <w:right w:val="nil"/>
            </w:tcBorders>
            <w:noWrap/>
          </w:tcPr>
          <w:p>
            <w:pPr>
              <w:jc w:val="center"/>
              <w:rPr>
                <w:rFonts w:ascii="Times New Roman" w:hAnsi="Times New Roman" w:eastAsia="MS Mincho" w:cs="Times New Roman"/>
                <w:lang w:eastAsia="ja-JP"/>
              </w:rPr>
            </w:pPr>
          </w:p>
        </w:tc>
        <w:tc>
          <w:tcPr>
            <w:tcW w:w="5246" w:type="dxa"/>
            <w:tcBorders>
              <w:top w:val="nil"/>
              <w:left w:val="nil"/>
              <w:bottom w:val="single" w:color="auto" w:sz="12" w:space="0"/>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Leucyl aminopeptidase</w:t>
            </w:r>
          </w:p>
        </w:tc>
        <w:tc>
          <w:tcPr>
            <w:tcW w:w="1785" w:type="dxa"/>
            <w:tcBorders>
              <w:top w:val="nil"/>
              <w:left w:val="nil"/>
              <w:bottom w:val="single" w:color="auto" w:sz="12" w:space="0"/>
              <w:right w:val="nil"/>
            </w:tcBorders>
            <w:noWrap/>
          </w:tcPr>
          <w:p>
            <w:pPr>
              <w:jc w:val="center"/>
              <w:rPr>
                <w:rFonts w:ascii="Times New Roman" w:hAnsi="Times New Roman" w:eastAsia="MS Mincho" w:cs="Times New Roman"/>
                <w:lang w:eastAsia="ja-JP"/>
              </w:rPr>
            </w:pPr>
            <w:r>
              <w:rPr>
                <w:rFonts w:ascii="Times New Roman" w:hAnsi="Times New Roman" w:eastAsia="MS Mincho" w:cs="Times New Roman"/>
                <w:lang w:eastAsia="ja-JP"/>
              </w:rPr>
              <w:t>Nhad_318</w:t>
            </w:r>
          </w:p>
        </w:tc>
      </w:tr>
    </w:tbl>
    <w:p>
      <w:pPr>
        <w:rPr>
          <w:rFonts w:ascii="Times New Roman" w:hAnsi="Times New Roman" w:eastAsia="MS Mincho" w:cs="Times New Roman"/>
          <w:lang w:eastAsia="ja-JP"/>
        </w:rPr>
      </w:pPr>
    </w:p>
    <w:p>
      <w:pPr>
        <w:rPr>
          <w:rFonts w:ascii="Times New Roman" w:hAnsi="Times New Roman" w:cs="Times New Roman"/>
          <w:b/>
        </w:rPr>
        <w:sectPr>
          <w:pgSz w:w="11906" w:h="16838"/>
          <w:pgMar w:top="1440" w:right="1800" w:bottom="1440" w:left="1800" w:header="851" w:footer="992" w:gutter="0"/>
          <w:cols w:space="425" w:num="1"/>
          <w:docGrid w:type="lines" w:linePitch="312" w:charSpace="0"/>
        </w:sectPr>
      </w:pPr>
    </w:p>
    <w:p>
      <w:pPr>
        <w:rPr>
          <w:rFonts w:ascii="Times New Roman" w:hAnsi="Times New Roman" w:cs="Times New Roman"/>
          <w:sz w:val="24"/>
          <w:szCs w:val="24"/>
        </w:rPr>
      </w:pPr>
      <w:r>
        <w:rPr>
          <w:rFonts w:hint="eastAsia" w:ascii="Times New Roman" w:hAnsi="Times New Roman" w:cs="Times New Roman"/>
          <w:b/>
          <w:sz w:val="24"/>
          <w:szCs w:val="24"/>
        </w:rPr>
        <w:t>T</w:t>
      </w:r>
      <w:r>
        <w:rPr>
          <w:rFonts w:ascii="Times New Roman" w:hAnsi="Times New Roman" w:cs="Times New Roman"/>
          <w:b/>
          <w:sz w:val="24"/>
          <w:szCs w:val="24"/>
        </w:rPr>
        <w:t>able S6</w:t>
      </w:r>
      <w:r>
        <w:rPr>
          <w:rFonts w:ascii="Times New Roman" w:hAnsi="Times New Roman" w:cs="Times New Roman"/>
          <w:sz w:val="24"/>
          <w:szCs w:val="24"/>
        </w:rPr>
        <w:t xml:space="preserve"> Primers used in this study</w:t>
      </w:r>
      <w:r>
        <w:rPr>
          <w:rFonts w:hint="eastAsia" w:ascii="Times New Roman" w:hAnsi="Times New Roman" w:cs="Times New Roman"/>
          <w:sz w:val="24"/>
          <w:szCs w:val="24"/>
        </w:rPr>
        <w:t>.</w:t>
      </w:r>
    </w:p>
    <w:p>
      <w:pPr>
        <w:rPr>
          <w:rFonts w:ascii="Times New Roman" w:hAnsi="Times New Roman" w:cs="Times New Roman"/>
          <w:b/>
          <w:sz w:val="24"/>
          <w:szCs w:val="24"/>
        </w:rPr>
      </w:pPr>
    </w:p>
    <w:tbl>
      <w:tblPr>
        <w:tblStyle w:val="7"/>
        <w:tblW w:w="13750" w:type="dxa"/>
        <w:tblInd w:w="0" w:type="dxa"/>
        <w:tblLayout w:type="fixed"/>
        <w:tblCellMar>
          <w:top w:w="0" w:type="dxa"/>
          <w:left w:w="108" w:type="dxa"/>
          <w:bottom w:w="0" w:type="dxa"/>
          <w:right w:w="108" w:type="dxa"/>
        </w:tblCellMar>
      </w:tblPr>
      <w:tblGrid>
        <w:gridCol w:w="3544"/>
        <w:gridCol w:w="1276"/>
        <w:gridCol w:w="2126"/>
        <w:gridCol w:w="3402"/>
        <w:gridCol w:w="3402"/>
      </w:tblGrid>
      <w:tr>
        <w:tblPrEx>
          <w:tblCellMar>
            <w:top w:w="0" w:type="dxa"/>
            <w:left w:w="108" w:type="dxa"/>
            <w:bottom w:w="0" w:type="dxa"/>
            <w:right w:w="108" w:type="dxa"/>
          </w:tblCellMar>
        </w:tblPrEx>
        <w:trPr>
          <w:trHeight w:val="300" w:hRule="atLeast"/>
        </w:trPr>
        <w:tc>
          <w:tcPr>
            <w:tcW w:w="3544" w:type="dxa"/>
            <w:tcBorders>
              <w:top w:val="single" w:color="auto" w:sz="8" w:space="0"/>
              <w:left w:val="nil"/>
              <w:bottom w:val="single" w:color="auto" w:sz="4" w:space="0"/>
              <w:right w:val="nil"/>
            </w:tcBorders>
            <w:shd w:val="clear" w:color="auto" w:fill="auto"/>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Target genes</w:t>
            </w:r>
            <w:r>
              <w:rPr>
                <w:rFonts w:ascii="Times New Roman" w:hAnsi="Times New Roman" w:eastAsia="宋体" w:cs="Times New Roman"/>
                <w:kern w:val="0"/>
                <w:szCs w:val="21"/>
              </w:rPr>
              <w:t> </w:t>
            </w:r>
          </w:p>
        </w:tc>
        <w:tc>
          <w:tcPr>
            <w:tcW w:w="1276" w:type="dxa"/>
            <w:tcBorders>
              <w:top w:val="single" w:color="auto" w:sz="8" w:space="0"/>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Gene short name</w:t>
            </w:r>
          </w:p>
        </w:tc>
        <w:tc>
          <w:tcPr>
            <w:tcW w:w="2126" w:type="dxa"/>
            <w:tcBorders>
              <w:top w:val="single" w:color="auto" w:sz="8" w:space="0"/>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Primer names</w:t>
            </w:r>
          </w:p>
        </w:tc>
        <w:tc>
          <w:tcPr>
            <w:tcW w:w="3402" w:type="dxa"/>
            <w:tcBorders>
              <w:top w:val="single" w:color="auto" w:sz="8" w:space="0"/>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Sequence 5' to 3'</w:t>
            </w:r>
          </w:p>
        </w:tc>
        <w:tc>
          <w:tcPr>
            <w:tcW w:w="3402" w:type="dxa"/>
            <w:tcBorders>
              <w:top w:val="single" w:color="auto" w:sz="8" w:space="0"/>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PCR condition</w:t>
            </w:r>
            <w:r>
              <w:rPr>
                <w:rFonts w:ascii="Times New Roman" w:hAnsi="Times New Roman" w:eastAsia="宋体" w:cs="Times New Roman"/>
                <w:kern w:val="0"/>
                <w:szCs w:val="21"/>
              </w:rPr>
              <w:t> </w:t>
            </w:r>
          </w:p>
        </w:tc>
      </w:tr>
      <w:tr>
        <w:tblPrEx>
          <w:tblCellMar>
            <w:top w:w="0" w:type="dxa"/>
            <w:left w:w="108" w:type="dxa"/>
            <w:bottom w:w="0" w:type="dxa"/>
            <w:right w:w="108" w:type="dxa"/>
          </w:tblCellMar>
        </w:tblPrEx>
        <w:trPr>
          <w:trHeight w:val="300" w:hRule="atLeast"/>
        </w:trPr>
        <w:tc>
          <w:tcPr>
            <w:tcW w:w="3544" w:type="dxa"/>
            <w:vMerge w:val="restart"/>
            <w:tcBorders>
              <w:top w:val="nil"/>
              <w:left w:val="nil"/>
              <w:bottom w:val="nil"/>
              <w:right w:val="nil"/>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ammonia monooxygenase subunit A</w:t>
            </w:r>
          </w:p>
        </w:tc>
        <w:tc>
          <w:tcPr>
            <w:tcW w:w="1276" w:type="dxa"/>
            <w:vMerge w:val="restart"/>
            <w:tcBorders>
              <w:top w:val="nil"/>
              <w:left w:val="nil"/>
              <w:bottom w:val="nil"/>
              <w:right w:val="nil"/>
            </w:tcBorders>
            <w:shd w:val="clear" w:color="auto" w:fill="auto"/>
            <w:vAlign w:val="center"/>
          </w:tcPr>
          <w:p>
            <w:pPr>
              <w:widowControl/>
              <w:rPr>
                <w:rFonts w:ascii="Times New Roman" w:hAnsi="Times New Roman" w:eastAsia="宋体" w:cs="Times New Roman"/>
                <w:kern w:val="0"/>
                <w:sz w:val="22"/>
              </w:rPr>
            </w:pPr>
            <w:r>
              <w:rPr>
                <w:rFonts w:ascii="Times New Roman" w:hAnsi="Times New Roman" w:eastAsia="宋体" w:cs="Times New Roman"/>
                <w:kern w:val="0"/>
                <w:sz w:val="22"/>
              </w:rPr>
              <w:t>amoA</w:t>
            </w: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MTA1_amoA_453F</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CAGTAGCAGACCCGCTTGAA</w:t>
            </w:r>
          </w:p>
        </w:tc>
        <w:tc>
          <w:tcPr>
            <w:tcW w:w="3402" w:type="dxa"/>
            <w:vMerge w:val="restart"/>
            <w:tcBorders>
              <w:top w:val="nil"/>
              <w:left w:val="nil"/>
              <w:right w:val="nil"/>
            </w:tcBorders>
            <w:shd w:val="clear" w:color="auto" w:fill="auto"/>
            <w:noWrap/>
            <w:vAlign w:val="center"/>
          </w:tcPr>
          <w:p>
            <w:pPr>
              <w:jc w:val="left"/>
              <w:rPr>
                <w:rFonts w:ascii="Times New Roman" w:hAnsi="Times New Roman" w:eastAsia="宋体" w:cs="Times New Roman"/>
                <w:kern w:val="0"/>
                <w:sz w:val="22"/>
              </w:rPr>
            </w:pPr>
            <w:r>
              <w:rPr>
                <w:rFonts w:ascii="Times New Roman" w:hAnsi="Times New Roman" w:eastAsia="宋体" w:cs="Times New Roman"/>
                <w:kern w:val="0"/>
                <w:sz w:val="22"/>
              </w:rPr>
              <w:t>95℃ 3.5 min, 40 × (96℃ 20 s, 56℃ 20 s, 72℃ 30 s), 72℃ 10 min</w:t>
            </w:r>
          </w:p>
        </w:tc>
      </w:tr>
      <w:tr>
        <w:tblPrEx>
          <w:tblCellMar>
            <w:top w:w="0" w:type="dxa"/>
            <w:left w:w="108" w:type="dxa"/>
            <w:bottom w:w="0" w:type="dxa"/>
            <w:right w:w="108" w:type="dxa"/>
          </w:tblCellMar>
        </w:tblPrEx>
        <w:trPr>
          <w:trHeight w:val="300" w:hRule="atLeast"/>
        </w:trPr>
        <w:tc>
          <w:tcPr>
            <w:tcW w:w="3544"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MTA1_amoA_617R</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CCAAGCGGCCATCCATCTAT</w:t>
            </w:r>
          </w:p>
        </w:tc>
        <w:tc>
          <w:tcPr>
            <w:tcW w:w="3402" w:type="dxa"/>
            <w:vMerge w:val="continue"/>
            <w:tcBorders>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00" w:hRule="atLeast"/>
        </w:trPr>
        <w:tc>
          <w:tcPr>
            <w:tcW w:w="3544"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00" w:hRule="atLeast"/>
        </w:trPr>
        <w:tc>
          <w:tcPr>
            <w:tcW w:w="3544" w:type="dxa"/>
            <w:vMerge w:val="restart"/>
            <w:tcBorders>
              <w:top w:val="nil"/>
              <w:left w:val="nil"/>
              <w:bottom w:val="nil"/>
              <w:right w:val="nil"/>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4-hydroxybutyryl-CoA dehydratase</w:t>
            </w:r>
          </w:p>
        </w:tc>
        <w:tc>
          <w:tcPr>
            <w:tcW w:w="1276" w:type="dxa"/>
            <w:vMerge w:val="restart"/>
            <w:tcBorders>
              <w:top w:val="nil"/>
              <w:left w:val="nil"/>
              <w:bottom w:val="nil"/>
              <w:right w:val="nil"/>
            </w:tcBorders>
            <w:shd w:val="clear" w:color="auto" w:fill="auto"/>
            <w:vAlign w:val="center"/>
          </w:tcPr>
          <w:p>
            <w:pPr>
              <w:widowControl/>
              <w:rPr>
                <w:rFonts w:ascii="Times New Roman" w:hAnsi="Times New Roman" w:eastAsia="宋体" w:cs="Times New Roman"/>
                <w:kern w:val="0"/>
                <w:sz w:val="22"/>
              </w:rPr>
            </w:pPr>
            <w:r>
              <w:rPr>
                <w:rFonts w:ascii="Times New Roman" w:hAnsi="Times New Roman" w:eastAsia="宋体" w:cs="Times New Roman"/>
                <w:kern w:val="0"/>
                <w:sz w:val="22"/>
              </w:rPr>
              <w:t>hcd</w:t>
            </w: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MTA1_hcd_775F</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GCTGGGCAAGAAGCCTTGAT</w:t>
            </w:r>
          </w:p>
        </w:tc>
        <w:tc>
          <w:tcPr>
            <w:tcW w:w="3402" w:type="dxa"/>
            <w:vMerge w:val="restart"/>
            <w:tcBorders>
              <w:top w:val="nil"/>
              <w:left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95℃ 5 min; 30 × (95℃ 30 s, 52℃ 45 s, 72℃ 45 s); 72℃ 10 min</w:t>
            </w:r>
          </w:p>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00" w:hRule="atLeast"/>
        </w:trPr>
        <w:tc>
          <w:tcPr>
            <w:tcW w:w="3544"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MTA1_hcd_1073R</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AGCTTGTGTGCCAAGTGAGA</w:t>
            </w:r>
          </w:p>
        </w:tc>
        <w:tc>
          <w:tcPr>
            <w:tcW w:w="3402" w:type="dxa"/>
            <w:vMerge w:val="continue"/>
            <w:tcBorders>
              <w:left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00" w:hRule="atLeast"/>
        </w:trPr>
        <w:tc>
          <w:tcPr>
            <w:tcW w:w="3544"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vMerge w:val="continue"/>
            <w:tcBorders>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00" w:hRule="atLeast"/>
        </w:trPr>
        <w:tc>
          <w:tcPr>
            <w:tcW w:w="3544" w:type="dxa"/>
            <w:vMerge w:val="restart"/>
            <w:tcBorders>
              <w:top w:val="nil"/>
              <w:left w:val="nil"/>
              <w:bottom w:val="single" w:color="000000" w:sz="8" w:space="0"/>
              <w:right w:val="nil"/>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di-myo-inositol phosphate phosphate synthase and inositol-1-phosphate cytidylyltransferase</w:t>
            </w:r>
          </w:p>
        </w:tc>
        <w:tc>
          <w:tcPr>
            <w:tcW w:w="1276" w:type="dxa"/>
            <w:vMerge w:val="restart"/>
            <w:tcBorders>
              <w:top w:val="nil"/>
              <w:left w:val="nil"/>
              <w:bottom w:val="single" w:color="000000" w:sz="8" w:space="0"/>
              <w:right w:val="nil"/>
            </w:tcBorders>
            <w:shd w:val="clear" w:color="auto" w:fill="auto"/>
            <w:vAlign w:val="center"/>
          </w:tcPr>
          <w:p>
            <w:pPr>
              <w:widowControl/>
              <w:rPr>
                <w:rFonts w:ascii="Times New Roman" w:hAnsi="Times New Roman" w:eastAsia="宋体" w:cs="Times New Roman"/>
                <w:kern w:val="0"/>
                <w:sz w:val="22"/>
              </w:rPr>
            </w:pPr>
            <w:r>
              <w:rPr>
                <w:rFonts w:ascii="Times New Roman" w:hAnsi="Times New Roman" w:eastAsia="宋体" w:cs="Times New Roman"/>
                <w:kern w:val="0"/>
                <w:sz w:val="22"/>
              </w:rPr>
              <w:t>DIPPS +IPCT</w:t>
            </w: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MTA1_D_I_744F</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CCGATGGGCCAGTATCAAGA</w:t>
            </w:r>
          </w:p>
        </w:tc>
        <w:tc>
          <w:tcPr>
            <w:tcW w:w="3402" w:type="dxa"/>
            <w:vMerge w:val="restart"/>
            <w:tcBorders>
              <w:top w:val="nil"/>
              <w:left w:val="nil"/>
              <w:right w:val="nil"/>
            </w:tcBorders>
            <w:shd w:val="clear" w:color="auto" w:fill="auto"/>
            <w:noWrap/>
            <w:vAlign w:val="center"/>
          </w:tcPr>
          <w:p>
            <w:pPr>
              <w:jc w:val="left"/>
              <w:rPr>
                <w:rFonts w:ascii="Times New Roman" w:hAnsi="Times New Roman" w:eastAsia="宋体" w:cs="Times New Roman"/>
                <w:kern w:val="0"/>
                <w:sz w:val="22"/>
              </w:rPr>
            </w:pPr>
            <w:r>
              <w:rPr>
                <w:rFonts w:ascii="Times New Roman" w:hAnsi="Times New Roman" w:eastAsia="宋体" w:cs="Times New Roman"/>
                <w:kern w:val="0"/>
                <w:sz w:val="22"/>
              </w:rPr>
              <w:t>95℃ 5 min, 30 × (95℃ 30 s, 55℃ 45 s, 72℃ 30 s), 72℃ 10 min</w:t>
            </w:r>
          </w:p>
        </w:tc>
      </w:tr>
      <w:tr>
        <w:tblPrEx>
          <w:tblCellMar>
            <w:top w:w="0" w:type="dxa"/>
            <w:left w:w="108" w:type="dxa"/>
            <w:bottom w:w="0" w:type="dxa"/>
            <w:right w:w="108" w:type="dxa"/>
          </w:tblCellMar>
        </w:tblPrEx>
        <w:trPr>
          <w:trHeight w:val="315" w:hRule="atLeast"/>
        </w:trPr>
        <w:tc>
          <w:tcPr>
            <w:tcW w:w="3544"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vMerge w:val="continue"/>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MTA1_D_I_922R</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TCCCCATCACATCCATCCAC</w:t>
            </w:r>
          </w:p>
        </w:tc>
        <w:tc>
          <w:tcPr>
            <w:tcW w:w="3402" w:type="dxa"/>
            <w:vMerge w:val="continue"/>
            <w:tcBorders>
              <w:left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15" w:hRule="atLeast"/>
        </w:trPr>
        <w:tc>
          <w:tcPr>
            <w:tcW w:w="3544"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left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15" w:hRule="atLeast"/>
        </w:trPr>
        <w:tc>
          <w:tcPr>
            <w:tcW w:w="3544" w:type="dxa"/>
            <w:tcBorders>
              <w:top w:val="nil"/>
              <w:left w:val="nil"/>
              <w:bottom w:val="nil"/>
              <w:right w:val="nil"/>
            </w:tcBorders>
            <w:vAlign w:val="center"/>
          </w:tcPr>
          <w:p>
            <w:pPr>
              <w:widowControl/>
              <w:jc w:val="left"/>
              <w:rPr>
                <w:rFonts w:ascii="Times New Roman" w:hAnsi="Times New Roman" w:eastAsia="宋体" w:cs="Times New Roman"/>
                <w:kern w:val="0"/>
                <w:sz w:val="22"/>
              </w:rPr>
            </w:pPr>
            <w:r>
              <w:rPr>
                <w:rFonts w:hint="eastAsia" w:ascii="Times New Roman" w:hAnsi="Times New Roman" w:eastAsia="宋体" w:cs="Times New Roman"/>
                <w:kern w:val="0"/>
                <w:sz w:val="22"/>
              </w:rPr>
              <w:t xml:space="preserve">16S </w:t>
            </w:r>
            <w:r>
              <w:rPr>
                <w:rFonts w:ascii="Times New Roman" w:hAnsi="Times New Roman" w:eastAsia="宋体" w:cs="Times New Roman"/>
                <w:kern w:val="0"/>
                <w:sz w:val="22"/>
              </w:rPr>
              <w:t xml:space="preserve">rRNA </w:t>
            </w:r>
            <w:r>
              <w:rPr>
                <w:rFonts w:hint="eastAsia" w:ascii="Times New Roman" w:hAnsi="Times New Roman" w:eastAsia="宋体" w:cs="Times New Roman"/>
                <w:kern w:val="0"/>
                <w:sz w:val="22"/>
              </w:rPr>
              <w:t>gene</w:t>
            </w:r>
            <w:r>
              <w:rPr>
                <w:rFonts w:ascii="Times New Roman" w:hAnsi="Times New Roman" w:eastAsia="宋体" w:cs="Times New Roman"/>
                <w:kern w:val="0"/>
                <w:sz w:val="22"/>
              </w:rPr>
              <w:t xml:space="preserve"> </w:t>
            </w:r>
          </w:p>
        </w:tc>
        <w:tc>
          <w:tcPr>
            <w:tcW w:w="1276" w:type="dxa"/>
            <w:tcBorders>
              <w:top w:val="nil"/>
              <w:left w:val="nil"/>
              <w:bottom w:val="nil"/>
              <w:right w:val="nil"/>
            </w:tcBorders>
            <w:vAlign w:val="center"/>
          </w:tcPr>
          <w:p>
            <w:pPr>
              <w:widowControl/>
              <w:jc w:val="left"/>
              <w:rPr>
                <w:rFonts w:ascii="Times New Roman" w:hAnsi="Times New Roman" w:eastAsia="宋体" w:cs="Times New Roman"/>
                <w:kern w:val="0"/>
                <w:sz w:val="22"/>
              </w:rPr>
            </w:pPr>
            <w:r>
              <w:rPr>
                <w:rFonts w:hint="eastAsia" w:ascii="Times New Roman" w:hAnsi="Times New Roman" w:eastAsia="宋体" w:cs="Times New Roman"/>
                <w:kern w:val="0"/>
                <w:sz w:val="22"/>
              </w:rPr>
              <w:t>16S rRNA</w:t>
            </w: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 xml:space="preserve">341F </w:t>
            </w:r>
          </w:p>
          <w:p>
            <w:pPr>
              <w:widowControl/>
              <w:jc w:val="left"/>
              <w:rPr>
                <w:rFonts w:ascii="Times New Roman" w:hAnsi="Times New Roman" w:eastAsia="宋体" w:cs="Times New Roman"/>
                <w:kern w:val="0"/>
                <w:sz w:val="22"/>
              </w:rPr>
            </w:pPr>
            <w:r>
              <w:rPr>
                <w:rFonts w:hint="eastAsia" w:ascii="Times New Roman" w:hAnsi="Times New Roman" w:eastAsia="宋体" w:cs="Times New Roman"/>
                <w:kern w:val="0"/>
                <w:sz w:val="22"/>
              </w:rPr>
              <w:t>802</w:t>
            </w:r>
            <w:r>
              <w:rPr>
                <w:rFonts w:ascii="Times New Roman" w:hAnsi="Times New Roman" w:eastAsia="宋体" w:cs="Times New Roman"/>
                <w:kern w:val="0"/>
                <w:sz w:val="22"/>
              </w:rPr>
              <w:t>R [</w:t>
            </w:r>
            <w:r>
              <w:rPr>
                <w:rFonts w:hint="eastAsia" w:ascii="Times New Roman" w:hAnsi="Times New Roman" w:eastAsia="宋体" w:cs="Times New Roman"/>
                <w:kern w:val="0"/>
                <w:sz w:val="22"/>
              </w:rPr>
              <w:t>3</w:t>
            </w:r>
            <w:r>
              <w:rPr>
                <w:rFonts w:ascii="Times New Roman" w:hAnsi="Times New Roman" w:eastAsia="宋体" w:cs="Times New Roman"/>
                <w:kern w:val="0"/>
                <w:sz w:val="22"/>
              </w:rPr>
              <w:t>]</w:t>
            </w: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CCTAYGGGRBGCASCAG</w:t>
            </w:r>
          </w:p>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TACNVGGGTATCTAATCC</w:t>
            </w:r>
          </w:p>
        </w:tc>
        <w:tc>
          <w:tcPr>
            <w:tcW w:w="3402" w:type="dxa"/>
            <w:tcBorders>
              <w:left w:val="nil"/>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98℃ 10 min, 30 × (98℃ 10 s, 50℃ 15 s, 72℃ 30 s), 72℃ 5 min</w:t>
            </w:r>
          </w:p>
        </w:tc>
      </w:tr>
      <w:tr>
        <w:tblPrEx>
          <w:tblCellMar>
            <w:top w:w="0" w:type="dxa"/>
            <w:left w:w="108" w:type="dxa"/>
            <w:bottom w:w="0" w:type="dxa"/>
            <w:right w:w="108" w:type="dxa"/>
          </w:tblCellMar>
        </w:tblPrEx>
        <w:trPr>
          <w:trHeight w:val="315" w:hRule="atLeast"/>
        </w:trPr>
        <w:tc>
          <w:tcPr>
            <w:tcW w:w="3544"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1276" w:type="dxa"/>
            <w:tcBorders>
              <w:top w:val="nil"/>
              <w:left w:val="nil"/>
              <w:bottom w:val="nil"/>
              <w:right w:val="nil"/>
            </w:tcBorders>
            <w:vAlign w:val="center"/>
          </w:tcPr>
          <w:p>
            <w:pPr>
              <w:widowControl/>
              <w:jc w:val="left"/>
              <w:rPr>
                <w:rFonts w:ascii="Times New Roman" w:hAnsi="Times New Roman" w:eastAsia="宋体" w:cs="Times New Roman"/>
                <w:kern w:val="0"/>
                <w:sz w:val="22"/>
              </w:rPr>
            </w:pPr>
          </w:p>
        </w:tc>
        <w:tc>
          <w:tcPr>
            <w:tcW w:w="212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2"/>
              </w:rPr>
            </w:pPr>
          </w:p>
        </w:tc>
        <w:tc>
          <w:tcPr>
            <w:tcW w:w="3402" w:type="dxa"/>
            <w:tcBorders>
              <w:left w:val="nil"/>
              <w:right w:val="nil"/>
            </w:tcBorders>
            <w:shd w:val="clear" w:color="auto" w:fill="auto"/>
            <w:noWrap/>
            <w:vAlign w:val="center"/>
          </w:tcPr>
          <w:p>
            <w:pPr>
              <w:widowControl/>
              <w:jc w:val="left"/>
              <w:rPr>
                <w:rFonts w:ascii="Times New Roman" w:hAnsi="Times New Roman" w:eastAsia="宋体" w:cs="Times New Roman"/>
                <w:kern w:val="0"/>
                <w:sz w:val="22"/>
              </w:rPr>
            </w:pPr>
          </w:p>
        </w:tc>
      </w:tr>
      <w:tr>
        <w:tblPrEx>
          <w:tblCellMar>
            <w:top w:w="0" w:type="dxa"/>
            <w:left w:w="108" w:type="dxa"/>
            <w:bottom w:w="0" w:type="dxa"/>
            <w:right w:w="108" w:type="dxa"/>
          </w:tblCellMar>
        </w:tblPrEx>
        <w:trPr>
          <w:trHeight w:val="315" w:hRule="atLeast"/>
        </w:trPr>
        <w:tc>
          <w:tcPr>
            <w:tcW w:w="3544" w:type="dxa"/>
            <w:tcBorders>
              <w:top w:val="nil"/>
              <w:left w:val="nil"/>
              <w:bottom w:val="single" w:color="000000" w:sz="8" w:space="0"/>
              <w:right w:val="nil"/>
            </w:tcBorders>
            <w:vAlign w:val="center"/>
          </w:tcPr>
          <w:p>
            <w:pPr>
              <w:widowControl/>
              <w:jc w:val="left"/>
              <w:rPr>
                <w:rFonts w:ascii="Times New Roman" w:hAnsi="Times New Roman" w:eastAsia="宋体" w:cs="Times New Roman"/>
                <w:kern w:val="0"/>
                <w:sz w:val="22"/>
              </w:rPr>
            </w:pPr>
            <w:r>
              <w:rPr>
                <w:rFonts w:hint="eastAsia" w:ascii="Times New Roman" w:hAnsi="Times New Roman" w:eastAsia="宋体" w:cs="Times New Roman"/>
                <w:kern w:val="0"/>
                <w:sz w:val="22"/>
              </w:rPr>
              <w:t xml:space="preserve">16S </w:t>
            </w:r>
            <w:r>
              <w:rPr>
                <w:rFonts w:ascii="Times New Roman" w:hAnsi="Times New Roman" w:eastAsia="宋体" w:cs="Times New Roman"/>
                <w:kern w:val="0"/>
                <w:sz w:val="22"/>
              </w:rPr>
              <w:t xml:space="preserve">rRNA gene </w:t>
            </w:r>
          </w:p>
        </w:tc>
        <w:tc>
          <w:tcPr>
            <w:tcW w:w="1276" w:type="dxa"/>
            <w:tcBorders>
              <w:top w:val="nil"/>
              <w:left w:val="nil"/>
              <w:bottom w:val="single" w:color="000000" w:sz="8" w:space="0"/>
              <w:right w:val="nil"/>
            </w:tcBorders>
            <w:vAlign w:val="center"/>
          </w:tcPr>
          <w:p>
            <w:pPr>
              <w:widowControl/>
              <w:jc w:val="left"/>
              <w:rPr>
                <w:rFonts w:ascii="Times New Roman" w:hAnsi="Times New Roman" w:eastAsia="宋体" w:cs="Times New Roman"/>
                <w:kern w:val="0"/>
                <w:sz w:val="22"/>
              </w:rPr>
            </w:pPr>
            <w:r>
              <w:rPr>
                <w:rFonts w:hint="eastAsia" w:ascii="Times New Roman" w:hAnsi="Times New Roman" w:eastAsia="宋体" w:cs="Times New Roman"/>
                <w:kern w:val="0"/>
                <w:sz w:val="22"/>
              </w:rPr>
              <w:t>16S rRNA</w:t>
            </w:r>
          </w:p>
        </w:tc>
        <w:tc>
          <w:tcPr>
            <w:tcW w:w="2126" w:type="dxa"/>
            <w:tcBorders>
              <w:top w:val="nil"/>
              <w:left w:val="nil"/>
              <w:bottom w:val="single" w:color="auto" w:sz="8"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515F (modified)</w:t>
            </w:r>
          </w:p>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806R (modified) [4]</w:t>
            </w:r>
          </w:p>
        </w:tc>
        <w:tc>
          <w:tcPr>
            <w:tcW w:w="3402" w:type="dxa"/>
            <w:tcBorders>
              <w:top w:val="nil"/>
              <w:left w:val="nil"/>
              <w:bottom w:val="single" w:color="auto" w:sz="8"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GTGYCAGCMGCCGCGGTAA</w:t>
            </w:r>
          </w:p>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GGACTACNVGGGTWTCTAAT</w:t>
            </w:r>
          </w:p>
        </w:tc>
        <w:tc>
          <w:tcPr>
            <w:tcW w:w="3402" w:type="dxa"/>
            <w:tcBorders>
              <w:left w:val="nil"/>
              <w:bottom w:val="single" w:color="auto" w:sz="8" w:space="0"/>
              <w:right w:val="nil"/>
            </w:tcBorders>
            <w:shd w:val="clear" w:color="auto" w:fill="auto"/>
            <w:noWrap/>
            <w:vAlign w:val="center"/>
          </w:tcPr>
          <w:p>
            <w:pPr>
              <w:widowControl/>
              <w:jc w:val="left"/>
              <w:rPr>
                <w:rFonts w:ascii="Times New Roman" w:hAnsi="Times New Roman" w:eastAsia="宋体" w:cs="Times New Roman"/>
                <w:kern w:val="0"/>
                <w:sz w:val="22"/>
              </w:rPr>
            </w:pPr>
            <w:r>
              <w:rPr>
                <w:rFonts w:ascii="Times New Roman" w:hAnsi="Times New Roman" w:eastAsia="宋体" w:cs="Times New Roman"/>
                <w:kern w:val="0"/>
                <w:sz w:val="22"/>
              </w:rPr>
              <w:t>94℃ 3 min, 35 × (94℃ 45 s, 50℃ 60 s, 72℃ 90 s), 72℃ 10 min</w:t>
            </w:r>
          </w:p>
        </w:tc>
      </w:tr>
    </w:tbl>
    <w:p>
      <w:pPr>
        <w:rPr>
          <w:rFonts w:ascii="Times New Roman" w:hAnsi="Times New Roman" w:cs="Times New Roman"/>
          <w:sz w:val="24"/>
        </w:rPr>
      </w:pPr>
      <w:r>
        <w:rPr>
          <w:rFonts w:ascii="Times New Roman" w:hAnsi="Times New Roman" w:cs="Times New Roman"/>
          <w:sz w:val="24"/>
        </w:rPr>
        <w:t xml:space="preserve">3. </w:t>
      </w:r>
      <w:r>
        <w:rPr>
          <w:rFonts w:hint="eastAsia" w:ascii="Times New Roman" w:hAnsi="Times New Roman" w:cs="Times New Roman"/>
          <w:sz w:val="24"/>
          <w:szCs w:val="24"/>
        </w:rPr>
        <w:t xml:space="preserve">Wang Y, Huang JM, Cui GJ, Nunoura T, Takaki Y, Li WL, </w:t>
      </w:r>
      <w:r>
        <w:rPr>
          <w:rFonts w:ascii="Times New Roman" w:hAnsi="Times New Roman" w:cs="Times New Roman"/>
          <w:sz w:val="24"/>
          <w:szCs w:val="24"/>
        </w:rPr>
        <w:t>et al</w:t>
      </w:r>
      <w:r>
        <w:rPr>
          <w:rFonts w:hint="eastAsia" w:ascii="Times New Roman" w:hAnsi="Times New Roman" w:cs="Times New Roman"/>
          <w:sz w:val="24"/>
          <w:szCs w:val="24"/>
        </w:rPr>
        <w:t>. Genomics insights into ecotype formation of ammonia-oxidizing archaea in the deep ocean. Environ Microbiol.</w:t>
      </w:r>
      <w:r>
        <w:rPr>
          <w:rFonts w:ascii="Times New Roman" w:hAnsi="Times New Roman" w:cs="Times New Roman"/>
          <w:sz w:val="24"/>
          <w:szCs w:val="24"/>
        </w:rPr>
        <w:t xml:space="preserve"> </w:t>
      </w:r>
      <w:r>
        <w:rPr>
          <w:rFonts w:hint="eastAsia" w:ascii="Times New Roman" w:hAnsi="Times New Roman" w:cs="Times New Roman"/>
          <w:sz w:val="24"/>
          <w:szCs w:val="24"/>
        </w:rPr>
        <w:t>2019</w:t>
      </w:r>
      <w:r>
        <w:rPr>
          <w:rFonts w:ascii="Times New Roman" w:hAnsi="Times New Roman" w:cs="Times New Roman"/>
          <w:sz w:val="24"/>
          <w:szCs w:val="24"/>
        </w:rPr>
        <w:t>;</w:t>
      </w:r>
      <w:r>
        <w:rPr>
          <w:rFonts w:hint="eastAsia" w:ascii="Times New Roman" w:hAnsi="Times New Roman" w:cs="Times New Roman"/>
          <w:sz w:val="24"/>
          <w:szCs w:val="24"/>
        </w:rPr>
        <w:t xml:space="preserve"> 21:716-729.</w:t>
      </w:r>
    </w:p>
    <w:p>
      <w:pPr>
        <w:rPr>
          <w:rFonts w:ascii="Times New Roman" w:hAnsi="Times New Roman" w:cs="Times New Roman"/>
          <w:sz w:val="24"/>
        </w:rPr>
      </w:pPr>
      <w:r>
        <w:rPr>
          <w:rFonts w:ascii="Times New Roman" w:hAnsi="Times New Roman" w:cs="Times New Roman"/>
          <w:sz w:val="24"/>
        </w:rPr>
        <w:t>4. Walters W, Hyde ER, Berg-Lyons D Ackermann G, Humphrey G, Parada A, et al. Improved bacterial 16S rRNA gene (V4 and V4-5) and fungal internal transcribed spacer marker gene primers for microbial community surveys. Msystems. 2016;1:e00009-15.</w:t>
      </w:r>
    </w:p>
    <w:p>
      <w:pPr>
        <w:rPr>
          <w:rFonts w:ascii="Times New Roman" w:hAnsi="Times New Roman" w:cs="Times New Roman"/>
          <w:b/>
        </w:rPr>
        <w:sectPr>
          <w:pgSz w:w="16838" w:h="11906" w:orient="landscape"/>
          <w:pgMar w:top="1800" w:right="1440" w:bottom="1800" w:left="1440" w:header="851" w:footer="992" w:gutter="0"/>
          <w:cols w:space="425" w:num="1"/>
          <w:docGrid w:type="lines" w:linePitch="312" w:charSpace="0"/>
        </w:sectPr>
      </w:pPr>
    </w:p>
    <w:p>
      <w:pPr>
        <w:rPr>
          <w:rFonts w:ascii="Times New Roman" w:hAnsi="Times New Roman" w:cs="Times New Roman"/>
          <w:sz w:val="24"/>
          <w:szCs w:val="24"/>
        </w:rPr>
      </w:pPr>
      <w:r>
        <w:rPr>
          <w:rFonts w:hint="eastAsia" w:ascii="Times New Roman" w:hAnsi="Times New Roman" w:cs="Times New Roman"/>
          <w:b/>
          <w:sz w:val="24"/>
          <w:szCs w:val="24"/>
        </w:rPr>
        <w:t>T</w:t>
      </w:r>
      <w:r>
        <w:rPr>
          <w:rFonts w:ascii="Times New Roman" w:hAnsi="Times New Roman" w:cs="Times New Roman"/>
          <w:b/>
          <w:sz w:val="24"/>
          <w:szCs w:val="24"/>
        </w:rPr>
        <w:t>able S7</w:t>
      </w:r>
      <w:r>
        <w:rPr>
          <w:rFonts w:ascii="Times New Roman" w:hAnsi="Times New Roman" w:cs="Times New Roman"/>
          <w:sz w:val="24"/>
          <w:szCs w:val="24"/>
        </w:rPr>
        <w:t xml:space="preserve"> 60 ribosomal</w:t>
      </w:r>
      <w:r>
        <w:rPr>
          <w:rFonts w:ascii="Times New Roman" w:hAnsi="Times New Roman" w:cs="Times New Roman"/>
          <w:b/>
          <w:sz w:val="24"/>
          <w:szCs w:val="24"/>
        </w:rPr>
        <w:t xml:space="preserve"> </w:t>
      </w:r>
      <w:r>
        <w:rPr>
          <w:rFonts w:ascii="Times New Roman" w:hAnsi="Times New Roman" w:cs="Times New Roman"/>
          <w:sz w:val="24"/>
          <w:szCs w:val="24"/>
        </w:rPr>
        <w:t>genes chosen in the phylogenetic trees. Multi-copies are marked in red and not used in the phylogenetic tree. The last five ribosome proteins are not ubiquitous in AOA, so they were not chosen while building the tree.</w:t>
      </w:r>
    </w:p>
    <w:p>
      <w:pPr>
        <w:rPr>
          <w:rFonts w:ascii="Times New Roman" w:hAnsi="Times New Roman" w:cs="Times New Roman"/>
          <w:b/>
          <w:sz w:val="24"/>
          <w:szCs w:val="24"/>
        </w:rPr>
      </w:pPr>
      <w:r>
        <w:drawing>
          <wp:inline distT="0" distB="0" distL="0" distR="0">
            <wp:extent cx="8858250" cy="4524375"/>
            <wp:effectExtent l="0" t="0" r="0" b="9525"/>
            <wp:docPr id="9" name="图片 9" descr="figureS_ribosomal_protein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S_ribosomal_proteinlis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8858250" cy="4524375"/>
                    </a:xfrm>
                    <a:prstGeom prst="rect">
                      <a:avLst/>
                    </a:prstGeom>
                    <a:noFill/>
                    <a:ln>
                      <a:noFill/>
                    </a:ln>
                  </pic:spPr>
                </pic:pic>
              </a:graphicData>
            </a:graphic>
          </wp:inline>
        </w:drawing>
      </w:r>
    </w:p>
    <w:p>
      <w:pPr>
        <w:rPr>
          <w:rFonts w:ascii="Times New Roman" w:hAnsi="Times New Roman" w:cs="Times New Roman"/>
          <w:b/>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dvTTb8864ccf.B">
    <w:altName w:val="Times New Roman"/>
    <w:panose1 w:val="00000000000000000000"/>
    <w:charset w:val="00"/>
    <w:family w:val="roman"/>
    <w:pitch w:val="default"/>
    <w:sig w:usb0="00000000" w:usb1="00000000" w:usb2="00000000" w:usb3="00000000" w:csb0="00000000" w:csb1="00000000"/>
  </w:font>
  <w:font w:name="Yu Mincho">
    <w:altName w:val="Yu Gothic UI"/>
    <w:panose1 w:val="02020400000000000000"/>
    <w:charset w:val="80"/>
    <w:family w:val="roman"/>
    <w:pitch w:val="default"/>
    <w:sig w:usb0="00000000" w:usb1="00000000" w:usb2="00000012" w:usb3="00000000" w:csb0="0002009F" w:csb1="00000000"/>
  </w:font>
  <w:font w:name="MS Mincho">
    <w:altName w:val="Yu Gothic UI"/>
    <w:panose1 w:val="02020609040205080304"/>
    <w:charset w:val="80"/>
    <w:family w:val="modern"/>
    <w:pitch w:val="default"/>
    <w:sig w:usb0="00000000" w:usb1="00000000"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393"/>
    <w:rsid w:val="0000030F"/>
    <w:rsid w:val="000006B0"/>
    <w:rsid w:val="00007328"/>
    <w:rsid w:val="00017D2C"/>
    <w:rsid w:val="00045C66"/>
    <w:rsid w:val="00057BE3"/>
    <w:rsid w:val="00062726"/>
    <w:rsid w:val="00074A23"/>
    <w:rsid w:val="00075456"/>
    <w:rsid w:val="000810A9"/>
    <w:rsid w:val="000B608E"/>
    <w:rsid w:val="000C1443"/>
    <w:rsid w:val="000E2908"/>
    <w:rsid w:val="00102E60"/>
    <w:rsid w:val="00103A8E"/>
    <w:rsid w:val="001363E3"/>
    <w:rsid w:val="00137CA4"/>
    <w:rsid w:val="001413D2"/>
    <w:rsid w:val="0014364D"/>
    <w:rsid w:val="0015735C"/>
    <w:rsid w:val="0016030E"/>
    <w:rsid w:val="00172447"/>
    <w:rsid w:val="00181595"/>
    <w:rsid w:val="001B74E1"/>
    <w:rsid w:val="001E55AE"/>
    <w:rsid w:val="001F1563"/>
    <w:rsid w:val="00233E07"/>
    <w:rsid w:val="00234ABC"/>
    <w:rsid w:val="00236357"/>
    <w:rsid w:val="00255172"/>
    <w:rsid w:val="0026582D"/>
    <w:rsid w:val="00276BB3"/>
    <w:rsid w:val="00280F96"/>
    <w:rsid w:val="002B2916"/>
    <w:rsid w:val="002E3170"/>
    <w:rsid w:val="002E4874"/>
    <w:rsid w:val="002E7C3F"/>
    <w:rsid w:val="002F2B11"/>
    <w:rsid w:val="002F7FC4"/>
    <w:rsid w:val="0030542F"/>
    <w:rsid w:val="0033112E"/>
    <w:rsid w:val="00334463"/>
    <w:rsid w:val="0037643F"/>
    <w:rsid w:val="00383014"/>
    <w:rsid w:val="003A2FDF"/>
    <w:rsid w:val="003A5B60"/>
    <w:rsid w:val="003D1D41"/>
    <w:rsid w:val="003E0EF6"/>
    <w:rsid w:val="00414537"/>
    <w:rsid w:val="00446549"/>
    <w:rsid w:val="00462889"/>
    <w:rsid w:val="00463702"/>
    <w:rsid w:val="00466A69"/>
    <w:rsid w:val="00467E57"/>
    <w:rsid w:val="004805AB"/>
    <w:rsid w:val="004817E0"/>
    <w:rsid w:val="004A65A6"/>
    <w:rsid w:val="004E0B81"/>
    <w:rsid w:val="005131DB"/>
    <w:rsid w:val="00513B1B"/>
    <w:rsid w:val="00521B79"/>
    <w:rsid w:val="00542629"/>
    <w:rsid w:val="00564C37"/>
    <w:rsid w:val="005B2404"/>
    <w:rsid w:val="005B754A"/>
    <w:rsid w:val="005D5E4C"/>
    <w:rsid w:val="005E0A8A"/>
    <w:rsid w:val="005E13D4"/>
    <w:rsid w:val="005E3DCE"/>
    <w:rsid w:val="005E4334"/>
    <w:rsid w:val="00611E8C"/>
    <w:rsid w:val="00616D41"/>
    <w:rsid w:val="00622E34"/>
    <w:rsid w:val="00627816"/>
    <w:rsid w:val="00641E9D"/>
    <w:rsid w:val="006526F5"/>
    <w:rsid w:val="006541F3"/>
    <w:rsid w:val="00696242"/>
    <w:rsid w:val="006A0D76"/>
    <w:rsid w:val="006B19F9"/>
    <w:rsid w:val="006B5182"/>
    <w:rsid w:val="006B5DAD"/>
    <w:rsid w:val="006C1248"/>
    <w:rsid w:val="006C6130"/>
    <w:rsid w:val="006C7A83"/>
    <w:rsid w:val="006C7EDB"/>
    <w:rsid w:val="006D58C2"/>
    <w:rsid w:val="006D7243"/>
    <w:rsid w:val="006F15F5"/>
    <w:rsid w:val="0070135F"/>
    <w:rsid w:val="0071419E"/>
    <w:rsid w:val="00722DD5"/>
    <w:rsid w:val="00734308"/>
    <w:rsid w:val="007376D9"/>
    <w:rsid w:val="00741911"/>
    <w:rsid w:val="00746ADD"/>
    <w:rsid w:val="007535E1"/>
    <w:rsid w:val="0078086B"/>
    <w:rsid w:val="00791ADA"/>
    <w:rsid w:val="00796112"/>
    <w:rsid w:val="007A00F7"/>
    <w:rsid w:val="007C2401"/>
    <w:rsid w:val="007C2791"/>
    <w:rsid w:val="007C3642"/>
    <w:rsid w:val="007C5C6A"/>
    <w:rsid w:val="007D025B"/>
    <w:rsid w:val="007D07E5"/>
    <w:rsid w:val="007F4BC4"/>
    <w:rsid w:val="00801EBF"/>
    <w:rsid w:val="00810998"/>
    <w:rsid w:val="00837267"/>
    <w:rsid w:val="00843B78"/>
    <w:rsid w:val="00856B4E"/>
    <w:rsid w:val="00860F0C"/>
    <w:rsid w:val="008846D8"/>
    <w:rsid w:val="008A202D"/>
    <w:rsid w:val="008C064C"/>
    <w:rsid w:val="008C39A1"/>
    <w:rsid w:val="008E76B0"/>
    <w:rsid w:val="008F221B"/>
    <w:rsid w:val="008F56B2"/>
    <w:rsid w:val="008F63C7"/>
    <w:rsid w:val="008F731B"/>
    <w:rsid w:val="00902B78"/>
    <w:rsid w:val="00911181"/>
    <w:rsid w:val="009223F0"/>
    <w:rsid w:val="0093563B"/>
    <w:rsid w:val="00974BA0"/>
    <w:rsid w:val="009848AA"/>
    <w:rsid w:val="009B52DF"/>
    <w:rsid w:val="009F7FA3"/>
    <w:rsid w:val="00A221F0"/>
    <w:rsid w:val="00A40CC8"/>
    <w:rsid w:val="00A476DC"/>
    <w:rsid w:val="00A508B1"/>
    <w:rsid w:val="00A542AC"/>
    <w:rsid w:val="00A54F2E"/>
    <w:rsid w:val="00A653C0"/>
    <w:rsid w:val="00A66A82"/>
    <w:rsid w:val="00A71A58"/>
    <w:rsid w:val="00A77DF8"/>
    <w:rsid w:val="00A96BA7"/>
    <w:rsid w:val="00AC1526"/>
    <w:rsid w:val="00AD6BF2"/>
    <w:rsid w:val="00AE17CE"/>
    <w:rsid w:val="00AE76D9"/>
    <w:rsid w:val="00AF78D7"/>
    <w:rsid w:val="00B1124E"/>
    <w:rsid w:val="00B1293E"/>
    <w:rsid w:val="00B22033"/>
    <w:rsid w:val="00B51173"/>
    <w:rsid w:val="00B60FD5"/>
    <w:rsid w:val="00B61DBA"/>
    <w:rsid w:val="00B62DA7"/>
    <w:rsid w:val="00BA2BDD"/>
    <w:rsid w:val="00BA32C4"/>
    <w:rsid w:val="00BB0AA8"/>
    <w:rsid w:val="00BB68B5"/>
    <w:rsid w:val="00BF1574"/>
    <w:rsid w:val="00BF46EA"/>
    <w:rsid w:val="00C01C66"/>
    <w:rsid w:val="00C11983"/>
    <w:rsid w:val="00C12A85"/>
    <w:rsid w:val="00C5358D"/>
    <w:rsid w:val="00C91735"/>
    <w:rsid w:val="00CA570A"/>
    <w:rsid w:val="00CB0957"/>
    <w:rsid w:val="00CF05DB"/>
    <w:rsid w:val="00D0114C"/>
    <w:rsid w:val="00D138F0"/>
    <w:rsid w:val="00D37954"/>
    <w:rsid w:val="00D474CA"/>
    <w:rsid w:val="00D47A62"/>
    <w:rsid w:val="00D7312F"/>
    <w:rsid w:val="00DA612A"/>
    <w:rsid w:val="00DC0872"/>
    <w:rsid w:val="00DC7656"/>
    <w:rsid w:val="00DE53D3"/>
    <w:rsid w:val="00DF530B"/>
    <w:rsid w:val="00E3423A"/>
    <w:rsid w:val="00E52BF4"/>
    <w:rsid w:val="00E67B1E"/>
    <w:rsid w:val="00EA39DE"/>
    <w:rsid w:val="00EB1FB6"/>
    <w:rsid w:val="00EB5924"/>
    <w:rsid w:val="00EB776B"/>
    <w:rsid w:val="00EB7BA0"/>
    <w:rsid w:val="00ED50CC"/>
    <w:rsid w:val="00EF3393"/>
    <w:rsid w:val="00F10CD9"/>
    <w:rsid w:val="00F710C0"/>
    <w:rsid w:val="00F948A1"/>
    <w:rsid w:val="00FA42CC"/>
    <w:rsid w:val="00FA7C05"/>
    <w:rsid w:val="00FB36C6"/>
    <w:rsid w:val="00FB3D88"/>
    <w:rsid w:val="00FC4679"/>
    <w:rsid w:val="00FD15A5"/>
    <w:rsid w:val="5C074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uiPriority w:val="99"/>
    <w:pPr>
      <w:jc w:val="left"/>
    </w:pPr>
  </w:style>
  <w:style w:type="paragraph" w:styleId="3">
    <w:name w:val="Balloon Text"/>
    <w:basedOn w:val="1"/>
    <w:link w:val="19"/>
    <w:semiHidden/>
    <w:unhideWhenUsed/>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uiPriority w:val="99"/>
    <w:rPr>
      <w:b/>
      <w:bCs/>
    </w:rPr>
  </w:style>
  <w:style w:type="table" w:styleId="8">
    <w:name w:val="Table Grid"/>
    <w:basedOn w:val="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line number"/>
    <w:basedOn w:val="9"/>
    <w:semiHidden/>
    <w:unhideWhenUsed/>
    <w:uiPriority w:val="99"/>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styleId="12">
    <w:name w:val="annotation reference"/>
    <w:basedOn w:val="9"/>
    <w:semiHidden/>
    <w:unhideWhenUsed/>
    <w:uiPriority w:val="99"/>
    <w:rPr>
      <w:sz w:val="21"/>
      <w:szCs w:val="21"/>
    </w:rPr>
  </w:style>
  <w:style w:type="character" w:customStyle="1" w:styleId="13">
    <w:name w:val="页眉 Char"/>
    <w:basedOn w:val="9"/>
    <w:link w:val="5"/>
    <w:uiPriority w:val="99"/>
    <w:rPr>
      <w:sz w:val="18"/>
      <w:szCs w:val="18"/>
    </w:rPr>
  </w:style>
  <w:style w:type="character" w:customStyle="1" w:styleId="14">
    <w:name w:val="页脚 Char"/>
    <w:basedOn w:val="9"/>
    <w:link w:val="4"/>
    <w:uiPriority w:val="99"/>
    <w:rPr>
      <w:sz w:val="18"/>
      <w:szCs w:val="18"/>
    </w:rPr>
  </w:style>
  <w:style w:type="character" w:customStyle="1" w:styleId="15">
    <w:name w:val="fontstyle01"/>
    <w:basedOn w:val="9"/>
    <w:qFormat/>
    <w:uiPriority w:val="0"/>
    <w:rPr>
      <w:rFonts w:hint="default" w:ascii="AdvTTb8864ccf.B" w:hAnsi="AdvTTb8864ccf.B"/>
      <w:color w:val="131413"/>
      <w:sz w:val="20"/>
      <w:szCs w:val="20"/>
    </w:rPr>
  </w:style>
  <w:style w:type="paragraph" w:styleId="16">
    <w:name w:val="List Paragraph"/>
    <w:basedOn w:val="1"/>
    <w:qFormat/>
    <w:uiPriority w:val="34"/>
    <w:pPr>
      <w:ind w:firstLine="420" w:firstLineChars="200"/>
    </w:pPr>
  </w:style>
  <w:style w:type="character" w:customStyle="1" w:styleId="17">
    <w:name w:val="批注文字 Char"/>
    <w:basedOn w:val="9"/>
    <w:link w:val="2"/>
    <w:semiHidden/>
    <w:uiPriority w:val="99"/>
  </w:style>
  <w:style w:type="character" w:customStyle="1" w:styleId="18">
    <w:name w:val="批注主题 Char"/>
    <w:basedOn w:val="17"/>
    <w:link w:val="6"/>
    <w:semiHidden/>
    <w:uiPriority w:val="99"/>
    <w:rPr>
      <w:b/>
      <w:bCs/>
    </w:rPr>
  </w:style>
  <w:style w:type="character" w:customStyle="1" w:styleId="19">
    <w:name w:val="批注框文本 Char"/>
    <w:basedOn w:val="9"/>
    <w:link w:val="3"/>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C6F714-AF78-4732-8FAC-81DAA33F894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2719</Words>
  <Characters>15501</Characters>
  <Lines>129</Lines>
  <Paragraphs>36</Paragraphs>
  <TotalTime>0</TotalTime>
  <ScaleCrop>false</ScaleCrop>
  <LinksUpToDate>false</LinksUpToDate>
  <CharactersWithSpaces>18184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2020-02-26T12:19:00Z</dcterms:created>
  <dc:creator>Administrator</dc:creator>
  <cp:lastModifiedBy>张晓华</cp:lastModifiedBy>
  <cp:lastPrinted>2019-05-06T13:49:00Z</cp:lastPrinted>
  <dcterms:modified xsi:type="dcterms:W3CDTF">2020-02-27T11:53:26Z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