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等线"/>
        </w:rPr>
      </w:pPr>
      <w:bookmarkStart w:id="5" w:name="_GoBack"/>
      <w:bookmarkEnd w:id="5"/>
      <w:bookmarkStart w:id="0" w:name="_Hlk96671366"/>
      <w:r>
        <w:rPr>
          <w:rFonts w:ascii="Times New Roman" w:hAnsi="Times New Roman" w:eastAsia="等线"/>
        </w:rPr>
        <w:t>Supplemental</w:t>
      </w:r>
      <w:bookmarkEnd w:id="0"/>
      <w:r>
        <w:rPr>
          <w:rFonts w:ascii="Times New Roman" w:hAnsi="Times New Roman" w:eastAsia="等线"/>
        </w:rPr>
        <w:t xml:space="preserve"> Table 1. </w:t>
      </w:r>
      <w:bookmarkStart w:id="1" w:name="_Hlk81254023"/>
      <w:r>
        <w:rPr>
          <w:rFonts w:ascii="Times New Roman" w:hAnsi="Times New Roman" w:eastAsia="等线"/>
        </w:rPr>
        <w:t xml:space="preserve">Demographic and clinical characteristics </w:t>
      </w:r>
      <w:bookmarkEnd w:id="1"/>
      <w:r>
        <w:rPr>
          <w:rFonts w:ascii="Times New Roman" w:hAnsi="Times New Roman" w:eastAsia="等线"/>
        </w:rPr>
        <w:t>of the patients enrolled in this study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843"/>
        <w:gridCol w:w="1984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等线"/>
                <w:b/>
                <w:bCs/>
                <w:kern w:val="0"/>
                <w:sz w:val="20"/>
              </w:rPr>
              <w:t>Variables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等线"/>
                <w:b/>
                <w:bCs/>
                <w:kern w:val="0"/>
                <w:sz w:val="20"/>
              </w:rPr>
              <w:t>Training set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等线"/>
                <w:b/>
                <w:bCs/>
                <w:kern w:val="0"/>
                <w:sz w:val="20"/>
              </w:rPr>
              <w:t>(TCGA)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等线"/>
                <w:b/>
                <w:bCs/>
                <w:kern w:val="0"/>
                <w:sz w:val="20"/>
              </w:rPr>
              <w:t>Validation set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等线" w:hAnsi="等线" w:eastAsia="等线"/>
                <w:b/>
                <w:bCs/>
                <w:kern w:val="0"/>
                <w:sz w:val="20"/>
              </w:rPr>
              <w:t>（</w:t>
            </w: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t>GSE39582</w:t>
            </w:r>
            <w:r>
              <w:rPr>
                <w:rFonts w:ascii="等线" w:hAnsi="等线" w:eastAsia="等线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24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等线"/>
                <w:b/>
                <w:bCs/>
                <w:kern w:val="0"/>
                <w:sz w:val="20"/>
              </w:rPr>
              <w:t>Validation set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等线"/>
                <w:b/>
                <w:bCs/>
                <w:kern w:val="0"/>
                <w:sz w:val="20"/>
              </w:rPr>
            </w:pPr>
            <w:r>
              <w:rPr>
                <w:rFonts w:ascii="等线" w:hAnsi="等线" w:eastAsia="等线"/>
                <w:b/>
                <w:bCs/>
                <w:kern w:val="0"/>
                <w:sz w:val="20"/>
              </w:rPr>
              <w:t>（</w:t>
            </w: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t>GSE17536</w:t>
            </w:r>
            <w:r>
              <w:rPr>
                <w:rFonts w:ascii="宋体" w:hAnsi="宋体"/>
                <w:b/>
                <w:bCs/>
                <w:kern w:val="0"/>
                <w:sz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</w:rPr>
              <w:t>N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365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518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</w:rPr>
              <w:t>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66.76±12.67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67.54±13.00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65.69±13.64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</w:rPr>
              <w:t>Gender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172(47.1)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233(45.0)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67(48.6)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193(52.9)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285(55.0)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71(51.4)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</w:rPr>
              <w:t xml:space="preserve">TNM </w:t>
            </w:r>
            <w:r>
              <w:rPr>
                <w:rFonts w:ascii="Times New Roman" w:hAnsi="Times New Roman"/>
                <w:b/>
                <w:kern w:val="0"/>
                <w:sz w:val="20"/>
              </w:rPr>
              <w:t>classification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Stage Ⅰ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75(20.5)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377(7.1)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24(17.4)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/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Stage Ⅱ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/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166(45.5)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/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271(52.3)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/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57(41.3)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Stage Ⅲ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124(34.0)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210(40.4)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57(41.3)</w:t>
            </w:r>
          </w:p>
        </w:tc>
      </w:tr>
    </w:tbl>
    <w:p>
      <w:pPr>
        <w:widowControl/>
        <w:jc w:val="left"/>
        <w:rPr>
          <w:rFonts w:ascii="Times New Roman" w:hAnsi="Times New Roman" w:eastAsia="等线"/>
        </w:rPr>
      </w:pPr>
      <w:r>
        <w:rPr>
          <w:rFonts w:ascii="Times New Roman" w:hAnsi="Times New Roman" w:eastAsia="等线"/>
        </w:rPr>
        <w:br w:type="page"/>
      </w:r>
    </w:p>
    <w:p>
      <w:pPr>
        <w:spacing w:line="360" w:lineRule="auto"/>
        <w:rPr>
          <w:rFonts w:ascii="Times New Roman" w:hAnsi="Times New Roman" w:eastAsia="等线"/>
        </w:rPr>
      </w:pPr>
      <w:r>
        <w:rPr>
          <w:rFonts w:ascii="Times New Roman" w:hAnsi="Times New Roman" w:eastAsia="等线"/>
        </w:rPr>
        <w:t>Supplemental Table 2. ERGs identified by Limma</w:t>
      </w:r>
    </w:p>
    <w:tbl>
      <w:tblPr>
        <w:tblStyle w:val="5"/>
        <w:tblW w:w="836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842"/>
        <w:gridCol w:w="1843"/>
        <w:gridCol w:w="255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0"/>
              </w:rPr>
              <w:t>G</w:t>
            </w: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t>ene</w:t>
            </w:r>
            <w:r>
              <w:rPr>
                <w:rFonts w:hint="eastAsia" w:ascii="Times New Roman" w:hAnsi="Times New Roman"/>
                <w:b/>
                <w:bCs/>
                <w:kern w:val="0"/>
                <w:sz w:val="20"/>
              </w:rPr>
              <w:t>s</w:t>
            </w:r>
          </w:p>
        </w:tc>
        <w:tc>
          <w:tcPr>
            <w:tcW w:w="184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Log FC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255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Groups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MTHFD1L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2.0267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IL6R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-2.2235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TRIP13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1.8758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ABI3BP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-1.7183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GTF2IRD1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1.8035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NAAA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-1.8317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PDE9A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-2.2693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FABP2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-2.7831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MYC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1.9318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PLAC8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-3.1313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RHPN1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2.0036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HIGD1A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-1.6099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SNCG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-1.5223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MSX2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2.2553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PRKACB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-1.9820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MYO1A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-2.0148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RECQL4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1.6935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FGFRL1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1.7754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MLXIPL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2.0506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ASCL2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3.1091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RNF43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1.9903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PIGZ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-1.7948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NKD2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2.1978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SLC12A2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1.5275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B3GNT6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-2.6165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PTP4A3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1.7910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AXIN2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1.9293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PPP1R14D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-1.7182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NKD1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2.0226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HOXB8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1.8847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PHGR1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-2.1725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C10orf99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-2.7400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AREG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1.7759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ST6GALNAC1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-1.6567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SLC39A5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-1.6626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EREG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1.7046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up</w:t>
            </w:r>
          </w:p>
        </w:tc>
      </w:tr>
    </w:tbl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Supplemental Table 3. </w:t>
      </w:r>
      <w:r>
        <w:rPr>
          <w:rFonts w:ascii="Times New Roman" w:hAnsi="Times New Roman" w:eastAsia="等线"/>
          <w:sz w:val="24"/>
          <w:szCs w:val="24"/>
          <w:lang w:bidi="ar"/>
        </w:rPr>
        <w:t xml:space="preserve">Characteristics </w:t>
      </w:r>
      <w:r>
        <w:rPr>
          <w:rFonts w:ascii="Times New Roman" w:hAnsi="Times New Roman"/>
          <w:sz w:val="24"/>
          <w:szCs w:val="24"/>
        </w:rPr>
        <w:t>of the ERGs related to diagnosis and their coefficients</w:t>
      </w:r>
    </w:p>
    <w:tbl>
      <w:tblPr>
        <w:tblStyle w:val="4"/>
        <w:tblW w:w="893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992"/>
        <w:gridCol w:w="1134"/>
        <w:gridCol w:w="1134"/>
        <w:gridCol w:w="1276"/>
        <w:gridCol w:w="241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985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bookmarkStart w:id="2" w:name="OLE_LINK2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Variables</w:t>
            </w:r>
            <w:bookmarkEnd w:id="2"/>
          </w:p>
        </w:tc>
        <w:tc>
          <w:tcPr>
            <w:tcW w:w="992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  <w:drawing>
                <wp:inline distT="0" distB="0" distL="0" distR="0">
                  <wp:extent cx="152400" cy="203200"/>
                  <wp:effectExtent l="0" t="0" r="0" b="6350"/>
                  <wp:docPr id="32" name="图片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  <w:drawing>
                <wp:inline distT="0" distB="0" distL="0" distR="0">
                  <wp:extent cx="228600" cy="177800"/>
                  <wp:effectExtent l="0" t="0" r="0" b="0"/>
                  <wp:docPr id="31" name="图片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  <w:drawing>
                <wp:inline distT="0" distB="0" distL="0" distR="0">
                  <wp:extent cx="368300" cy="177800"/>
                  <wp:effectExtent l="0" t="0" r="0" b="0"/>
                  <wp:docPr id="30" name="图片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drawing>
                <wp:inline distT="0" distB="0" distL="0" distR="0">
                  <wp:extent cx="152400" cy="165100"/>
                  <wp:effectExtent l="0" t="0" r="0" b="6350"/>
                  <wp:docPr id="29" name="图片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position w:val="-10"/>
              </w:rPr>
              <w:object>
                <v:shape id="_x0000_i1025" o:spt="75" type="#_x0000_t75" style="height:15pt;width:63.05pt;" o:ole="t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  <o:OLEObject Type="Embed" ProgID="Equation.DSMT4" ShapeID="_x0000_i1025" DrawAspect="Content" ObjectID="_1468075725" r:id="rId9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985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992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-6.5112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1.249</w:t>
            </w: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7.1437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&lt;.0001</w:t>
            </w:r>
          </w:p>
        </w:tc>
        <w:tc>
          <w:tcPr>
            <w:tcW w:w="2410" w:type="dxa"/>
            <w:tcBorders>
              <w:top w:val="single" w:color="auto" w:sz="4" w:space="0"/>
            </w:tcBorders>
            <w:shd w:val="clear" w:color="auto" w:fill="FFFFFF"/>
            <w:tcMar>
              <w:left w:w="96" w:type="dxa"/>
              <w:right w:w="96" w:type="dxa"/>
            </w:tcMar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85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lef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SLC12A2</w:t>
            </w:r>
          </w:p>
        </w:tc>
        <w:tc>
          <w:tcPr>
            <w:tcW w:w="992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1.3003</w:t>
            </w:r>
          </w:p>
        </w:tc>
        <w:tc>
          <w:tcPr>
            <w:tcW w:w="1134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0.2660</w:t>
            </w:r>
          </w:p>
        </w:tc>
        <w:tc>
          <w:tcPr>
            <w:tcW w:w="1134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23.9027</w:t>
            </w:r>
          </w:p>
        </w:tc>
        <w:tc>
          <w:tcPr>
            <w:tcW w:w="1276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&lt;.0001</w:t>
            </w:r>
          </w:p>
        </w:tc>
        <w:tc>
          <w:tcPr>
            <w:tcW w:w="2410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3.670(2.179-6.181)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85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lef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AXIN2</w:t>
            </w:r>
          </w:p>
        </w:tc>
        <w:tc>
          <w:tcPr>
            <w:tcW w:w="992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0.7520</w:t>
            </w:r>
          </w:p>
        </w:tc>
        <w:tc>
          <w:tcPr>
            <w:tcW w:w="1134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0.1952</w:t>
            </w:r>
          </w:p>
        </w:tc>
        <w:tc>
          <w:tcPr>
            <w:tcW w:w="1134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14.8351</w:t>
            </w:r>
          </w:p>
        </w:tc>
        <w:tc>
          <w:tcPr>
            <w:tcW w:w="1276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2410" w:type="dxa"/>
            <w:shd w:val="clear" w:color="auto" w:fill="FFFFFF"/>
            <w:tcMar>
              <w:left w:w="96" w:type="dxa"/>
              <w:right w:w="96" w:type="dxa"/>
            </w:tcMar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2.121(1.447-3.110)</w:t>
            </w:r>
          </w:p>
        </w:tc>
      </w:tr>
    </w:tbl>
    <w:p>
      <w:pPr>
        <w:rPr>
          <w:rFonts w:ascii="Times New Roman" w:hAnsi="Times New Roman"/>
        </w:rPr>
      </w:pPr>
    </w:p>
    <w:p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Supplemental Table 4 The correlation between enhancers and candidate ERGs</w:t>
      </w:r>
    </w:p>
    <w:tbl>
      <w:tblPr>
        <w:tblStyle w:val="5"/>
        <w:tblW w:w="1020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851"/>
        <w:gridCol w:w="1276"/>
        <w:gridCol w:w="993"/>
        <w:gridCol w:w="2413"/>
        <w:gridCol w:w="851"/>
        <w:gridCol w:w="851"/>
        <w:gridCol w:w="169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pStyle w:val="9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enes</w:t>
            </w:r>
          </w:p>
        </w:tc>
        <w:tc>
          <w:tcPr>
            <w:tcW w:w="3120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/>
                <w:b/>
                <w:bCs/>
                <w:kern w:val="0"/>
                <w:position w:val="-1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Univariate Cox analysis</w:t>
            </w:r>
          </w:p>
        </w:tc>
        <w:tc>
          <w:tcPr>
            <w:tcW w:w="5811" w:type="dxa"/>
            <w:gridSpan w:val="4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Spearman’s correlation test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R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  <w:t>5%CI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position w:val="-10"/>
                <w:sz w:val="20"/>
              </w:rPr>
              <w:drawing>
                <wp:inline distT="0" distB="0" distL="0" distR="0">
                  <wp:extent cx="152400" cy="1619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value</w:t>
            </w:r>
          </w:p>
        </w:tc>
        <w:tc>
          <w:tcPr>
            <w:tcW w:w="2413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eRNA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</w:rPr>
              <w:t>s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Cor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t>Tissue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  <w:t>Gene type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DCST2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2.661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1.166-6.076</w:t>
            </w:r>
          </w:p>
        </w:tc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41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ENSR00000014087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0.552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1:155003728-155009728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0.367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DNAJC15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0.503–0.961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ENSR00000061967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0.398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ENSR00000061968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0.401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13:43058818-43064818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0.393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PCCA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0.573-0.988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ENSR00000065185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0.740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COAD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READ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Specific 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ZNF160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1.130-2.812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ENSR00000111307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0.477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19:52622405-52628405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0.509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19:52623389-52629389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0.490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 w:val="20"/>
              </w:rPr>
              <w:t>LCB4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0.840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0.714-0.990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ENSR00000134462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0.920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COAD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READ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ENSR00000134475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0.907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COAD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READ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specfic 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ZMIZ2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1.582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1.015-2.465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ENSR00000211831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0.408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seRNA-regulated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ENSR00000211832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0.400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SMARCD3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1.112-3.698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bookmarkStart w:id="3" w:name="OLE_LINK1"/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ENSR00000329061</w:t>
            </w:r>
            <w:bookmarkEnd w:id="3"/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0.443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other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ZNF467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1.257-2.984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ENSR00000329061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0.451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other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EPPK1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0.430-0.975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ENSR00000333971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0.449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other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ATP2A1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1.522-4.829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ENSR00000085043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0.406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other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ABCG1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1.485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1.042-2.115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ENSR00000142710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0.800</w:t>
            </w:r>
            <w:r>
              <w:rPr>
                <w:rFonts w:ascii="Times New Roman" w:hAnsi="Times New Roman"/>
                <w:color w:val="000000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multi-tumors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other</w:t>
            </w:r>
          </w:p>
        </w:tc>
      </w:tr>
    </w:tbl>
    <w:p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Supplemental Table 5. Univariate and multivariate analysis of clinical information and prognosis score</w:t>
      </w:r>
    </w:p>
    <w:tbl>
      <w:tblPr>
        <w:tblStyle w:val="5"/>
        <w:tblW w:w="850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282"/>
        <w:gridCol w:w="2116"/>
        <w:gridCol w:w="1134"/>
        <w:gridCol w:w="212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42" w:type="dxa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398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Univariate analysis</w:t>
            </w:r>
          </w:p>
        </w:tc>
        <w:tc>
          <w:tcPr>
            <w:tcW w:w="3260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Multivariate analysis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42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</w:p>
        </w:tc>
        <w:tc>
          <w:tcPr>
            <w:tcW w:w="12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Times New Roman"/>
                <w:b/>
                <w:bCs/>
                <w:color w:val="000000"/>
                <w:kern w:val="0"/>
                <w:sz w:val="20"/>
              </w:rPr>
              <w:drawing>
                <wp:inline distT="0" distB="0" distL="114300" distR="114300">
                  <wp:extent cx="151765" cy="202565"/>
                  <wp:effectExtent l="0" t="0" r="635" b="11430"/>
                  <wp:docPr id="43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" cy="20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object>
                <v:shape id="_x0000_i1026" o:spt="75" type="#_x0000_t75" style="height:13.25pt;width:52.4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t"/>
                  <w10:wrap type="none"/>
                  <w10:anchorlock/>
                </v:shape>
                <o:OLEObject Type="Embed" ProgID="Unknown" ShapeID="_x0000_i1026" DrawAspect="Content" ObjectID="_1468075726" r:id="rId12">
                  <o:LockedField>false</o:LockedField>
                </o:OLEObject>
              </w:objec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Times New Roman"/>
                <w:b/>
                <w:bCs/>
                <w:color w:val="000000"/>
                <w:kern w:val="0"/>
                <w:sz w:val="20"/>
              </w:rPr>
              <w:drawing>
                <wp:inline distT="0" distB="0" distL="114300" distR="114300">
                  <wp:extent cx="151765" cy="202565"/>
                  <wp:effectExtent l="0" t="0" r="635" b="11430"/>
                  <wp:docPr id="44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" cy="20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object>
                <v:shape id="_x0000_i1027" o:spt="75" type="#_x0000_t75" style="height:13.25pt;width:52.4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t"/>
                  <w10:wrap type="none"/>
                  <w10:anchorlock/>
                </v:shape>
                <o:OLEObject Type="Embed" ProgID="Unknown" ShapeID="_x0000_i1027" DrawAspect="Content" ObjectID="_1468075727" r:id="rId14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28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0.14810</w:t>
            </w:r>
          </w:p>
        </w:tc>
        <w:tc>
          <w:tcPr>
            <w:tcW w:w="211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1.160(0.687-1.957)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0.02375</w:t>
            </w:r>
          </w:p>
        </w:tc>
        <w:tc>
          <w:tcPr>
            <w:tcW w:w="211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1.024(1.000-1.048)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0.01758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1.018(0.995-1.041)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TNM classification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0.73530</w:t>
            </w:r>
          </w:p>
        </w:tc>
        <w:tc>
          <w:tcPr>
            <w:tcW w:w="211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2.086(1.364-3.192)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0.60521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1.832(1.174-2.857)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Prognostic score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1.12730</w:t>
            </w:r>
          </w:p>
        </w:tc>
        <w:tc>
          <w:tcPr>
            <w:tcW w:w="211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3.087(2.250-4.237)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1.00360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before="96" w:after="96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  <w:t>2.728(1.948-3.821)</w:t>
            </w:r>
          </w:p>
        </w:tc>
      </w:tr>
    </w:tbl>
    <w:p/>
    <w:p>
      <w:pPr>
        <w:widowControl/>
        <w:jc w:val="left"/>
      </w:pPr>
      <w:r>
        <w:br w:type="page"/>
      </w:r>
    </w:p>
    <w:p>
      <w:r>
        <w:drawing>
          <wp:inline distT="0" distB="0" distL="0" distR="0">
            <wp:extent cx="5274310" cy="21990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/>
          <w:sz w:val="24"/>
          <w:szCs w:val="24"/>
        </w:rPr>
      </w:pPr>
      <w:r>
        <w:rPr>
          <w:rFonts w:hint="eastAsia" w:ascii="Times New Roman" w:hAnsi="Times New Roman" w:eastAsia="等线"/>
          <w:sz w:val="24"/>
          <w:szCs w:val="24"/>
        </w:rPr>
        <w:t>F</w:t>
      </w:r>
      <w:r>
        <w:rPr>
          <w:rFonts w:ascii="Times New Roman" w:hAnsi="Times New Roman" w:eastAsia="等线"/>
          <w:sz w:val="24"/>
          <w:szCs w:val="24"/>
        </w:rPr>
        <w:t>igure S1. Lasso variables screening process.</w:t>
      </w:r>
    </w:p>
    <w:p>
      <w:pPr>
        <w:widowControl/>
        <w:jc w:val="left"/>
      </w:pPr>
      <w:r>
        <w:br w:type="page"/>
      </w:r>
    </w:p>
    <w:p>
      <w:r>
        <w:rPr>
          <w:rFonts w:hint="eastAsia"/>
        </w:rPr>
        <w:drawing>
          <wp:inline distT="0" distB="0" distL="0" distR="0">
            <wp:extent cx="5274310" cy="61785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7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/>
          <w:sz w:val="24"/>
          <w:szCs w:val="24"/>
        </w:rPr>
      </w:pPr>
      <w:bookmarkStart w:id="4" w:name="_Hlk88856586"/>
      <w:r>
        <w:rPr>
          <w:rFonts w:hint="eastAsia" w:ascii="Times New Roman" w:hAnsi="Times New Roman" w:eastAsia="等线"/>
          <w:sz w:val="24"/>
          <w:szCs w:val="24"/>
        </w:rPr>
        <w:t>F</w:t>
      </w:r>
      <w:r>
        <w:rPr>
          <w:rFonts w:ascii="Times New Roman" w:hAnsi="Times New Roman" w:eastAsia="等线"/>
          <w:sz w:val="24"/>
          <w:szCs w:val="24"/>
        </w:rPr>
        <w:t>igure S2. P</w:t>
      </w:r>
      <w:r>
        <w:rPr>
          <w:rFonts w:hint="eastAsia" w:ascii="Times New Roman" w:hAnsi="Times New Roman" w:eastAsia="等线"/>
          <w:sz w:val="24"/>
          <w:szCs w:val="24"/>
        </w:rPr>
        <w:t>lot</w:t>
      </w:r>
      <w:r>
        <w:rPr>
          <w:rFonts w:ascii="Times New Roman" w:hAnsi="Times New Roman" w:eastAsia="等线"/>
          <w:sz w:val="24"/>
          <w:szCs w:val="24"/>
        </w:rPr>
        <w:t xml:space="preserve"> of the global PH assumption tests</w:t>
      </w:r>
      <w:bookmarkEnd w:id="4"/>
      <w:r>
        <w:rPr>
          <w:rFonts w:hint="eastAsia" w:ascii="Times New Roman" w:hAnsi="Times New Roman" w:eastAsia="等线"/>
          <w:sz w:val="24"/>
          <w:szCs w:val="24"/>
        </w:rPr>
        <w:t>.</w:t>
      </w:r>
    </w:p>
    <w:p>
      <w:pPr>
        <w:widowControl/>
        <w:jc w:val="left"/>
        <w:rPr>
          <w:rFonts w:ascii="Times New Roman" w:hAnsi="Times New Roman" w:eastAsia="等线"/>
          <w:sz w:val="24"/>
          <w:szCs w:val="24"/>
        </w:rPr>
      </w:pPr>
      <w:r>
        <w:rPr>
          <w:rFonts w:ascii="Times New Roman" w:hAnsi="Times New Roman" w:eastAsia="等线"/>
          <w:sz w:val="24"/>
          <w:szCs w:val="24"/>
        </w:rPr>
        <w:br w:type="page"/>
      </w:r>
    </w:p>
    <w:p>
      <w:pPr>
        <w:rPr>
          <w:rFonts w:ascii="Times New Roman" w:hAnsi="Times New Roman" w:eastAsia="等线"/>
          <w:sz w:val="24"/>
          <w:szCs w:val="24"/>
        </w:rPr>
      </w:pPr>
      <w:r>
        <w:rPr>
          <w:rFonts w:hint="eastAsia" w:ascii="Times New Roman" w:hAnsi="Times New Roman" w:eastAsia="等线"/>
          <w:sz w:val="24"/>
          <w:szCs w:val="24"/>
        </w:rPr>
        <w:drawing>
          <wp:inline distT="0" distB="0" distL="0" distR="0">
            <wp:extent cx="5274310" cy="4528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等线"/>
          <w:sz w:val="24"/>
          <w:szCs w:val="24"/>
        </w:rPr>
      </w:pPr>
      <w:r>
        <w:rPr>
          <w:rFonts w:hint="eastAsia" w:ascii="Times New Roman" w:hAnsi="Times New Roman" w:eastAsia="等线"/>
          <w:sz w:val="24"/>
          <w:szCs w:val="24"/>
        </w:rPr>
        <w:t>F</w:t>
      </w:r>
      <w:r>
        <w:rPr>
          <w:rFonts w:ascii="Times New Roman" w:hAnsi="Times New Roman" w:eastAsia="等线"/>
          <w:sz w:val="24"/>
          <w:szCs w:val="24"/>
        </w:rPr>
        <w:t>igure S3. Correlation plots of immune infiltration and prognostic model.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yMjYzNDE0AHLMTJV0lIJTi4sz8/NACoxqAc0AczksAAAA"/>
    <w:docVar w:name="KY_MEDREF_DOCUID" w:val="{87B23E45-E4A3-4A6F-963A-2492B96F836C}"/>
    <w:docVar w:name="KY_MEDREF_VERSION" w:val="3"/>
  </w:docVars>
  <w:rsids>
    <w:rsidRoot w:val="00C774F7"/>
    <w:rsid w:val="00016CBA"/>
    <w:rsid w:val="00042ECE"/>
    <w:rsid w:val="00077F6B"/>
    <w:rsid w:val="000C084F"/>
    <w:rsid w:val="000C5319"/>
    <w:rsid w:val="000E4AC2"/>
    <w:rsid w:val="00117561"/>
    <w:rsid w:val="001C5B0C"/>
    <w:rsid w:val="002A0421"/>
    <w:rsid w:val="002B5EBA"/>
    <w:rsid w:val="002E431B"/>
    <w:rsid w:val="00361908"/>
    <w:rsid w:val="00373F47"/>
    <w:rsid w:val="00436D34"/>
    <w:rsid w:val="0044536E"/>
    <w:rsid w:val="004A0AC8"/>
    <w:rsid w:val="004B0380"/>
    <w:rsid w:val="00577367"/>
    <w:rsid w:val="005931FA"/>
    <w:rsid w:val="005C6DC1"/>
    <w:rsid w:val="005F04C3"/>
    <w:rsid w:val="006658EF"/>
    <w:rsid w:val="00701206"/>
    <w:rsid w:val="00715672"/>
    <w:rsid w:val="007479DA"/>
    <w:rsid w:val="00764240"/>
    <w:rsid w:val="00844685"/>
    <w:rsid w:val="008649ED"/>
    <w:rsid w:val="008E3138"/>
    <w:rsid w:val="0091369D"/>
    <w:rsid w:val="00936CCD"/>
    <w:rsid w:val="00937BC4"/>
    <w:rsid w:val="009E2183"/>
    <w:rsid w:val="00A47518"/>
    <w:rsid w:val="00A506BD"/>
    <w:rsid w:val="00AD1BF6"/>
    <w:rsid w:val="00AE40CF"/>
    <w:rsid w:val="00AE5EC3"/>
    <w:rsid w:val="00B8616E"/>
    <w:rsid w:val="00B96C69"/>
    <w:rsid w:val="00C7033D"/>
    <w:rsid w:val="00C7421A"/>
    <w:rsid w:val="00C774F7"/>
    <w:rsid w:val="00CE337C"/>
    <w:rsid w:val="00D30952"/>
    <w:rsid w:val="00E17678"/>
    <w:rsid w:val="00E31598"/>
    <w:rsid w:val="00EF3E4E"/>
    <w:rsid w:val="00F20956"/>
    <w:rsid w:val="00F45289"/>
    <w:rsid w:val="00F678DD"/>
    <w:rsid w:val="00F8369A"/>
    <w:rsid w:val="00FD24C8"/>
    <w:rsid w:val="00FE710A"/>
    <w:rsid w:val="1DFC5D8D"/>
    <w:rsid w:val="33DD58CC"/>
    <w:rsid w:val="4845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正文1"/>
    <w:basedOn w:val="1"/>
    <w:qFormat/>
    <w:uiPriority w:val="0"/>
    <w:pPr>
      <w:widowControl/>
    </w:pPr>
    <w:rPr>
      <w:rFonts w:ascii="等线" w:hAnsi="等线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4.wmf"/><Relationship Id="rId7" Type="http://schemas.openxmlformats.org/officeDocument/2006/relationships/image" Target="media/image3.wmf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oleObject" Target="embeddings/oleObject3.bin"/><Relationship Id="rId13" Type="http://schemas.openxmlformats.org/officeDocument/2006/relationships/image" Target="media/image7.wmf"/><Relationship Id="rId12" Type="http://schemas.openxmlformats.org/officeDocument/2006/relationships/oleObject" Target="embeddings/oleObject2.bin"/><Relationship Id="rId11" Type="http://schemas.openxmlformats.org/officeDocument/2006/relationships/image" Target="media/image6.png"/><Relationship Id="rId10" Type="http://schemas.openxmlformats.org/officeDocument/2006/relationships/image" Target="media/image5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466</Words>
  <Characters>3117</Characters>
  <Lines>26</Lines>
  <Paragraphs>7</Paragraphs>
  <TotalTime>11605</TotalTime>
  <ScaleCrop>false</ScaleCrop>
  <LinksUpToDate>false</LinksUpToDate>
  <CharactersWithSpaces>3211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2022-02-25T00:46:00Z</dcterms:created>
  <dc:creator>栗 景坤</dc:creator>
  <cp:lastModifiedBy>栗景坤</cp:lastModifiedBy>
  <dcterms:modified xsi:type="dcterms:W3CDTF">2022-03-16T13:40:31Z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8DF5BAE77A6143A6B02BE9495FC94B88</vt:lpwstr>
  </property>
</Properties>
</file>