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F61005" w14:textId="77777777" w:rsidR="007A37C8" w:rsidRDefault="007A37C8" w:rsidP="000F523C">
      <w:pPr>
        <w:jc w:val="center"/>
        <w:rPr>
          <w:rFonts w:ascii="Times New Roman" w:hAnsi="Times New Roman" w:cs="Times New Roman"/>
          <w:b/>
          <w:bCs/>
          <w:sz w:val="28"/>
          <w:szCs w:val="28"/>
        </w:rPr>
      </w:pPr>
    </w:p>
    <w:p w14:paraId="52D740DC" w14:textId="77777777" w:rsidR="007A37C8" w:rsidRDefault="007A37C8" w:rsidP="000F523C">
      <w:pPr>
        <w:jc w:val="center"/>
        <w:rPr>
          <w:rFonts w:ascii="Times New Roman" w:hAnsi="Times New Roman" w:cs="Times New Roman"/>
          <w:b/>
          <w:bCs/>
          <w:sz w:val="28"/>
          <w:szCs w:val="28"/>
        </w:rPr>
      </w:pPr>
    </w:p>
    <w:p w14:paraId="7475B133" w14:textId="6FD17DE2" w:rsidR="000F523C" w:rsidRPr="007A37C8" w:rsidRDefault="000F523C" w:rsidP="000F523C">
      <w:pPr>
        <w:jc w:val="center"/>
        <w:rPr>
          <w:rFonts w:ascii="Times New Roman" w:hAnsi="Times New Roman" w:cs="Times New Roman"/>
          <w:b/>
          <w:bCs/>
          <w:sz w:val="28"/>
          <w:szCs w:val="28"/>
        </w:rPr>
      </w:pPr>
      <w:r w:rsidRPr="007A37C8">
        <w:rPr>
          <w:rFonts w:ascii="Times New Roman" w:hAnsi="Times New Roman" w:cs="Times New Roman"/>
          <w:b/>
          <w:bCs/>
          <w:sz w:val="28"/>
          <w:szCs w:val="28"/>
        </w:rPr>
        <w:t xml:space="preserve">Prophylactic antibiotics for postoperative endophthalmitis: </w:t>
      </w:r>
    </w:p>
    <w:p w14:paraId="028820E9" w14:textId="50315709" w:rsidR="005864D1" w:rsidRPr="007A37C8" w:rsidRDefault="00905498" w:rsidP="000F523C">
      <w:pPr>
        <w:jc w:val="center"/>
        <w:rPr>
          <w:rFonts w:ascii="Times New Roman" w:hAnsi="Times New Roman" w:cs="Times New Roman"/>
          <w:b/>
          <w:bCs/>
          <w:sz w:val="28"/>
          <w:szCs w:val="28"/>
        </w:rPr>
      </w:pPr>
      <w:r>
        <w:rPr>
          <w:rFonts w:ascii="Times New Roman" w:hAnsi="Times New Roman" w:cs="Times New Roman"/>
          <w:b/>
          <w:bCs/>
          <w:sz w:val="28"/>
          <w:szCs w:val="28"/>
        </w:rPr>
        <w:t xml:space="preserve">a </w:t>
      </w:r>
      <w:r w:rsidR="0063292C">
        <w:rPr>
          <w:rFonts w:ascii="Times New Roman" w:hAnsi="Times New Roman" w:cs="Times New Roman"/>
          <w:b/>
          <w:bCs/>
          <w:sz w:val="28"/>
          <w:szCs w:val="28"/>
        </w:rPr>
        <w:t>systematic review and</w:t>
      </w:r>
      <w:r w:rsidR="0063292C" w:rsidRPr="007A37C8">
        <w:rPr>
          <w:rFonts w:ascii="Times New Roman" w:hAnsi="Times New Roman" w:cs="Times New Roman"/>
          <w:b/>
          <w:bCs/>
          <w:sz w:val="28"/>
          <w:szCs w:val="28"/>
        </w:rPr>
        <w:t xml:space="preserve"> </w:t>
      </w:r>
      <w:r w:rsidR="000F523C" w:rsidRPr="007A37C8">
        <w:rPr>
          <w:rFonts w:ascii="Times New Roman" w:hAnsi="Times New Roman" w:cs="Times New Roman"/>
          <w:b/>
          <w:bCs/>
          <w:sz w:val="28"/>
          <w:szCs w:val="28"/>
        </w:rPr>
        <w:t>network meta-analysis of 6.5 million eyes.</w:t>
      </w:r>
    </w:p>
    <w:p w14:paraId="3819080C" w14:textId="77777777" w:rsidR="000F523C" w:rsidRPr="00F3093D" w:rsidRDefault="000F523C" w:rsidP="000F523C">
      <w:pPr>
        <w:jc w:val="center"/>
        <w:rPr>
          <w:rFonts w:ascii="Times New Roman" w:hAnsi="Times New Roman" w:cs="Times New Roman"/>
          <w:b/>
          <w:bCs/>
        </w:rPr>
      </w:pPr>
    </w:p>
    <w:p w14:paraId="69E59657" w14:textId="4AD5540A" w:rsidR="005864D1" w:rsidRPr="007A37C8" w:rsidRDefault="005864D1" w:rsidP="005864D1">
      <w:pPr>
        <w:jc w:val="center"/>
        <w:rPr>
          <w:rFonts w:ascii="Times New Roman" w:hAnsi="Times New Roman" w:cs="Times New Roman"/>
          <w:b/>
          <w:bCs/>
        </w:rPr>
      </w:pPr>
      <w:r w:rsidRPr="007A37C8">
        <w:rPr>
          <w:rFonts w:ascii="Times New Roman" w:hAnsi="Times New Roman" w:cs="Times New Roman"/>
          <w:b/>
          <w:bCs/>
        </w:rPr>
        <w:t>Ai Kato et al.</w:t>
      </w:r>
    </w:p>
    <w:p w14:paraId="7505D0E2" w14:textId="07B83E54" w:rsidR="005864D1" w:rsidRPr="007A37C8" w:rsidRDefault="005864D1" w:rsidP="005864D1">
      <w:pPr>
        <w:jc w:val="center"/>
        <w:rPr>
          <w:rFonts w:ascii="Times New Roman" w:hAnsi="Times New Roman" w:cs="Times New Roman"/>
          <w:b/>
          <w:bCs/>
        </w:rPr>
      </w:pPr>
      <w:r w:rsidRPr="007A37C8">
        <w:rPr>
          <w:rFonts w:ascii="Times New Roman" w:hAnsi="Times New Roman" w:cs="Times New Roman" w:hint="eastAsia"/>
          <w:b/>
          <w:bCs/>
        </w:rPr>
        <w:t>Y</w:t>
      </w:r>
      <w:r w:rsidRPr="007A37C8">
        <w:rPr>
          <w:rFonts w:ascii="Times New Roman" w:hAnsi="Times New Roman" w:cs="Times New Roman"/>
          <w:b/>
          <w:bCs/>
        </w:rPr>
        <w:t>okohama City University</w:t>
      </w:r>
    </w:p>
    <w:p w14:paraId="423BDF6D" w14:textId="0DF73A4F" w:rsidR="005864D1" w:rsidRPr="007A37C8" w:rsidRDefault="005864D1" w:rsidP="005864D1">
      <w:pPr>
        <w:jc w:val="center"/>
        <w:rPr>
          <w:rFonts w:ascii="Times New Roman" w:hAnsi="Times New Roman" w:cs="Times New Roman"/>
          <w:b/>
          <w:bCs/>
        </w:rPr>
      </w:pPr>
    </w:p>
    <w:p w14:paraId="608496C7" w14:textId="23A60D35" w:rsidR="005864D1" w:rsidRPr="007A37C8" w:rsidRDefault="005864D1" w:rsidP="005864D1">
      <w:pPr>
        <w:jc w:val="center"/>
        <w:rPr>
          <w:rFonts w:ascii="Times New Roman" w:hAnsi="Times New Roman" w:cs="Times New Roman"/>
          <w:b/>
          <w:bCs/>
        </w:rPr>
      </w:pPr>
      <w:r w:rsidRPr="007A37C8">
        <w:rPr>
          <w:rFonts w:ascii="Times New Roman" w:hAnsi="Times New Roman" w:cs="Times New Roman" w:hint="eastAsia"/>
          <w:b/>
          <w:bCs/>
        </w:rPr>
        <w:t>S</w:t>
      </w:r>
      <w:r w:rsidRPr="007A37C8">
        <w:rPr>
          <w:rFonts w:ascii="Times New Roman" w:hAnsi="Times New Roman" w:cs="Times New Roman"/>
          <w:b/>
          <w:bCs/>
        </w:rPr>
        <w:t>upplement File</w:t>
      </w:r>
    </w:p>
    <w:p w14:paraId="6903B349" w14:textId="1B4A73C4" w:rsidR="000677E7" w:rsidRDefault="000677E7" w:rsidP="006A070D">
      <w:pPr>
        <w:jc w:val="left"/>
        <w:rPr>
          <w:rFonts w:ascii="Times New Roman" w:hAnsi="Times New Roman" w:cs="Times New Roman"/>
        </w:rPr>
      </w:pPr>
    </w:p>
    <w:p w14:paraId="1247F063" w14:textId="6CDDB2B2" w:rsidR="006A070D" w:rsidRDefault="006A070D" w:rsidP="006A070D">
      <w:pPr>
        <w:jc w:val="left"/>
        <w:rPr>
          <w:rFonts w:ascii="Times New Roman" w:hAnsi="Times New Roman" w:cs="Times New Roman"/>
        </w:rPr>
      </w:pPr>
    </w:p>
    <w:p w14:paraId="101D415D" w14:textId="77777777" w:rsidR="006A070D" w:rsidRDefault="006A070D" w:rsidP="006A070D">
      <w:pPr>
        <w:jc w:val="left"/>
        <w:rPr>
          <w:rFonts w:ascii="Times New Roman" w:hAnsi="Times New Roman" w:cs="Times New Roman"/>
        </w:rPr>
      </w:pPr>
    </w:p>
    <w:p w14:paraId="3DADC9E4" w14:textId="089BCDFA" w:rsidR="006A070D" w:rsidRPr="007A37C8" w:rsidRDefault="007B32EB" w:rsidP="006A070D">
      <w:pPr>
        <w:jc w:val="left"/>
        <w:rPr>
          <w:rFonts w:ascii="Times New Roman" w:hAnsi="Times New Roman" w:cs="Times New Roman"/>
          <w:b/>
          <w:bCs/>
        </w:rPr>
      </w:pPr>
      <w:r>
        <w:rPr>
          <w:rFonts w:ascii="Times New Roman" w:hAnsi="Times New Roman" w:cs="Times New Roman"/>
          <w:b/>
          <w:bCs/>
        </w:rPr>
        <w:t>Supplementa</w:t>
      </w:r>
      <w:r w:rsidR="0077094C">
        <w:rPr>
          <w:rFonts w:ascii="Times New Roman" w:hAnsi="Times New Roman" w:cs="Times New Roman"/>
          <w:b/>
          <w:bCs/>
        </w:rPr>
        <w:t>ry</w:t>
      </w:r>
      <w:r>
        <w:rPr>
          <w:rFonts w:ascii="Times New Roman" w:hAnsi="Times New Roman" w:cs="Times New Roman"/>
          <w:b/>
          <w:bCs/>
        </w:rPr>
        <w:t xml:space="preserve"> </w:t>
      </w:r>
      <w:r w:rsidR="0077094C">
        <w:rPr>
          <w:rFonts w:ascii="Times New Roman" w:hAnsi="Times New Roman" w:cs="Times New Roman"/>
          <w:b/>
          <w:bCs/>
        </w:rPr>
        <w:t xml:space="preserve">Table </w:t>
      </w:r>
      <w:r w:rsidR="006A070D" w:rsidRPr="007A37C8">
        <w:rPr>
          <w:rFonts w:ascii="Times New Roman" w:hAnsi="Times New Roman" w:cs="Times New Roman"/>
          <w:b/>
          <w:bCs/>
        </w:rPr>
        <w:t xml:space="preserve">1. </w:t>
      </w:r>
      <w:r w:rsidR="00C168CF">
        <w:rPr>
          <w:rFonts w:ascii="Times New Roman" w:hAnsi="Times New Roman" w:cs="Times New Roman"/>
          <w:b/>
          <w:bCs/>
        </w:rPr>
        <w:t>PRISMA</w:t>
      </w:r>
      <w:r w:rsidR="006A070D" w:rsidRPr="007A37C8">
        <w:rPr>
          <w:rFonts w:ascii="Times New Roman" w:hAnsi="Times New Roman" w:cs="Times New Roman"/>
          <w:b/>
          <w:bCs/>
        </w:rPr>
        <w:t xml:space="preserve"> </w:t>
      </w:r>
      <w:r w:rsidR="00C168CF">
        <w:rPr>
          <w:rFonts w:ascii="Times New Roman" w:hAnsi="Times New Roman" w:cs="Times New Roman"/>
          <w:b/>
          <w:bCs/>
        </w:rPr>
        <w:t xml:space="preserve">2020 </w:t>
      </w:r>
      <w:r w:rsidR="006A070D" w:rsidRPr="007A37C8">
        <w:rPr>
          <w:rFonts w:ascii="Times New Roman" w:hAnsi="Times New Roman" w:cs="Times New Roman"/>
          <w:b/>
          <w:bCs/>
        </w:rPr>
        <w:t>Checklist</w:t>
      </w:r>
      <w:r w:rsidR="00C168CF">
        <w:rPr>
          <w:rFonts w:ascii="Times New Roman" w:hAnsi="Times New Roman" w:cs="Times New Roman"/>
          <w:b/>
          <w:bCs/>
        </w:rPr>
        <w:t>.</w:t>
      </w:r>
    </w:p>
    <w:p w14:paraId="20E2F3C0" w14:textId="00DB5263" w:rsidR="006A070D" w:rsidRDefault="0077094C" w:rsidP="006A070D">
      <w:pPr>
        <w:jc w:val="left"/>
        <w:rPr>
          <w:rFonts w:ascii="Times New Roman" w:hAnsi="Times New Roman" w:cs="Times New Roman"/>
          <w:b/>
          <w:bCs/>
        </w:rPr>
      </w:pPr>
      <w:r>
        <w:rPr>
          <w:rFonts w:ascii="Times New Roman" w:hAnsi="Times New Roman" w:cs="Times New Roman"/>
          <w:b/>
          <w:bCs/>
        </w:rPr>
        <w:t xml:space="preserve">Supplementary Table </w:t>
      </w:r>
      <w:r w:rsidR="006A070D" w:rsidRPr="007A37C8">
        <w:rPr>
          <w:rFonts w:ascii="Times New Roman" w:hAnsi="Times New Roman" w:cs="Times New Roman"/>
          <w:b/>
          <w:bCs/>
        </w:rPr>
        <w:t>2. Search formulas.</w:t>
      </w:r>
    </w:p>
    <w:p w14:paraId="4831B6EC" w14:textId="78F44846" w:rsidR="006A070D" w:rsidRDefault="0077094C" w:rsidP="006A070D">
      <w:pPr>
        <w:jc w:val="left"/>
        <w:rPr>
          <w:rFonts w:ascii="Times New Roman" w:hAnsi="Times New Roman" w:cs="Times New Roman"/>
          <w:b/>
          <w:bCs/>
        </w:rPr>
      </w:pPr>
      <w:r>
        <w:rPr>
          <w:rFonts w:ascii="Times New Roman" w:hAnsi="Times New Roman" w:cs="Times New Roman"/>
          <w:b/>
          <w:bCs/>
        </w:rPr>
        <w:t xml:space="preserve">Supplementary Table </w:t>
      </w:r>
      <w:r w:rsidR="006A070D" w:rsidRPr="007A37C8">
        <w:rPr>
          <w:rFonts w:ascii="Times New Roman" w:hAnsi="Times New Roman" w:cs="Times New Roman"/>
          <w:b/>
          <w:bCs/>
        </w:rPr>
        <w:t>3. Corrected alpha and confidence interval.</w:t>
      </w:r>
    </w:p>
    <w:p w14:paraId="115015C6" w14:textId="4E859AFE" w:rsidR="006A070D" w:rsidRDefault="0077094C" w:rsidP="006A070D">
      <w:pPr>
        <w:jc w:val="left"/>
        <w:rPr>
          <w:rFonts w:ascii="Times New Roman" w:hAnsi="Times New Roman" w:cs="Times New Roman"/>
          <w:b/>
          <w:bCs/>
        </w:rPr>
      </w:pPr>
      <w:r>
        <w:rPr>
          <w:rFonts w:ascii="Times New Roman" w:hAnsi="Times New Roman" w:cs="Times New Roman"/>
          <w:b/>
          <w:bCs/>
        </w:rPr>
        <w:t xml:space="preserve">Supplementary Table </w:t>
      </w:r>
      <w:r w:rsidR="006A070D" w:rsidRPr="007A37C8">
        <w:rPr>
          <w:rFonts w:ascii="Times New Roman" w:hAnsi="Times New Roman" w:cs="Times New Roman"/>
          <w:b/>
          <w:bCs/>
        </w:rPr>
        <w:t>4. References excluded by the full-text reading.</w:t>
      </w:r>
    </w:p>
    <w:p w14:paraId="299B1110" w14:textId="7697E780" w:rsidR="006A070D" w:rsidRDefault="0077094C" w:rsidP="006A070D">
      <w:pPr>
        <w:jc w:val="left"/>
        <w:rPr>
          <w:rFonts w:ascii="Times New Roman" w:hAnsi="Times New Roman" w:cs="Times New Roman"/>
          <w:b/>
          <w:bCs/>
        </w:rPr>
      </w:pPr>
      <w:r>
        <w:rPr>
          <w:rFonts w:ascii="Times New Roman" w:hAnsi="Times New Roman" w:cs="Times New Roman"/>
          <w:b/>
          <w:bCs/>
        </w:rPr>
        <w:t xml:space="preserve">Supplementary Table </w:t>
      </w:r>
      <w:r w:rsidR="006A070D" w:rsidRPr="007A37C8">
        <w:rPr>
          <w:rFonts w:ascii="Times New Roman" w:hAnsi="Times New Roman" w:cs="Times New Roman"/>
          <w:b/>
          <w:bCs/>
        </w:rPr>
        <w:t>5. P-score for the main model.</w:t>
      </w:r>
    </w:p>
    <w:p w14:paraId="0BEE8E69" w14:textId="3C99028D" w:rsidR="006A070D" w:rsidRPr="007A37C8" w:rsidRDefault="0077094C" w:rsidP="006A070D">
      <w:pPr>
        <w:jc w:val="left"/>
        <w:rPr>
          <w:rFonts w:ascii="Times New Roman" w:hAnsi="Times New Roman" w:cs="Times New Roman"/>
          <w:b/>
          <w:bCs/>
        </w:rPr>
      </w:pPr>
      <w:r>
        <w:rPr>
          <w:rFonts w:ascii="Times New Roman" w:hAnsi="Times New Roman" w:cs="Times New Roman"/>
          <w:b/>
          <w:bCs/>
        </w:rPr>
        <w:t xml:space="preserve">Supplementary Table </w:t>
      </w:r>
      <w:r w:rsidR="006A070D" w:rsidRPr="007A37C8">
        <w:rPr>
          <w:rFonts w:ascii="Times New Roman" w:hAnsi="Times New Roman" w:cs="Times New Roman"/>
          <w:b/>
          <w:bCs/>
        </w:rPr>
        <w:t>6. P-score for the route model sensitivity analysis.</w:t>
      </w:r>
    </w:p>
    <w:p w14:paraId="6B3F5D87" w14:textId="5503A82C" w:rsidR="006A070D" w:rsidRPr="007A37C8" w:rsidRDefault="0077094C" w:rsidP="006A070D">
      <w:pPr>
        <w:jc w:val="left"/>
        <w:rPr>
          <w:rFonts w:ascii="Times New Roman" w:hAnsi="Times New Roman" w:cs="Times New Roman"/>
          <w:b/>
          <w:bCs/>
        </w:rPr>
      </w:pPr>
      <w:r>
        <w:rPr>
          <w:rFonts w:ascii="Times New Roman" w:hAnsi="Times New Roman" w:cs="Times New Roman"/>
          <w:b/>
          <w:bCs/>
        </w:rPr>
        <w:t xml:space="preserve">Supplementary Table </w:t>
      </w:r>
      <w:r w:rsidR="006A070D" w:rsidRPr="007A37C8">
        <w:rPr>
          <w:rFonts w:ascii="Times New Roman" w:hAnsi="Times New Roman" w:cs="Times New Roman"/>
          <w:b/>
          <w:bCs/>
        </w:rPr>
        <w:t>7. P-score for antibiotic model sensitivity analysis.</w:t>
      </w:r>
    </w:p>
    <w:p w14:paraId="780C538F" w14:textId="77777777" w:rsidR="006A070D" w:rsidRPr="0077094C" w:rsidRDefault="006A070D" w:rsidP="006A070D">
      <w:pPr>
        <w:jc w:val="left"/>
        <w:rPr>
          <w:rFonts w:ascii="Times New Roman" w:hAnsi="Times New Roman" w:cs="Times New Roman"/>
          <w:b/>
          <w:bCs/>
        </w:rPr>
      </w:pPr>
    </w:p>
    <w:p w14:paraId="7FC7473C" w14:textId="7B857485" w:rsidR="006A070D" w:rsidRPr="007A37C8" w:rsidRDefault="007B32EB" w:rsidP="006A070D">
      <w:pPr>
        <w:jc w:val="left"/>
        <w:rPr>
          <w:rFonts w:ascii="Times New Roman" w:hAnsi="Times New Roman" w:cs="Times New Roman"/>
          <w:b/>
          <w:bCs/>
        </w:rPr>
      </w:pPr>
      <w:r>
        <w:rPr>
          <w:rFonts w:ascii="Times New Roman" w:hAnsi="Times New Roman" w:cs="Times New Roman"/>
          <w:b/>
          <w:bCs/>
        </w:rPr>
        <w:t>Supplemental Reference</w:t>
      </w:r>
      <w:r w:rsidR="006A070D" w:rsidRPr="007A37C8">
        <w:rPr>
          <w:rFonts w:ascii="Times New Roman" w:hAnsi="Times New Roman" w:cs="Times New Roman"/>
          <w:b/>
          <w:bCs/>
        </w:rPr>
        <w:t>s 1. List of hand searched review articles.</w:t>
      </w:r>
    </w:p>
    <w:p w14:paraId="03F60CA7" w14:textId="77777777" w:rsidR="006A070D" w:rsidRPr="006A070D" w:rsidRDefault="006A070D" w:rsidP="006A070D">
      <w:pPr>
        <w:jc w:val="left"/>
        <w:rPr>
          <w:rFonts w:ascii="Times New Roman" w:hAnsi="Times New Roman" w:cs="Times New Roman"/>
          <w:b/>
          <w:bCs/>
        </w:rPr>
      </w:pPr>
    </w:p>
    <w:p w14:paraId="7FC4FCAE" w14:textId="3C23DD4B" w:rsidR="00430559" w:rsidRPr="00F3093D" w:rsidRDefault="007B32EB" w:rsidP="006A070D">
      <w:pPr>
        <w:jc w:val="left"/>
        <w:rPr>
          <w:rFonts w:ascii="Times New Roman" w:hAnsi="Times New Roman" w:cs="Times New Roman"/>
        </w:rPr>
      </w:pPr>
      <w:r>
        <w:rPr>
          <w:rFonts w:ascii="Times New Roman" w:hAnsi="Times New Roman" w:cs="Times New Roman"/>
          <w:b/>
          <w:bCs/>
        </w:rPr>
        <w:t>Supplemental Fig</w:t>
      </w:r>
      <w:r w:rsidR="0077094C">
        <w:rPr>
          <w:rFonts w:ascii="Times New Roman" w:hAnsi="Times New Roman" w:cs="Times New Roman"/>
          <w:b/>
          <w:bCs/>
        </w:rPr>
        <w:t>.</w:t>
      </w:r>
      <w:r w:rsidR="006A070D" w:rsidRPr="007A37C8">
        <w:rPr>
          <w:rFonts w:ascii="Times New Roman" w:hAnsi="Times New Roman" w:cs="Times New Roman"/>
          <w:b/>
          <w:bCs/>
        </w:rPr>
        <w:t xml:space="preserve"> 1. Forest plot for the comparison between intracameral injection and no prophylactic antibody.</w:t>
      </w:r>
    </w:p>
    <w:p w14:paraId="3955D1AD" w14:textId="77777777" w:rsidR="00C168CF" w:rsidRDefault="006A070D">
      <w:pPr>
        <w:widowControl/>
        <w:jc w:val="left"/>
        <w:rPr>
          <w:rFonts w:ascii="Times New Roman" w:hAnsi="Times New Roman" w:cs="Times New Roman"/>
          <w:b/>
          <w:bCs/>
        </w:rPr>
        <w:sectPr w:rsidR="00C168CF">
          <w:pgSz w:w="11906" w:h="16838"/>
          <w:pgMar w:top="1985" w:right="1701" w:bottom="1701" w:left="1701" w:header="851" w:footer="992" w:gutter="0"/>
          <w:cols w:space="425"/>
          <w:docGrid w:type="lines" w:linePitch="360"/>
        </w:sectPr>
      </w:pPr>
      <w:r>
        <w:rPr>
          <w:rFonts w:ascii="Times New Roman" w:hAnsi="Times New Roman" w:cs="Times New Roman"/>
          <w:b/>
          <w:bCs/>
        </w:rPr>
        <w:br w:type="page"/>
      </w:r>
    </w:p>
    <w:p w14:paraId="58A2B7B4" w14:textId="7D133E88" w:rsidR="00C57480" w:rsidRDefault="0077094C" w:rsidP="000677E7">
      <w:pPr>
        <w:rPr>
          <w:rFonts w:ascii="Times New Roman" w:hAnsi="Times New Roman" w:cs="Times New Roman"/>
          <w:b/>
          <w:bCs/>
        </w:rPr>
      </w:pPr>
      <w:r>
        <w:rPr>
          <w:rFonts w:ascii="Times New Roman" w:hAnsi="Times New Roman" w:cs="Times New Roman"/>
          <w:b/>
          <w:bCs/>
        </w:rPr>
        <w:lastRenderedPageBreak/>
        <w:t xml:space="preserve">Supplementary Table </w:t>
      </w:r>
      <w:r w:rsidR="00C57480" w:rsidRPr="007A37C8">
        <w:rPr>
          <w:rFonts w:ascii="Times New Roman" w:hAnsi="Times New Roman" w:cs="Times New Roman"/>
          <w:b/>
          <w:bCs/>
        </w:rPr>
        <w:t>1.</w:t>
      </w:r>
      <w:r w:rsidR="003C1757" w:rsidRPr="007A37C8">
        <w:rPr>
          <w:rFonts w:ascii="Times New Roman" w:hAnsi="Times New Roman" w:cs="Times New Roman"/>
          <w:b/>
          <w:bCs/>
        </w:rPr>
        <w:t xml:space="preserve"> </w:t>
      </w:r>
      <w:r w:rsidR="00C168CF">
        <w:rPr>
          <w:rFonts w:ascii="Times New Roman" w:hAnsi="Times New Roman" w:cs="Times New Roman"/>
          <w:b/>
          <w:bCs/>
        </w:rPr>
        <w:t>PRISMA</w:t>
      </w:r>
      <w:r w:rsidR="00C168CF" w:rsidRPr="007A37C8">
        <w:rPr>
          <w:rFonts w:ascii="Times New Roman" w:hAnsi="Times New Roman" w:cs="Times New Roman"/>
          <w:b/>
          <w:bCs/>
        </w:rPr>
        <w:t xml:space="preserve"> </w:t>
      </w:r>
      <w:r w:rsidR="00C168CF">
        <w:rPr>
          <w:rFonts w:ascii="Times New Roman" w:hAnsi="Times New Roman" w:cs="Times New Roman"/>
          <w:b/>
          <w:bCs/>
        </w:rPr>
        <w:t xml:space="preserve">2020 </w:t>
      </w:r>
      <w:r w:rsidR="00C168CF" w:rsidRPr="007A37C8">
        <w:rPr>
          <w:rFonts w:ascii="Times New Roman" w:hAnsi="Times New Roman" w:cs="Times New Roman"/>
          <w:b/>
          <w:bCs/>
        </w:rPr>
        <w:t>Checklist</w:t>
      </w:r>
      <w:r w:rsidR="00C168CF">
        <w:rPr>
          <w:rFonts w:ascii="Times New Roman" w:hAnsi="Times New Roman" w:cs="Times New Roman"/>
          <w:b/>
          <w:bCs/>
        </w:rPr>
        <w:t>.</w:t>
      </w:r>
    </w:p>
    <w:tbl>
      <w:tblPr>
        <w:tblW w:w="15200" w:type="dxa"/>
        <w:tblBorders>
          <w:top w:val="nil"/>
          <w:left w:val="nil"/>
          <w:bottom w:val="nil"/>
          <w:right w:val="nil"/>
        </w:tblBorders>
        <w:tblLook w:val="0000" w:firstRow="0" w:lastRow="0" w:firstColumn="0" w:lastColumn="0" w:noHBand="0" w:noVBand="0"/>
      </w:tblPr>
      <w:tblGrid>
        <w:gridCol w:w="1668"/>
        <w:gridCol w:w="587"/>
        <w:gridCol w:w="10327"/>
        <w:gridCol w:w="2618"/>
      </w:tblGrid>
      <w:tr w:rsidR="00C168CF" w:rsidRPr="004C1685" w14:paraId="1D890500" w14:textId="77777777" w:rsidTr="00CC2003">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2AE5DB32" w14:textId="77777777" w:rsidR="00C168CF" w:rsidRPr="00930A31" w:rsidRDefault="00C168CF" w:rsidP="00CC2003">
            <w:pPr>
              <w:pStyle w:val="Default"/>
              <w:rPr>
                <w:rFonts w:ascii="Arial" w:hAnsi="Arial" w:cs="Arial"/>
                <w:color w:val="FFFFFF"/>
                <w:sz w:val="18"/>
                <w:szCs w:val="18"/>
              </w:rPr>
            </w:pPr>
            <w:r w:rsidRPr="00930A31">
              <w:rPr>
                <w:rFonts w:ascii="Arial" w:hAnsi="Arial" w:cs="Arial"/>
                <w:b/>
                <w:bCs/>
                <w:color w:val="FFFFFF"/>
                <w:sz w:val="18"/>
                <w:szCs w:val="18"/>
              </w:rPr>
              <w:t xml:space="preserve">Section and Topic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4F16E667" w14:textId="77777777" w:rsidR="00C168CF" w:rsidRPr="00930A31" w:rsidRDefault="00C168CF" w:rsidP="00CC2003">
            <w:pPr>
              <w:pStyle w:val="Default"/>
              <w:rPr>
                <w:rFonts w:ascii="Arial" w:hAnsi="Arial" w:cs="Arial"/>
                <w:b/>
                <w:bCs/>
                <w:color w:val="FFFFFF"/>
                <w:sz w:val="18"/>
                <w:szCs w:val="18"/>
              </w:rPr>
            </w:pPr>
            <w:r w:rsidRPr="00930A31">
              <w:rPr>
                <w:rFonts w:ascii="Arial" w:hAnsi="Arial" w:cs="Arial"/>
                <w:b/>
                <w:bCs/>
                <w:color w:val="FFFFFF"/>
                <w:sz w:val="18"/>
                <w:szCs w:val="18"/>
              </w:rPr>
              <w:t>Item #</w:t>
            </w:r>
          </w:p>
        </w:tc>
        <w:tc>
          <w:tcPr>
            <w:tcW w:w="10327"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C91E412" w14:textId="77777777" w:rsidR="00C168CF" w:rsidRPr="00930A31" w:rsidRDefault="00C168CF" w:rsidP="00CC2003">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2618"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43E75A89" w14:textId="77777777" w:rsidR="00C168CF" w:rsidRPr="00930A31" w:rsidRDefault="00C168CF" w:rsidP="00CC2003">
            <w:pPr>
              <w:pStyle w:val="Default"/>
              <w:rPr>
                <w:rFonts w:ascii="Arial" w:hAnsi="Arial" w:cs="Arial"/>
                <w:color w:val="FFFFFF"/>
                <w:sz w:val="18"/>
                <w:szCs w:val="18"/>
              </w:rPr>
            </w:pPr>
            <w:r w:rsidRPr="00930A31">
              <w:rPr>
                <w:rFonts w:ascii="Arial" w:hAnsi="Arial" w:cs="Arial"/>
                <w:b/>
                <w:bCs/>
                <w:color w:val="FFFFFF"/>
                <w:sz w:val="18"/>
                <w:szCs w:val="18"/>
              </w:rPr>
              <w:t xml:space="preserve">Location where item is reported </w:t>
            </w:r>
          </w:p>
        </w:tc>
      </w:tr>
      <w:tr w:rsidR="00C168CF" w:rsidRPr="004C1685" w14:paraId="779F661B" w14:textId="77777777" w:rsidTr="00CC2003">
        <w:trPr>
          <w:trHeight w:val="24"/>
        </w:trPr>
        <w:tc>
          <w:tcPr>
            <w:tcW w:w="12582"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C919290" w14:textId="77777777" w:rsidR="00C168CF" w:rsidRPr="00930A31" w:rsidRDefault="00C168CF" w:rsidP="00CC2003">
            <w:pPr>
              <w:pStyle w:val="Default"/>
              <w:rPr>
                <w:rFonts w:ascii="Arial" w:hAnsi="Arial" w:cs="Arial"/>
                <w:sz w:val="18"/>
                <w:szCs w:val="18"/>
              </w:rPr>
            </w:pPr>
            <w:r w:rsidRPr="00930A31">
              <w:rPr>
                <w:rFonts w:ascii="Arial" w:hAnsi="Arial" w:cs="Arial"/>
                <w:b/>
                <w:bCs/>
                <w:sz w:val="18"/>
                <w:szCs w:val="18"/>
              </w:rPr>
              <w:t xml:space="preserve">TITLE </w:t>
            </w:r>
          </w:p>
        </w:tc>
        <w:tc>
          <w:tcPr>
            <w:tcW w:w="2618" w:type="dxa"/>
            <w:tcBorders>
              <w:top w:val="double" w:sz="5" w:space="0" w:color="000000"/>
              <w:left w:val="single" w:sz="5" w:space="0" w:color="000000"/>
              <w:bottom w:val="single" w:sz="5" w:space="0" w:color="000000"/>
              <w:right w:val="single" w:sz="5" w:space="0" w:color="000000"/>
            </w:tcBorders>
            <w:shd w:val="clear" w:color="auto" w:fill="FFFFCC"/>
          </w:tcPr>
          <w:p w14:paraId="67B075AD" w14:textId="77777777" w:rsidR="00C168CF" w:rsidRPr="00930A31" w:rsidRDefault="00C168CF" w:rsidP="00CC2003">
            <w:pPr>
              <w:pStyle w:val="Default"/>
              <w:jc w:val="right"/>
              <w:rPr>
                <w:rFonts w:ascii="Arial" w:hAnsi="Arial" w:cs="Arial"/>
                <w:color w:val="auto"/>
                <w:sz w:val="18"/>
                <w:szCs w:val="18"/>
              </w:rPr>
            </w:pPr>
          </w:p>
        </w:tc>
      </w:tr>
      <w:tr w:rsidR="00C168CF" w:rsidRPr="004C1685" w14:paraId="5044AEF5" w14:textId="77777777" w:rsidTr="00CC2003">
        <w:trPr>
          <w:trHeight w:val="48"/>
        </w:trPr>
        <w:tc>
          <w:tcPr>
            <w:tcW w:w="1668" w:type="dxa"/>
            <w:tcBorders>
              <w:top w:val="single" w:sz="5" w:space="0" w:color="000000"/>
              <w:left w:val="single" w:sz="5" w:space="0" w:color="000000"/>
              <w:bottom w:val="double" w:sz="2" w:space="0" w:color="FFFFCC"/>
              <w:right w:val="single" w:sz="5" w:space="0" w:color="000000"/>
            </w:tcBorders>
          </w:tcPr>
          <w:p w14:paraId="391D081B" w14:textId="77777777" w:rsidR="00C168CF" w:rsidRPr="00930A31" w:rsidRDefault="00C168CF" w:rsidP="00CC2003">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29CCB5AC" w14:textId="77777777" w:rsidR="00C168CF" w:rsidRPr="00930A31" w:rsidRDefault="00C168CF" w:rsidP="00CC2003">
            <w:pPr>
              <w:pStyle w:val="Default"/>
              <w:spacing w:before="40" w:after="40"/>
              <w:jc w:val="right"/>
              <w:rPr>
                <w:rFonts w:ascii="Arial" w:hAnsi="Arial" w:cs="Arial"/>
                <w:sz w:val="18"/>
                <w:szCs w:val="18"/>
              </w:rPr>
            </w:pPr>
            <w:r w:rsidRPr="00930A31">
              <w:rPr>
                <w:rFonts w:ascii="Arial" w:hAnsi="Arial" w:cs="Arial"/>
                <w:sz w:val="18"/>
                <w:szCs w:val="18"/>
              </w:rPr>
              <w:t>1</w:t>
            </w:r>
          </w:p>
        </w:tc>
        <w:tc>
          <w:tcPr>
            <w:tcW w:w="10327" w:type="dxa"/>
            <w:tcBorders>
              <w:top w:val="single" w:sz="5" w:space="0" w:color="000000"/>
              <w:left w:val="single" w:sz="5" w:space="0" w:color="000000"/>
              <w:bottom w:val="double" w:sz="5" w:space="0" w:color="000000"/>
              <w:right w:val="single" w:sz="5" w:space="0" w:color="000000"/>
            </w:tcBorders>
          </w:tcPr>
          <w:p w14:paraId="2D62545D" w14:textId="77777777" w:rsidR="00C168CF" w:rsidRPr="00930A31" w:rsidRDefault="00C168CF" w:rsidP="00CC2003">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2618" w:type="dxa"/>
            <w:tcBorders>
              <w:top w:val="single" w:sz="5" w:space="0" w:color="000000"/>
              <w:left w:val="single" w:sz="5" w:space="0" w:color="000000"/>
              <w:bottom w:val="double" w:sz="5" w:space="0" w:color="000000"/>
              <w:right w:val="single" w:sz="5" w:space="0" w:color="000000"/>
            </w:tcBorders>
          </w:tcPr>
          <w:p w14:paraId="304B3533" w14:textId="77777777" w:rsidR="00C168CF" w:rsidRPr="00930A31" w:rsidRDefault="00C168CF" w:rsidP="00CC2003">
            <w:pPr>
              <w:pStyle w:val="Default"/>
              <w:spacing w:before="40" w:after="40"/>
              <w:rPr>
                <w:rFonts w:ascii="Arial" w:hAnsi="Arial" w:cs="Arial"/>
                <w:color w:val="auto"/>
                <w:sz w:val="18"/>
                <w:szCs w:val="18"/>
                <w:lang w:eastAsia="ja-JP"/>
              </w:rPr>
            </w:pPr>
            <w:r>
              <w:rPr>
                <w:rFonts w:ascii="Arial" w:hAnsi="Arial" w:cs="Arial" w:hint="eastAsia"/>
                <w:color w:val="auto"/>
                <w:sz w:val="18"/>
                <w:szCs w:val="18"/>
                <w:lang w:eastAsia="ja-JP"/>
              </w:rPr>
              <w:t>T</w:t>
            </w:r>
            <w:r>
              <w:rPr>
                <w:rFonts w:ascii="Arial" w:hAnsi="Arial" w:cs="Arial"/>
                <w:color w:val="auto"/>
                <w:sz w:val="18"/>
                <w:szCs w:val="18"/>
                <w:lang w:eastAsia="ja-JP"/>
              </w:rPr>
              <w:t>itle</w:t>
            </w:r>
          </w:p>
        </w:tc>
      </w:tr>
      <w:tr w:rsidR="00C168CF" w:rsidRPr="004C1685" w14:paraId="6D37CC2D" w14:textId="77777777" w:rsidTr="00CC2003">
        <w:trPr>
          <w:trHeight w:val="24"/>
        </w:trPr>
        <w:tc>
          <w:tcPr>
            <w:tcW w:w="12582"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5F8C724" w14:textId="77777777" w:rsidR="00C168CF" w:rsidRPr="00930A31" w:rsidRDefault="00C168CF" w:rsidP="00CC2003">
            <w:pPr>
              <w:pStyle w:val="Default"/>
              <w:rPr>
                <w:rFonts w:ascii="Arial" w:hAnsi="Arial" w:cs="Arial"/>
                <w:sz w:val="18"/>
                <w:szCs w:val="18"/>
              </w:rPr>
            </w:pPr>
            <w:r w:rsidRPr="00930A31">
              <w:rPr>
                <w:rFonts w:ascii="Arial" w:hAnsi="Arial" w:cs="Arial"/>
                <w:b/>
                <w:bCs/>
                <w:sz w:val="18"/>
                <w:szCs w:val="18"/>
              </w:rPr>
              <w:t xml:space="preserve">ABSTRACT </w:t>
            </w:r>
          </w:p>
        </w:tc>
        <w:tc>
          <w:tcPr>
            <w:tcW w:w="2618" w:type="dxa"/>
            <w:tcBorders>
              <w:top w:val="double" w:sz="5" w:space="0" w:color="000000"/>
              <w:left w:val="single" w:sz="5" w:space="0" w:color="000000"/>
              <w:bottom w:val="single" w:sz="5" w:space="0" w:color="000000"/>
              <w:right w:val="single" w:sz="5" w:space="0" w:color="000000"/>
            </w:tcBorders>
            <w:shd w:val="clear" w:color="auto" w:fill="FFFFCC"/>
          </w:tcPr>
          <w:p w14:paraId="63FC9D9F" w14:textId="77777777" w:rsidR="00C168CF" w:rsidRPr="00930A31" w:rsidRDefault="00C168CF" w:rsidP="00CC2003">
            <w:pPr>
              <w:pStyle w:val="Default"/>
              <w:jc w:val="right"/>
              <w:rPr>
                <w:rFonts w:ascii="Arial" w:hAnsi="Arial" w:cs="Arial"/>
                <w:color w:val="auto"/>
                <w:sz w:val="18"/>
                <w:szCs w:val="18"/>
              </w:rPr>
            </w:pPr>
          </w:p>
        </w:tc>
      </w:tr>
      <w:tr w:rsidR="00C168CF" w:rsidRPr="004C1685" w14:paraId="1458FF1D" w14:textId="77777777" w:rsidTr="00CC2003">
        <w:trPr>
          <w:trHeight w:val="48"/>
        </w:trPr>
        <w:tc>
          <w:tcPr>
            <w:tcW w:w="1668" w:type="dxa"/>
            <w:tcBorders>
              <w:top w:val="single" w:sz="5" w:space="0" w:color="000000"/>
              <w:left w:val="single" w:sz="5" w:space="0" w:color="000000"/>
              <w:bottom w:val="double" w:sz="2" w:space="0" w:color="FFFFCC"/>
              <w:right w:val="single" w:sz="5" w:space="0" w:color="000000"/>
            </w:tcBorders>
          </w:tcPr>
          <w:p w14:paraId="10A0DE60" w14:textId="77777777" w:rsidR="00C168CF" w:rsidRPr="00930A31" w:rsidRDefault="00C168CF" w:rsidP="00CC2003">
            <w:pPr>
              <w:pStyle w:val="Default"/>
              <w:spacing w:before="40" w:after="40"/>
              <w:rPr>
                <w:rFonts w:ascii="Arial" w:hAnsi="Arial" w:cs="Arial"/>
                <w:sz w:val="18"/>
                <w:szCs w:val="18"/>
              </w:rPr>
            </w:pPr>
            <w:r w:rsidRPr="00930A31">
              <w:rPr>
                <w:rFonts w:ascii="Arial" w:hAnsi="Arial" w:cs="Arial"/>
                <w:sz w:val="18"/>
                <w:szCs w:val="18"/>
              </w:rPr>
              <w:t xml:space="preserve">Abstract </w:t>
            </w:r>
          </w:p>
        </w:tc>
        <w:tc>
          <w:tcPr>
            <w:tcW w:w="587" w:type="dxa"/>
            <w:tcBorders>
              <w:top w:val="single" w:sz="5" w:space="0" w:color="000000"/>
              <w:left w:val="single" w:sz="5" w:space="0" w:color="000000"/>
              <w:bottom w:val="double" w:sz="2" w:space="0" w:color="FFFFCC"/>
              <w:right w:val="single" w:sz="5" w:space="0" w:color="000000"/>
            </w:tcBorders>
          </w:tcPr>
          <w:p w14:paraId="067FBE74" w14:textId="77777777" w:rsidR="00C168CF" w:rsidRPr="00930A31" w:rsidRDefault="00C168CF" w:rsidP="00CC2003">
            <w:pPr>
              <w:pStyle w:val="Default"/>
              <w:spacing w:before="40" w:after="40"/>
              <w:jc w:val="right"/>
              <w:rPr>
                <w:rFonts w:ascii="Arial" w:hAnsi="Arial" w:cs="Arial"/>
                <w:sz w:val="18"/>
                <w:szCs w:val="18"/>
              </w:rPr>
            </w:pPr>
            <w:r w:rsidRPr="00930A31">
              <w:rPr>
                <w:rFonts w:ascii="Arial" w:hAnsi="Arial" w:cs="Arial"/>
                <w:sz w:val="18"/>
                <w:szCs w:val="18"/>
              </w:rPr>
              <w:t>2</w:t>
            </w:r>
          </w:p>
        </w:tc>
        <w:tc>
          <w:tcPr>
            <w:tcW w:w="10327" w:type="dxa"/>
            <w:tcBorders>
              <w:top w:val="single" w:sz="5" w:space="0" w:color="000000"/>
              <w:left w:val="single" w:sz="5" w:space="0" w:color="000000"/>
              <w:bottom w:val="double" w:sz="5" w:space="0" w:color="000000"/>
              <w:right w:val="single" w:sz="5" w:space="0" w:color="000000"/>
            </w:tcBorders>
          </w:tcPr>
          <w:p w14:paraId="6DBA16BE" w14:textId="77777777" w:rsidR="00C168CF" w:rsidRPr="00930A31" w:rsidRDefault="00C168CF" w:rsidP="00CC2003">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Pr>
                <w:rFonts w:ascii="Arial" w:hAnsi="Arial" w:cs="Arial"/>
                <w:sz w:val="18"/>
                <w:szCs w:val="18"/>
              </w:rPr>
              <w:t>.</w:t>
            </w:r>
          </w:p>
        </w:tc>
        <w:tc>
          <w:tcPr>
            <w:tcW w:w="2618" w:type="dxa"/>
            <w:tcBorders>
              <w:top w:val="single" w:sz="5" w:space="0" w:color="000000"/>
              <w:left w:val="single" w:sz="5" w:space="0" w:color="000000"/>
              <w:bottom w:val="double" w:sz="5" w:space="0" w:color="000000"/>
              <w:right w:val="single" w:sz="5" w:space="0" w:color="000000"/>
            </w:tcBorders>
          </w:tcPr>
          <w:p w14:paraId="1707767B" w14:textId="77777777" w:rsidR="00C168CF" w:rsidRPr="00930A31" w:rsidRDefault="00C168CF" w:rsidP="00CC2003">
            <w:pPr>
              <w:pStyle w:val="Default"/>
              <w:spacing w:before="40" w:after="40"/>
              <w:rPr>
                <w:rFonts w:ascii="Arial" w:hAnsi="Arial" w:cs="Arial"/>
                <w:color w:val="auto"/>
                <w:sz w:val="18"/>
                <w:szCs w:val="18"/>
                <w:lang w:eastAsia="ja-JP"/>
              </w:rPr>
            </w:pPr>
            <w:r>
              <w:rPr>
                <w:rFonts w:ascii="Arial" w:hAnsi="Arial" w:cs="Arial" w:hint="eastAsia"/>
                <w:color w:val="auto"/>
                <w:sz w:val="18"/>
                <w:szCs w:val="18"/>
                <w:lang w:eastAsia="ja-JP"/>
              </w:rPr>
              <w:t>A</w:t>
            </w:r>
            <w:r>
              <w:rPr>
                <w:rFonts w:ascii="Arial" w:hAnsi="Arial" w:cs="Arial"/>
                <w:color w:val="auto"/>
                <w:sz w:val="18"/>
                <w:szCs w:val="18"/>
                <w:lang w:eastAsia="ja-JP"/>
              </w:rPr>
              <w:t>bstract</w:t>
            </w:r>
          </w:p>
        </w:tc>
      </w:tr>
      <w:tr w:rsidR="00C168CF" w:rsidRPr="004C1685" w14:paraId="23A8E190" w14:textId="77777777" w:rsidTr="00CC2003">
        <w:trPr>
          <w:trHeight w:val="24"/>
        </w:trPr>
        <w:tc>
          <w:tcPr>
            <w:tcW w:w="12582"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53FB861" w14:textId="77777777" w:rsidR="00C168CF" w:rsidRPr="00930A31" w:rsidRDefault="00C168CF" w:rsidP="00CC2003">
            <w:pPr>
              <w:pStyle w:val="Default"/>
              <w:rPr>
                <w:rFonts w:ascii="Arial" w:hAnsi="Arial" w:cs="Arial"/>
                <w:sz w:val="18"/>
                <w:szCs w:val="18"/>
              </w:rPr>
            </w:pPr>
            <w:r w:rsidRPr="00930A31">
              <w:rPr>
                <w:rFonts w:ascii="Arial" w:hAnsi="Arial" w:cs="Arial"/>
                <w:b/>
                <w:bCs/>
                <w:sz w:val="18"/>
                <w:szCs w:val="18"/>
              </w:rPr>
              <w:t xml:space="preserve">INTRODUCTION </w:t>
            </w:r>
          </w:p>
        </w:tc>
        <w:tc>
          <w:tcPr>
            <w:tcW w:w="2618" w:type="dxa"/>
            <w:tcBorders>
              <w:top w:val="double" w:sz="5" w:space="0" w:color="000000"/>
              <w:left w:val="single" w:sz="5" w:space="0" w:color="000000"/>
              <w:bottom w:val="single" w:sz="5" w:space="0" w:color="000000"/>
              <w:right w:val="single" w:sz="5" w:space="0" w:color="000000"/>
            </w:tcBorders>
            <w:shd w:val="clear" w:color="auto" w:fill="FFFFCC"/>
          </w:tcPr>
          <w:p w14:paraId="68912798" w14:textId="77777777" w:rsidR="00C168CF" w:rsidRPr="00930A31" w:rsidRDefault="00C168CF" w:rsidP="00CC2003">
            <w:pPr>
              <w:pStyle w:val="Default"/>
              <w:jc w:val="right"/>
              <w:rPr>
                <w:rFonts w:ascii="Arial" w:hAnsi="Arial" w:cs="Arial"/>
                <w:color w:val="auto"/>
                <w:sz w:val="18"/>
                <w:szCs w:val="18"/>
              </w:rPr>
            </w:pPr>
          </w:p>
        </w:tc>
      </w:tr>
      <w:tr w:rsidR="00C168CF" w:rsidRPr="004C1685" w14:paraId="0252E532" w14:textId="77777777" w:rsidTr="00CC2003">
        <w:trPr>
          <w:trHeight w:val="48"/>
        </w:trPr>
        <w:tc>
          <w:tcPr>
            <w:tcW w:w="1668" w:type="dxa"/>
            <w:tcBorders>
              <w:top w:val="single" w:sz="5" w:space="0" w:color="000000"/>
              <w:left w:val="single" w:sz="5" w:space="0" w:color="000000"/>
              <w:bottom w:val="single" w:sz="5" w:space="0" w:color="000000"/>
              <w:right w:val="single" w:sz="5" w:space="0" w:color="000000"/>
            </w:tcBorders>
          </w:tcPr>
          <w:p w14:paraId="20E22802" w14:textId="77777777" w:rsidR="00C168CF" w:rsidRPr="00930A31" w:rsidRDefault="00C168CF" w:rsidP="00CC2003">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258E46" w14:textId="77777777" w:rsidR="00C168CF" w:rsidRPr="00930A31" w:rsidRDefault="00C168CF" w:rsidP="00CC2003">
            <w:pPr>
              <w:pStyle w:val="Default"/>
              <w:spacing w:before="40" w:after="40"/>
              <w:jc w:val="right"/>
              <w:rPr>
                <w:rFonts w:ascii="Arial" w:hAnsi="Arial" w:cs="Arial"/>
                <w:sz w:val="18"/>
                <w:szCs w:val="18"/>
              </w:rPr>
            </w:pPr>
            <w:r w:rsidRPr="00930A31">
              <w:rPr>
                <w:rFonts w:ascii="Arial" w:hAnsi="Arial" w:cs="Arial"/>
                <w:sz w:val="18"/>
                <w:szCs w:val="18"/>
              </w:rPr>
              <w:t>3</w:t>
            </w:r>
          </w:p>
        </w:tc>
        <w:tc>
          <w:tcPr>
            <w:tcW w:w="10327" w:type="dxa"/>
            <w:tcBorders>
              <w:top w:val="single" w:sz="5" w:space="0" w:color="000000"/>
              <w:left w:val="single" w:sz="5" w:space="0" w:color="000000"/>
              <w:bottom w:val="single" w:sz="5" w:space="0" w:color="000000"/>
              <w:right w:val="single" w:sz="5" w:space="0" w:color="000000"/>
            </w:tcBorders>
          </w:tcPr>
          <w:p w14:paraId="7ECFDA15" w14:textId="77777777" w:rsidR="00C168CF" w:rsidRPr="00930A31" w:rsidRDefault="00C168CF" w:rsidP="00CC2003">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2618" w:type="dxa"/>
            <w:tcBorders>
              <w:top w:val="single" w:sz="5" w:space="0" w:color="000000"/>
              <w:left w:val="single" w:sz="5" w:space="0" w:color="000000"/>
              <w:bottom w:val="single" w:sz="5" w:space="0" w:color="000000"/>
              <w:right w:val="single" w:sz="5" w:space="0" w:color="000000"/>
            </w:tcBorders>
          </w:tcPr>
          <w:p w14:paraId="06EE62D9" w14:textId="77777777" w:rsidR="00C168CF" w:rsidRPr="00930A31" w:rsidRDefault="00C168CF" w:rsidP="00CC2003">
            <w:pPr>
              <w:pStyle w:val="Default"/>
              <w:spacing w:before="40" w:after="40"/>
              <w:rPr>
                <w:rFonts w:ascii="Arial" w:hAnsi="Arial" w:cs="Arial"/>
                <w:color w:val="auto"/>
                <w:sz w:val="18"/>
                <w:szCs w:val="18"/>
                <w:lang w:eastAsia="ja-JP"/>
              </w:rPr>
            </w:pPr>
            <w:r>
              <w:rPr>
                <w:rFonts w:ascii="Arial" w:hAnsi="Arial" w:cs="Arial" w:hint="eastAsia"/>
                <w:color w:val="auto"/>
                <w:sz w:val="18"/>
                <w:szCs w:val="18"/>
                <w:lang w:eastAsia="ja-JP"/>
              </w:rPr>
              <w:t>I</w:t>
            </w:r>
            <w:r>
              <w:rPr>
                <w:rFonts w:ascii="Arial" w:hAnsi="Arial" w:cs="Arial"/>
                <w:color w:val="auto"/>
                <w:sz w:val="18"/>
                <w:szCs w:val="18"/>
                <w:lang w:eastAsia="ja-JP"/>
              </w:rPr>
              <w:t>ntroduction,</w:t>
            </w:r>
            <w:r w:rsidRPr="005B0252">
              <w:rPr>
                <w:rFonts w:ascii="Arial" w:hAnsi="Arial" w:cs="Arial"/>
                <w:color w:val="auto"/>
                <w:sz w:val="18"/>
                <w:szCs w:val="18"/>
                <w:lang w:eastAsia="ja-JP"/>
              </w:rPr>
              <w:t xml:space="preserve"> Paragraph 1</w:t>
            </w:r>
          </w:p>
        </w:tc>
      </w:tr>
      <w:tr w:rsidR="00C168CF" w:rsidRPr="004C1685" w14:paraId="5A4784FF" w14:textId="77777777" w:rsidTr="00CC2003">
        <w:trPr>
          <w:trHeight w:val="48"/>
        </w:trPr>
        <w:tc>
          <w:tcPr>
            <w:tcW w:w="1668" w:type="dxa"/>
            <w:tcBorders>
              <w:top w:val="single" w:sz="5" w:space="0" w:color="000000"/>
              <w:left w:val="single" w:sz="5" w:space="0" w:color="000000"/>
              <w:bottom w:val="double" w:sz="2" w:space="0" w:color="FFFFCC"/>
              <w:right w:val="single" w:sz="5" w:space="0" w:color="000000"/>
            </w:tcBorders>
          </w:tcPr>
          <w:p w14:paraId="412F51C8" w14:textId="77777777" w:rsidR="00C168CF" w:rsidRPr="00930A31" w:rsidRDefault="00C168CF" w:rsidP="00CC2003">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4F613C5A" w14:textId="77777777" w:rsidR="00C168CF" w:rsidRPr="00930A31" w:rsidRDefault="00C168CF" w:rsidP="00CC2003">
            <w:pPr>
              <w:pStyle w:val="Default"/>
              <w:spacing w:before="40" w:after="40"/>
              <w:jc w:val="right"/>
              <w:rPr>
                <w:rFonts w:ascii="Arial" w:hAnsi="Arial" w:cs="Arial"/>
                <w:sz w:val="18"/>
                <w:szCs w:val="18"/>
              </w:rPr>
            </w:pPr>
            <w:r w:rsidRPr="00930A31">
              <w:rPr>
                <w:rFonts w:ascii="Arial" w:hAnsi="Arial" w:cs="Arial"/>
                <w:sz w:val="18"/>
                <w:szCs w:val="18"/>
              </w:rPr>
              <w:t>4</w:t>
            </w:r>
          </w:p>
        </w:tc>
        <w:tc>
          <w:tcPr>
            <w:tcW w:w="10327" w:type="dxa"/>
            <w:tcBorders>
              <w:top w:val="single" w:sz="5" w:space="0" w:color="000000"/>
              <w:left w:val="single" w:sz="5" w:space="0" w:color="000000"/>
              <w:bottom w:val="double" w:sz="5" w:space="0" w:color="000000"/>
              <w:right w:val="single" w:sz="5" w:space="0" w:color="000000"/>
            </w:tcBorders>
          </w:tcPr>
          <w:p w14:paraId="6055193E" w14:textId="77777777" w:rsidR="00C168CF" w:rsidRPr="00930A31" w:rsidRDefault="00C168CF" w:rsidP="00CC2003">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2618" w:type="dxa"/>
            <w:tcBorders>
              <w:top w:val="single" w:sz="5" w:space="0" w:color="000000"/>
              <w:left w:val="single" w:sz="5" w:space="0" w:color="000000"/>
              <w:bottom w:val="double" w:sz="5" w:space="0" w:color="000000"/>
              <w:right w:val="single" w:sz="5" w:space="0" w:color="000000"/>
            </w:tcBorders>
          </w:tcPr>
          <w:p w14:paraId="3BB6437A" w14:textId="77777777" w:rsidR="00C168CF" w:rsidRPr="00930A31" w:rsidRDefault="00C168CF" w:rsidP="00CC2003">
            <w:pPr>
              <w:pStyle w:val="Default"/>
              <w:spacing w:before="40" w:after="40"/>
              <w:rPr>
                <w:rFonts w:ascii="Arial" w:hAnsi="Arial" w:cs="Arial"/>
                <w:color w:val="auto"/>
                <w:sz w:val="18"/>
                <w:szCs w:val="18"/>
              </w:rPr>
            </w:pPr>
            <w:r>
              <w:rPr>
                <w:rFonts w:ascii="Arial" w:hAnsi="Arial" w:cs="Arial" w:hint="eastAsia"/>
                <w:color w:val="auto"/>
                <w:sz w:val="18"/>
                <w:szCs w:val="18"/>
                <w:lang w:eastAsia="ja-JP"/>
              </w:rPr>
              <w:t>I</w:t>
            </w:r>
            <w:r>
              <w:rPr>
                <w:rFonts w:ascii="Arial" w:hAnsi="Arial" w:cs="Arial"/>
                <w:color w:val="auto"/>
                <w:sz w:val="18"/>
                <w:szCs w:val="18"/>
                <w:lang w:eastAsia="ja-JP"/>
              </w:rPr>
              <w:t>ntroduction,</w:t>
            </w:r>
            <w:r w:rsidRPr="005B0252">
              <w:rPr>
                <w:rFonts w:ascii="Arial" w:hAnsi="Arial" w:cs="Arial"/>
                <w:color w:val="auto"/>
                <w:sz w:val="18"/>
                <w:szCs w:val="18"/>
                <w:lang w:eastAsia="ja-JP"/>
              </w:rPr>
              <w:t xml:space="preserve"> Paragraph 1</w:t>
            </w:r>
          </w:p>
        </w:tc>
      </w:tr>
      <w:tr w:rsidR="00C168CF" w:rsidRPr="004C1685" w14:paraId="421F2170" w14:textId="77777777" w:rsidTr="00CC2003">
        <w:trPr>
          <w:trHeight w:val="24"/>
        </w:trPr>
        <w:tc>
          <w:tcPr>
            <w:tcW w:w="12582"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4C61723" w14:textId="77777777" w:rsidR="00C168CF" w:rsidRPr="00930A31" w:rsidRDefault="00C168CF" w:rsidP="00CC2003">
            <w:pPr>
              <w:pStyle w:val="Default"/>
              <w:rPr>
                <w:rFonts w:ascii="Arial" w:hAnsi="Arial" w:cs="Arial"/>
                <w:sz w:val="18"/>
                <w:szCs w:val="18"/>
              </w:rPr>
            </w:pPr>
            <w:r w:rsidRPr="00930A31">
              <w:rPr>
                <w:rFonts w:ascii="Arial" w:hAnsi="Arial" w:cs="Arial"/>
                <w:b/>
                <w:bCs/>
                <w:sz w:val="18"/>
                <w:szCs w:val="18"/>
              </w:rPr>
              <w:t xml:space="preserve">METHODS </w:t>
            </w:r>
          </w:p>
        </w:tc>
        <w:tc>
          <w:tcPr>
            <w:tcW w:w="2618" w:type="dxa"/>
            <w:tcBorders>
              <w:top w:val="double" w:sz="5" w:space="0" w:color="000000"/>
              <w:left w:val="single" w:sz="5" w:space="0" w:color="000000"/>
              <w:bottom w:val="single" w:sz="5" w:space="0" w:color="000000"/>
              <w:right w:val="single" w:sz="5" w:space="0" w:color="000000"/>
            </w:tcBorders>
            <w:shd w:val="clear" w:color="auto" w:fill="FFFFCC"/>
          </w:tcPr>
          <w:p w14:paraId="3E724DCA" w14:textId="77777777" w:rsidR="00C168CF" w:rsidRPr="00930A31" w:rsidRDefault="00C168CF" w:rsidP="00CC2003">
            <w:pPr>
              <w:pStyle w:val="Default"/>
              <w:jc w:val="right"/>
              <w:rPr>
                <w:rFonts w:ascii="Arial" w:hAnsi="Arial" w:cs="Arial"/>
                <w:color w:val="auto"/>
                <w:sz w:val="18"/>
                <w:szCs w:val="18"/>
              </w:rPr>
            </w:pPr>
          </w:p>
        </w:tc>
      </w:tr>
      <w:tr w:rsidR="00C168CF" w:rsidRPr="004C1685" w14:paraId="22CF6345" w14:textId="77777777" w:rsidTr="00CC2003">
        <w:trPr>
          <w:trHeight w:val="48"/>
        </w:trPr>
        <w:tc>
          <w:tcPr>
            <w:tcW w:w="1668" w:type="dxa"/>
            <w:tcBorders>
              <w:top w:val="single" w:sz="5" w:space="0" w:color="000000"/>
              <w:left w:val="single" w:sz="5" w:space="0" w:color="000000"/>
              <w:bottom w:val="single" w:sz="5" w:space="0" w:color="000000"/>
              <w:right w:val="single" w:sz="5" w:space="0" w:color="000000"/>
            </w:tcBorders>
          </w:tcPr>
          <w:p w14:paraId="3F52A479" w14:textId="77777777" w:rsidR="00C168CF" w:rsidRPr="00930A31" w:rsidRDefault="00C168CF" w:rsidP="00CC2003">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607C872D" w14:textId="77777777" w:rsidR="00C168CF" w:rsidRPr="00930A31" w:rsidRDefault="00C168CF" w:rsidP="00CC2003">
            <w:pPr>
              <w:pStyle w:val="Default"/>
              <w:spacing w:before="40" w:after="40"/>
              <w:jc w:val="right"/>
              <w:rPr>
                <w:rFonts w:ascii="Arial" w:hAnsi="Arial" w:cs="Arial"/>
                <w:sz w:val="18"/>
                <w:szCs w:val="18"/>
              </w:rPr>
            </w:pPr>
            <w:r w:rsidRPr="00930A31">
              <w:rPr>
                <w:rFonts w:ascii="Arial" w:hAnsi="Arial" w:cs="Arial"/>
                <w:sz w:val="18"/>
                <w:szCs w:val="18"/>
              </w:rPr>
              <w:t>5</w:t>
            </w:r>
          </w:p>
        </w:tc>
        <w:tc>
          <w:tcPr>
            <w:tcW w:w="10327" w:type="dxa"/>
            <w:tcBorders>
              <w:top w:val="single" w:sz="5" w:space="0" w:color="000000"/>
              <w:left w:val="single" w:sz="5" w:space="0" w:color="000000"/>
              <w:bottom w:val="single" w:sz="5" w:space="0" w:color="000000"/>
              <w:right w:val="single" w:sz="5" w:space="0" w:color="000000"/>
            </w:tcBorders>
          </w:tcPr>
          <w:p w14:paraId="245AC5A8" w14:textId="77777777" w:rsidR="00C168CF" w:rsidRPr="00930A31" w:rsidRDefault="00C168CF" w:rsidP="00CC2003">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2618" w:type="dxa"/>
            <w:tcBorders>
              <w:top w:val="single" w:sz="5" w:space="0" w:color="000000"/>
              <w:left w:val="single" w:sz="5" w:space="0" w:color="000000"/>
              <w:bottom w:val="single" w:sz="5" w:space="0" w:color="000000"/>
              <w:right w:val="single" w:sz="5" w:space="0" w:color="000000"/>
            </w:tcBorders>
          </w:tcPr>
          <w:p w14:paraId="495D7E9F" w14:textId="77777777" w:rsidR="00C168CF" w:rsidRPr="00930A31" w:rsidRDefault="00C168CF" w:rsidP="00CC2003">
            <w:pPr>
              <w:pStyle w:val="Default"/>
              <w:spacing w:before="40" w:after="40"/>
              <w:rPr>
                <w:rFonts w:ascii="Arial" w:hAnsi="Arial" w:cs="Arial"/>
                <w:color w:val="auto"/>
                <w:sz w:val="18"/>
                <w:szCs w:val="18"/>
              </w:rPr>
            </w:pPr>
            <w:r w:rsidRPr="005B0252">
              <w:rPr>
                <w:rFonts w:ascii="Arial" w:hAnsi="Arial" w:cs="Arial" w:hint="eastAsia"/>
                <w:color w:val="auto"/>
                <w:sz w:val="18"/>
                <w:szCs w:val="18"/>
              </w:rPr>
              <w:t>Methods, Study search</w:t>
            </w:r>
            <w:r w:rsidRPr="005B0252">
              <w:rPr>
                <w:rFonts w:ascii="ＭＳ 明朝" w:eastAsia="ＭＳ 明朝" w:hAnsi="ＭＳ 明朝" w:cs="ＭＳ 明朝" w:hint="eastAsia"/>
                <w:color w:val="auto"/>
                <w:sz w:val="18"/>
                <w:szCs w:val="18"/>
              </w:rPr>
              <w:t xml:space="preserve">　</w:t>
            </w:r>
          </w:p>
        </w:tc>
      </w:tr>
      <w:tr w:rsidR="00C168CF" w:rsidRPr="004C1685" w14:paraId="75E618F8" w14:textId="77777777" w:rsidTr="00CC2003">
        <w:trPr>
          <w:trHeight w:val="191"/>
        </w:trPr>
        <w:tc>
          <w:tcPr>
            <w:tcW w:w="1668" w:type="dxa"/>
            <w:tcBorders>
              <w:top w:val="single" w:sz="5" w:space="0" w:color="000000"/>
              <w:left w:val="single" w:sz="5" w:space="0" w:color="000000"/>
              <w:bottom w:val="single" w:sz="5" w:space="0" w:color="000000"/>
              <w:right w:val="single" w:sz="5" w:space="0" w:color="000000"/>
            </w:tcBorders>
          </w:tcPr>
          <w:p w14:paraId="092008D0" w14:textId="77777777" w:rsidR="00C168CF" w:rsidRPr="00930A31" w:rsidRDefault="00C168CF" w:rsidP="00CC2003">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2CFED6A0" w14:textId="77777777" w:rsidR="00C168CF" w:rsidRPr="00930A31" w:rsidRDefault="00C168CF" w:rsidP="00CC2003">
            <w:pPr>
              <w:pStyle w:val="Default"/>
              <w:spacing w:before="40" w:after="40"/>
              <w:jc w:val="right"/>
              <w:rPr>
                <w:rFonts w:ascii="Arial" w:hAnsi="Arial" w:cs="Arial"/>
                <w:sz w:val="18"/>
                <w:szCs w:val="18"/>
              </w:rPr>
            </w:pPr>
            <w:r w:rsidRPr="00930A31">
              <w:rPr>
                <w:rFonts w:ascii="Arial" w:hAnsi="Arial" w:cs="Arial"/>
                <w:sz w:val="18"/>
                <w:szCs w:val="18"/>
              </w:rPr>
              <w:t>6</w:t>
            </w:r>
          </w:p>
        </w:tc>
        <w:tc>
          <w:tcPr>
            <w:tcW w:w="10327" w:type="dxa"/>
            <w:tcBorders>
              <w:top w:val="single" w:sz="5" w:space="0" w:color="000000"/>
              <w:left w:val="single" w:sz="5" w:space="0" w:color="000000"/>
              <w:bottom w:val="single" w:sz="5" w:space="0" w:color="000000"/>
              <w:right w:val="single" w:sz="5" w:space="0" w:color="000000"/>
            </w:tcBorders>
          </w:tcPr>
          <w:p w14:paraId="477C8168" w14:textId="77777777" w:rsidR="00C168CF" w:rsidRPr="00930A31" w:rsidRDefault="00C168CF" w:rsidP="00CC2003">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2618" w:type="dxa"/>
            <w:tcBorders>
              <w:top w:val="single" w:sz="5" w:space="0" w:color="000000"/>
              <w:left w:val="single" w:sz="5" w:space="0" w:color="000000"/>
              <w:bottom w:val="single" w:sz="5" w:space="0" w:color="000000"/>
              <w:right w:val="single" w:sz="5" w:space="0" w:color="000000"/>
            </w:tcBorders>
          </w:tcPr>
          <w:p w14:paraId="0E7D3EFD" w14:textId="77777777" w:rsidR="00C168CF" w:rsidRPr="00930A31" w:rsidRDefault="00C168CF" w:rsidP="00CC2003">
            <w:pPr>
              <w:pStyle w:val="Default"/>
              <w:spacing w:before="40" w:after="40"/>
              <w:rPr>
                <w:rFonts w:ascii="Arial" w:hAnsi="Arial" w:cs="Arial"/>
                <w:color w:val="auto"/>
                <w:sz w:val="18"/>
                <w:szCs w:val="18"/>
              </w:rPr>
            </w:pPr>
            <w:r w:rsidRPr="005B0252">
              <w:rPr>
                <w:rFonts w:ascii="Arial" w:hAnsi="Arial" w:cs="Arial" w:hint="eastAsia"/>
                <w:color w:val="auto"/>
                <w:sz w:val="18"/>
                <w:szCs w:val="18"/>
              </w:rPr>
              <w:t>Methods, Study search</w:t>
            </w:r>
            <w:r w:rsidRPr="005B0252">
              <w:rPr>
                <w:rFonts w:ascii="ＭＳ 明朝" w:eastAsia="ＭＳ 明朝" w:hAnsi="ＭＳ 明朝" w:cs="ＭＳ 明朝" w:hint="eastAsia"/>
                <w:color w:val="auto"/>
                <w:sz w:val="18"/>
                <w:szCs w:val="18"/>
              </w:rPr>
              <w:t xml:space="preserve">　</w:t>
            </w:r>
          </w:p>
        </w:tc>
      </w:tr>
      <w:tr w:rsidR="00C168CF" w:rsidRPr="004C1685" w14:paraId="697767F0" w14:textId="77777777" w:rsidTr="00CC2003">
        <w:trPr>
          <w:trHeight w:val="48"/>
        </w:trPr>
        <w:tc>
          <w:tcPr>
            <w:tcW w:w="1668" w:type="dxa"/>
            <w:tcBorders>
              <w:top w:val="single" w:sz="5" w:space="0" w:color="000000"/>
              <w:left w:val="single" w:sz="5" w:space="0" w:color="000000"/>
              <w:bottom w:val="single" w:sz="5" w:space="0" w:color="000000"/>
              <w:right w:val="single" w:sz="5" w:space="0" w:color="000000"/>
            </w:tcBorders>
          </w:tcPr>
          <w:p w14:paraId="1758D09E" w14:textId="77777777" w:rsidR="00C168CF" w:rsidRPr="00930A31" w:rsidRDefault="00C168CF" w:rsidP="00CC2003">
            <w:pPr>
              <w:pStyle w:val="Default"/>
              <w:spacing w:before="40" w:after="40"/>
              <w:rPr>
                <w:rFonts w:ascii="Arial" w:hAnsi="Arial" w:cs="Arial"/>
                <w:sz w:val="18"/>
                <w:szCs w:val="18"/>
              </w:rPr>
            </w:pPr>
            <w:r w:rsidRPr="00930A31">
              <w:rPr>
                <w:rFonts w:ascii="Arial" w:hAnsi="Arial" w:cs="Arial"/>
                <w:sz w:val="18"/>
                <w:szCs w:val="18"/>
              </w:rPr>
              <w:t>Search strategy</w:t>
            </w:r>
          </w:p>
        </w:tc>
        <w:tc>
          <w:tcPr>
            <w:tcW w:w="587" w:type="dxa"/>
            <w:tcBorders>
              <w:top w:val="single" w:sz="5" w:space="0" w:color="000000"/>
              <w:left w:val="single" w:sz="5" w:space="0" w:color="000000"/>
              <w:bottom w:val="single" w:sz="5" w:space="0" w:color="000000"/>
              <w:right w:val="single" w:sz="5" w:space="0" w:color="000000"/>
            </w:tcBorders>
          </w:tcPr>
          <w:p w14:paraId="4547EDE1" w14:textId="77777777" w:rsidR="00C168CF" w:rsidRPr="00930A31" w:rsidRDefault="00C168CF" w:rsidP="00CC2003">
            <w:pPr>
              <w:pStyle w:val="Default"/>
              <w:spacing w:before="40" w:after="40"/>
              <w:jc w:val="right"/>
              <w:rPr>
                <w:rFonts w:ascii="Arial" w:hAnsi="Arial" w:cs="Arial"/>
                <w:sz w:val="18"/>
                <w:szCs w:val="18"/>
              </w:rPr>
            </w:pPr>
            <w:r w:rsidRPr="00930A31">
              <w:rPr>
                <w:rFonts w:ascii="Arial" w:hAnsi="Arial" w:cs="Arial"/>
                <w:sz w:val="18"/>
                <w:szCs w:val="18"/>
              </w:rPr>
              <w:t>7</w:t>
            </w:r>
          </w:p>
        </w:tc>
        <w:tc>
          <w:tcPr>
            <w:tcW w:w="10327" w:type="dxa"/>
            <w:tcBorders>
              <w:top w:val="single" w:sz="5" w:space="0" w:color="000000"/>
              <w:left w:val="single" w:sz="5" w:space="0" w:color="000000"/>
              <w:bottom w:val="single" w:sz="5" w:space="0" w:color="000000"/>
              <w:right w:val="single" w:sz="5" w:space="0" w:color="000000"/>
            </w:tcBorders>
          </w:tcPr>
          <w:p w14:paraId="737D9838" w14:textId="77777777" w:rsidR="00C168CF" w:rsidRPr="00930A31" w:rsidRDefault="00C168CF" w:rsidP="00CC2003">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2618" w:type="dxa"/>
            <w:tcBorders>
              <w:top w:val="single" w:sz="5" w:space="0" w:color="000000"/>
              <w:left w:val="single" w:sz="5" w:space="0" w:color="000000"/>
              <w:bottom w:val="single" w:sz="5" w:space="0" w:color="000000"/>
              <w:right w:val="single" w:sz="5" w:space="0" w:color="000000"/>
            </w:tcBorders>
          </w:tcPr>
          <w:p w14:paraId="34458120" w14:textId="77777777" w:rsidR="00C168CF" w:rsidRPr="00930A31" w:rsidRDefault="00C168CF" w:rsidP="00CC2003">
            <w:pPr>
              <w:pStyle w:val="Default"/>
              <w:spacing w:before="40" w:after="40"/>
              <w:rPr>
                <w:rFonts w:ascii="Arial" w:hAnsi="Arial" w:cs="Arial"/>
                <w:color w:val="auto"/>
                <w:sz w:val="18"/>
                <w:szCs w:val="18"/>
              </w:rPr>
            </w:pPr>
            <w:r w:rsidRPr="005B0252">
              <w:rPr>
                <w:rFonts w:ascii="Arial" w:hAnsi="Arial" w:cs="Arial" w:hint="eastAsia"/>
                <w:color w:val="auto"/>
                <w:sz w:val="18"/>
                <w:szCs w:val="18"/>
              </w:rPr>
              <w:t>Methods, Study search</w:t>
            </w:r>
            <w:r w:rsidRPr="005B0252">
              <w:rPr>
                <w:rFonts w:ascii="ＭＳ 明朝" w:eastAsia="ＭＳ 明朝" w:hAnsi="ＭＳ 明朝" w:cs="ＭＳ 明朝" w:hint="eastAsia"/>
                <w:color w:val="auto"/>
                <w:sz w:val="18"/>
                <w:szCs w:val="18"/>
              </w:rPr>
              <w:t xml:space="preserve">　</w:t>
            </w:r>
          </w:p>
        </w:tc>
      </w:tr>
      <w:tr w:rsidR="00C168CF" w:rsidRPr="004C1685" w14:paraId="0B489C4C" w14:textId="77777777" w:rsidTr="00CC2003">
        <w:trPr>
          <w:trHeight w:val="48"/>
        </w:trPr>
        <w:tc>
          <w:tcPr>
            <w:tcW w:w="1668" w:type="dxa"/>
            <w:tcBorders>
              <w:top w:val="single" w:sz="5" w:space="0" w:color="000000"/>
              <w:left w:val="single" w:sz="5" w:space="0" w:color="000000"/>
              <w:bottom w:val="single" w:sz="5" w:space="0" w:color="000000"/>
              <w:right w:val="single" w:sz="5" w:space="0" w:color="000000"/>
            </w:tcBorders>
          </w:tcPr>
          <w:p w14:paraId="24DB4EB0" w14:textId="77777777" w:rsidR="00C168CF" w:rsidRPr="00930A31" w:rsidRDefault="00C168CF" w:rsidP="00CC2003">
            <w:pPr>
              <w:pStyle w:val="Default"/>
              <w:spacing w:before="40" w:after="40"/>
              <w:rPr>
                <w:rFonts w:ascii="Arial" w:hAnsi="Arial" w:cs="Arial"/>
                <w:sz w:val="18"/>
                <w:szCs w:val="18"/>
              </w:rPr>
            </w:pPr>
            <w:r w:rsidRPr="00930A31">
              <w:rPr>
                <w:rFonts w:ascii="Arial" w:hAnsi="Arial" w:cs="Arial"/>
                <w:sz w:val="18"/>
                <w:szCs w:val="18"/>
              </w:rPr>
              <w:t>Selection process</w:t>
            </w:r>
          </w:p>
        </w:tc>
        <w:tc>
          <w:tcPr>
            <w:tcW w:w="587" w:type="dxa"/>
            <w:tcBorders>
              <w:top w:val="single" w:sz="5" w:space="0" w:color="000000"/>
              <w:left w:val="single" w:sz="5" w:space="0" w:color="000000"/>
              <w:bottom w:val="single" w:sz="5" w:space="0" w:color="000000"/>
              <w:right w:val="single" w:sz="5" w:space="0" w:color="000000"/>
            </w:tcBorders>
          </w:tcPr>
          <w:p w14:paraId="0C666A04" w14:textId="77777777" w:rsidR="00C168CF" w:rsidRPr="00930A31" w:rsidRDefault="00C168CF" w:rsidP="00CC2003">
            <w:pPr>
              <w:pStyle w:val="Default"/>
              <w:spacing w:before="40" w:after="40"/>
              <w:jc w:val="right"/>
              <w:rPr>
                <w:rFonts w:ascii="Arial" w:hAnsi="Arial" w:cs="Arial"/>
                <w:sz w:val="18"/>
                <w:szCs w:val="18"/>
              </w:rPr>
            </w:pPr>
            <w:r w:rsidRPr="00930A31">
              <w:rPr>
                <w:rFonts w:ascii="Arial" w:hAnsi="Arial" w:cs="Arial"/>
                <w:sz w:val="18"/>
                <w:szCs w:val="18"/>
              </w:rPr>
              <w:t>8</w:t>
            </w:r>
          </w:p>
        </w:tc>
        <w:tc>
          <w:tcPr>
            <w:tcW w:w="10327" w:type="dxa"/>
            <w:tcBorders>
              <w:top w:val="single" w:sz="5" w:space="0" w:color="000000"/>
              <w:left w:val="single" w:sz="5" w:space="0" w:color="000000"/>
              <w:bottom w:val="single" w:sz="5" w:space="0" w:color="000000"/>
              <w:right w:val="single" w:sz="5" w:space="0" w:color="000000"/>
            </w:tcBorders>
          </w:tcPr>
          <w:p w14:paraId="4FFDD825" w14:textId="77777777" w:rsidR="00C168CF" w:rsidRPr="00930A31" w:rsidRDefault="00C168CF" w:rsidP="00CC2003">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2618" w:type="dxa"/>
            <w:tcBorders>
              <w:top w:val="single" w:sz="5" w:space="0" w:color="000000"/>
              <w:left w:val="single" w:sz="5" w:space="0" w:color="000000"/>
              <w:bottom w:val="single" w:sz="5" w:space="0" w:color="000000"/>
              <w:right w:val="single" w:sz="5" w:space="0" w:color="000000"/>
            </w:tcBorders>
          </w:tcPr>
          <w:p w14:paraId="5859E239" w14:textId="77777777" w:rsidR="00C168CF" w:rsidRPr="00930A31" w:rsidRDefault="00C168CF" w:rsidP="00CC2003">
            <w:pPr>
              <w:pStyle w:val="Default"/>
              <w:spacing w:before="40" w:after="40"/>
              <w:rPr>
                <w:rFonts w:ascii="Arial" w:hAnsi="Arial" w:cs="Arial"/>
                <w:color w:val="auto"/>
                <w:sz w:val="18"/>
                <w:szCs w:val="18"/>
              </w:rPr>
            </w:pPr>
            <w:r w:rsidRPr="005B0252">
              <w:rPr>
                <w:rFonts w:ascii="Arial" w:hAnsi="Arial" w:cs="Arial" w:hint="eastAsia"/>
                <w:color w:val="auto"/>
                <w:sz w:val="18"/>
                <w:szCs w:val="18"/>
              </w:rPr>
              <w:t>Methods, Study search</w:t>
            </w:r>
            <w:r w:rsidRPr="005B0252">
              <w:rPr>
                <w:rFonts w:ascii="ＭＳ 明朝" w:eastAsia="ＭＳ 明朝" w:hAnsi="ＭＳ 明朝" w:cs="ＭＳ 明朝" w:hint="eastAsia"/>
                <w:color w:val="auto"/>
                <w:sz w:val="18"/>
                <w:szCs w:val="18"/>
              </w:rPr>
              <w:t xml:space="preserve">　</w:t>
            </w:r>
          </w:p>
        </w:tc>
      </w:tr>
      <w:tr w:rsidR="00C168CF" w:rsidRPr="004C1685" w14:paraId="3EB28241" w14:textId="77777777" w:rsidTr="00CC2003">
        <w:trPr>
          <w:trHeight w:val="152"/>
        </w:trPr>
        <w:tc>
          <w:tcPr>
            <w:tcW w:w="1668" w:type="dxa"/>
            <w:tcBorders>
              <w:top w:val="single" w:sz="5" w:space="0" w:color="000000"/>
              <w:left w:val="single" w:sz="5" w:space="0" w:color="000000"/>
              <w:bottom w:val="single" w:sz="5" w:space="0" w:color="000000"/>
              <w:right w:val="single" w:sz="5" w:space="0" w:color="000000"/>
            </w:tcBorders>
          </w:tcPr>
          <w:p w14:paraId="7BA0BF2F" w14:textId="77777777" w:rsidR="00C168CF" w:rsidRPr="00930A31" w:rsidRDefault="00C168CF" w:rsidP="00CC2003">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60D37B63" w14:textId="77777777" w:rsidR="00C168CF" w:rsidRPr="00930A31" w:rsidRDefault="00C168CF" w:rsidP="00CC2003">
            <w:pPr>
              <w:pStyle w:val="Default"/>
              <w:spacing w:before="40" w:after="40"/>
              <w:jc w:val="right"/>
              <w:rPr>
                <w:rFonts w:ascii="Arial" w:hAnsi="Arial" w:cs="Arial"/>
                <w:sz w:val="18"/>
                <w:szCs w:val="18"/>
              </w:rPr>
            </w:pPr>
            <w:r w:rsidRPr="00930A31">
              <w:rPr>
                <w:rFonts w:ascii="Arial" w:hAnsi="Arial" w:cs="Arial"/>
                <w:sz w:val="18"/>
                <w:szCs w:val="18"/>
              </w:rPr>
              <w:t>9</w:t>
            </w:r>
          </w:p>
        </w:tc>
        <w:tc>
          <w:tcPr>
            <w:tcW w:w="10327" w:type="dxa"/>
            <w:tcBorders>
              <w:top w:val="single" w:sz="5" w:space="0" w:color="000000"/>
              <w:left w:val="single" w:sz="5" w:space="0" w:color="000000"/>
              <w:bottom w:val="single" w:sz="5" w:space="0" w:color="000000"/>
              <w:right w:val="single" w:sz="5" w:space="0" w:color="000000"/>
            </w:tcBorders>
          </w:tcPr>
          <w:p w14:paraId="2C3174FC" w14:textId="77777777" w:rsidR="00C168CF" w:rsidRPr="00930A31" w:rsidRDefault="00C168CF" w:rsidP="00CC2003">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2618" w:type="dxa"/>
            <w:tcBorders>
              <w:top w:val="single" w:sz="5" w:space="0" w:color="000000"/>
              <w:left w:val="single" w:sz="5" w:space="0" w:color="000000"/>
              <w:bottom w:val="single" w:sz="5" w:space="0" w:color="000000"/>
              <w:right w:val="single" w:sz="5" w:space="0" w:color="000000"/>
            </w:tcBorders>
          </w:tcPr>
          <w:p w14:paraId="0061B03B" w14:textId="77777777" w:rsidR="00C168CF" w:rsidRPr="00930A31" w:rsidRDefault="00C168CF" w:rsidP="00CC2003">
            <w:pPr>
              <w:pStyle w:val="Default"/>
              <w:spacing w:before="40" w:after="40"/>
              <w:rPr>
                <w:rFonts w:ascii="Arial" w:hAnsi="Arial" w:cs="Arial"/>
                <w:color w:val="auto"/>
                <w:sz w:val="18"/>
                <w:szCs w:val="18"/>
              </w:rPr>
            </w:pPr>
            <w:r w:rsidRPr="005B0252">
              <w:rPr>
                <w:rFonts w:ascii="Arial" w:hAnsi="Arial" w:cs="Arial" w:hint="eastAsia"/>
                <w:color w:val="auto"/>
                <w:sz w:val="18"/>
                <w:szCs w:val="18"/>
              </w:rPr>
              <w:t>Methods, Study search</w:t>
            </w:r>
            <w:r w:rsidRPr="005B0252">
              <w:rPr>
                <w:rFonts w:ascii="ＭＳ 明朝" w:eastAsia="ＭＳ 明朝" w:hAnsi="ＭＳ 明朝" w:cs="ＭＳ 明朝" w:hint="eastAsia"/>
                <w:color w:val="auto"/>
                <w:sz w:val="18"/>
                <w:szCs w:val="18"/>
              </w:rPr>
              <w:t xml:space="preserve">　</w:t>
            </w:r>
          </w:p>
        </w:tc>
      </w:tr>
      <w:tr w:rsidR="00C168CF" w:rsidRPr="004C1685" w14:paraId="5E9A9E8C" w14:textId="77777777" w:rsidTr="00CC2003">
        <w:trPr>
          <w:trHeight w:val="48"/>
        </w:trPr>
        <w:tc>
          <w:tcPr>
            <w:tcW w:w="1668" w:type="dxa"/>
            <w:vMerge w:val="restart"/>
            <w:tcBorders>
              <w:top w:val="single" w:sz="5" w:space="0" w:color="000000"/>
              <w:left w:val="single" w:sz="5" w:space="0" w:color="000000"/>
              <w:right w:val="single" w:sz="5" w:space="0" w:color="000000"/>
            </w:tcBorders>
          </w:tcPr>
          <w:p w14:paraId="613BC1A4" w14:textId="77777777" w:rsidR="00C168CF" w:rsidRPr="00930A31" w:rsidRDefault="00C168CF" w:rsidP="00CC2003">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4C80AA7C" w14:textId="77777777" w:rsidR="00C168CF" w:rsidRPr="00930A31" w:rsidRDefault="00C168CF" w:rsidP="00CC2003">
            <w:pPr>
              <w:pStyle w:val="Default"/>
              <w:spacing w:before="40" w:after="40"/>
              <w:jc w:val="right"/>
              <w:rPr>
                <w:rFonts w:ascii="Arial" w:hAnsi="Arial" w:cs="Arial"/>
                <w:sz w:val="18"/>
                <w:szCs w:val="18"/>
              </w:rPr>
            </w:pPr>
            <w:r w:rsidRPr="00930A31">
              <w:rPr>
                <w:rFonts w:ascii="Arial" w:hAnsi="Arial" w:cs="Arial"/>
                <w:sz w:val="18"/>
                <w:szCs w:val="18"/>
              </w:rPr>
              <w:t>10a</w:t>
            </w:r>
          </w:p>
        </w:tc>
        <w:tc>
          <w:tcPr>
            <w:tcW w:w="10327" w:type="dxa"/>
            <w:tcBorders>
              <w:top w:val="single" w:sz="5" w:space="0" w:color="000000"/>
              <w:left w:val="single" w:sz="5" w:space="0" w:color="000000"/>
              <w:bottom w:val="single" w:sz="5" w:space="0" w:color="000000"/>
              <w:right w:val="single" w:sz="5" w:space="0" w:color="000000"/>
            </w:tcBorders>
          </w:tcPr>
          <w:p w14:paraId="7F194530" w14:textId="77777777" w:rsidR="00C168CF" w:rsidRPr="00930A31" w:rsidRDefault="00C168CF" w:rsidP="00CC2003">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2618" w:type="dxa"/>
            <w:tcBorders>
              <w:top w:val="single" w:sz="5" w:space="0" w:color="000000"/>
              <w:left w:val="single" w:sz="5" w:space="0" w:color="000000"/>
              <w:bottom w:val="single" w:sz="5" w:space="0" w:color="000000"/>
              <w:right w:val="single" w:sz="5" w:space="0" w:color="000000"/>
            </w:tcBorders>
          </w:tcPr>
          <w:p w14:paraId="07804318" w14:textId="77777777" w:rsidR="00C168CF" w:rsidRPr="00930A31" w:rsidRDefault="00C168CF" w:rsidP="00CC2003">
            <w:pPr>
              <w:pStyle w:val="Default"/>
              <w:spacing w:before="40" w:after="40"/>
              <w:rPr>
                <w:rFonts w:ascii="Arial" w:hAnsi="Arial" w:cs="Arial"/>
                <w:color w:val="auto"/>
                <w:sz w:val="18"/>
                <w:szCs w:val="18"/>
              </w:rPr>
            </w:pPr>
            <w:r w:rsidRPr="005B0252">
              <w:rPr>
                <w:rFonts w:ascii="Arial" w:hAnsi="Arial" w:cs="Arial" w:hint="eastAsia"/>
                <w:color w:val="auto"/>
                <w:sz w:val="18"/>
                <w:szCs w:val="18"/>
              </w:rPr>
              <w:t>Methods, Study search</w:t>
            </w:r>
          </w:p>
        </w:tc>
      </w:tr>
      <w:tr w:rsidR="00C168CF" w:rsidRPr="004C1685" w14:paraId="05DBF7FD" w14:textId="77777777" w:rsidTr="00CC2003">
        <w:trPr>
          <w:trHeight w:val="48"/>
        </w:trPr>
        <w:tc>
          <w:tcPr>
            <w:tcW w:w="1668" w:type="dxa"/>
            <w:vMerge/>
            <w:tcBorders>
              <w:left w:val="single" w:sz="5" w:space="0" w:color="000000"/>
              <w:bottom w:val="single" w:sz="5" w:space="0" w:color="000000"/>
              <w:right w:val="single" w:sz="5" w:space="0" w:color="000000"/>
            </w:tcBorders>
          </w:tcPr>
          <w:p w14:paraId="6CC14EDA" w14:textId="77777777" w:rsidR="00C168CF" w:rsidRPr="00930A31" w:rsidRDefault="00C168CF" w:rsidP="00CC2003">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4EFAF3E9" w14:textId="77777777" w:rsidR="00C168CF" w:rsidRPr="00930A31" w:rsidRDefault="00C168CF" w:rsidP="00CC2003">
            <w:pPr>
              <w:pStyle w:val="Default"/>
              <w:spacing w:before="40" w:after="40"/>
              <w:jc w:val="right"/>
              <w:rPr>
                <w:rFonts w:ascii="Arial" w:hAnsi="Arial" w:cs="Arial"/>
                <w:sz w:val="18"/>
                <w:szCs w:val="18"/>
              </w:rPr>
            </w:pPr>
            <w:r w:rsidRPr="00930A31">
              <w:rPr>
                <w:rFonts w:ascii="Arial" w:hAnsi="Arial" w:cs="Arial"/>
                <w:sz w:val="18"/>
                <w:szCs w:val="18"/>
              </w:rPr>
              <w:t>10b</w:t>
            </w:r>
          </w:p>
        </w:tc>
        <w:tc>
          <w:tcPr>
            <w:tcW w:w="10327" w:type="dxa"/>
            <w:tcBorders>
              <w:top w:val="single" w:sz="5" w:space="0" w:color="000000"/>
              <w:left w:val="single" w:sz="5" w:space="0" w:color="000000"/>
              <w:bottom w:val="single" w:sz="5" w:space="0" w:color="000000"/>
              <w:right w:val="single" w:sz="5" w:space="0" w:color="000000"/>
            </w:tcBorders>
          </w:tcPr>
          <w:p w14:paraId="0C6C0F15" w14:textId="77777777" w:rsidR="00C168CF" w:rsidRPr="00930A31" w:rsidRDefault="00C168CF" w:rsidP="00CC2003">
            <w:pPr>
              <w:pStyle w:val="Default"/>
              <w:spacing w:before="40" w:after="40"/>
              <w:rPr>
                <w:rFonts w:ascii="Arial" w:hAnsi="Arial" w:cs="Arial"/>
                <w:sz w:val="18"/>
                <w:szCs w:val="18"/>
              </w:rPr>
            </w:pPr>
            <w:r w:rsidRPr="00930A31">
              <w:rPr>
                <w:rFonts w:ascii="Arial" w:hAnsi="Arial" w:cs="Arial"/>
                <w:sz w:val="18"/>
                <w:szCs w:val="18"/>
              </w:rPr>
              <w:t xml:space="preserve">List and define all other variables for which data were sought (e.g. participant and intervention characteristics, funding </w:t>
            </w:r>
            <w:r w:rsidRPr="00930A31">
              <w:rPr>
                <w:rFonts w:ascii="Arial" w:hAnsi="Arial" w:cs="Arial"/>
                <w:sz w:val="18"/>
                <w:szCs w:val="18"/>
              </w:rPr>
              <w:lastRenderedPageBreak/>
              <w:t>sources). Describe any assumptions made about any missing or unclear information.</w:t>
            </w:r>
          </w:p>
        </w:tc>
        <w:tc>
          <w:tcPr>
            <w:tcW w:w="2618" w:type="dxa"/>
            <w:tcBorders>
              <w:top w:val="single" w:sz="5" w:space="0" w:color="000000"/>
              <w:left w:val="single" w:sz="5" w:space="0" w:color="000000"/>
              <w:bottom w:val="single" w:sz="5" w:space="0" w:color="000000"/>
              <w:right w:val="single" w:sz="5" w:space="0" w:color="000000"/>
            </w:tcBorders>
          </w:tcPr>
          <w:p w14:paraId="288B5F83" w14:textId="77777777" w:rsidR="00C168CF" w:rsidRPr="00930A31" w:rsidRDefault="00C168CF" w:rsidP="00CC2003">
            <w:pPr>
              <w:pStyle w:val="Default"/>
              <w:spacing w:before="40" w:after="40"/>
              <w:rPr>
                <w:rFonts w:ascii="Arial" w:hAnsi="Arial" w:cs="Arial"/>
                <w:color w:val="auto"/>
                <w:sz w:val="18"/>
                <w:szCs w:val="18"/>
              </w:rPr>
            </w:pPr>
            <w:r w:rsidRPr="005B0252">
              <w:rPr>
                <w:rFonts w:ascii="Arial" w:hAnsi="Arial" w:cs="Arial" w:hint="eastAsia"/>
                <w:color w:val="auto"/>
                <w:sz w:val="18"/>
                <w:szCs w:val="18"/>
              </w:rPr>
              <w:lastRenderedPageBreak/>
              <w:t>Methods, Study search</w:t>
            </w:r>
          </w:p>
        </w:tc>
      </w:tr>
      <w:tr w:rsidR="00C168CF" w:rsidRPr="004C1685" w14:paraId="6348CEE3" w14:textId="77777777" w:rsidTr="00CC2003">
        <w:trPr>
          <w:trHeight w:val="48"/>
        </w:trPr>
        <w:tc>
          <w:tcPr>
            <w:tcW w:w="1668" w:type="dxa"/>
            <w:tcBorders>
              <w:top w:val="single" w:sz="5" w:space="0" w:color="000000"/>
              <w:left w:val="single" w:sz="5" w:space="0" w:color="000000"/>
              <w:bottom w:val="single" w:sz="5" w:space="0" w:color="000000"/>
              <w:right w:val="single" w:sz="5" w:space="0" w:color="000000"/>
            </w:tcBorders>
          </w:tcPr>
          <w:p w14:paraId="62C55EC1" w14:textId="77777777" w:rsidR="00C168CF" w:rsidRPr="00930A31" w:rsidRDefault="00C168CF" w:rsidP="00CC2003">
            <w:pPr>
              <w:pStyle w:val="Default"/>
              <w:spacing w:before="40" w:after="40"/>
              <w:rPr>
                <w:rFonts w:ascii="Arial" w:hAnsi="Arial" w:cs="Arial"/>
                <w:sz w:val="18"/>
                <w:szCs w:val="18"/>
              </w:rPr>
            </w:pPr>
            <w:r w:rsidRPr="00930A31">
              <w:rPr>
                <w:rFonts w:ascii="Arial" w:hAnsi="Arial" w:cs="Arial"/>
                <w:sz w:val="18"/>
                <w:szCs w:val="18"/>
              </w:rPr>
              <w:t>Study risk of bias assessment</w:t>
            </w:r>
          </w:p>
        </w:tc>
        <w:tc>
          <w:tcPr>
            <w:tcW w:w="587" w:type="dxa"/>
            <w:tcBorders>
              <w:top w:val="single" w:sz="5" w:space="0" w:color="000000"/>
              <w:left w:val="single" w:sz="5" w:space="0" w:color="000000"/>
              <w:bottom w:val="single" w:sz="5" w:space="0" w:color="000000"/>
              <w:right w:val="single" w:sz="5" w:space="0" w:color="000000"/>
            </w:tcBorders>
          </w:tcPr>
          <w:p w14:paraId="48D0F4A5" w14:textId="77777777" w:rsidR="00C168CF" w:rsidRPr="00930A31" w:rsidRDefault="00C168CF" w:rsidP="00CC2003">
            <w:pPr>
              <w:pStyle w:val="Default"/>
              <w:spacing w:before="40" w:after="40"/>
              <w:jc w:val="right"/>
              <w:rPr>
                <w:rFonts w:ascii="Arial" w:hAnsi="Arial" w:cs="Arial"/>
                <w:sz w:val="18"/>
                <w:szCs w:val="18"/>
              </w:rPr>
            </w:pPr>
            <w:r w:rsidRPr="00930A31">
              <w:rPr>
                <w:rFonts w:ascii="Arial" w:hAnsi="Arial" w:cs="Arial"/>
                <w:sz w:val="18"/>
                <w:szCs w:val="18"/>
              </w:rPr>
              <w:t>11</w:t>
            </w:r>
          </w:p>
        </w:tc>
        <w:tc>
          <w:tcPr>
            <w:tcW w:w="10327" w:type="dxa"/>
            <w:tcBorders>
              <w:top w:val="single" w:sz="5" w:space="0" w:color="000000"/>
              <w:left w:val="single" w:sz="5" w:space="0" w:color="000000"/>
              <w:bottom w:val="single" w:sz="5" w:space="0" w:color="000000"/>
              <w:right w:val="single" w:sz="5" w:space="0" w:color="000000"/>
            </w:tcBorders>
          </w:tcPr>
          <w:p w14:paraId="13463250" w14:textId="77777777" w:rsidR="00C168CF" w:rsidRPr="00930A31" w:rsidRDefault="00C168CF" w:rsidP="00CC2003">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2618" w:type="dxa"/>
            <w:tcBorders>
              <w:top w:val="single" w:sz="5" w:space="0" w:color="000000"/>
              <w:left w:val="single" w:sz="5" w:space="0" w:color="000000"/>
              <w:bottom w:val="single" w:sz="5" w:space="0" w:color="000000"/>
              <w:right w:val="single" w:sz="5" w:space="0" w:color="000000"/>
            </w:tcBorders>
          </w:tcPr>
          <w:p w14:paraId="0704EEC6" w14:textId="77777777" w:rsidR="00C168CF" w:rsidRPr="00930A31" w:rsidRDefault="00C168CF" w:rsidP="00CC2003">
            <w:pPr>
              <w:pStyle w:val="Default"/>
              <w:spacing w:before="40" w:after="40"/>
              <w:rPr>
                <w:rFonts w:ascii="Arial" w:hAnsi="Arial" w:cs="Arial"/>
                <w:color w:val="auto"/>
                <w:sz w:val="18"/>
                <w:szCs w:val="18"/>
              </w:rPr>
            </w:pPr>
            <w:r w:rsidRPr="005B0252">
              <w:rPr>
                <w:rFonts w:ascii="Arial" w:hAnsi="Arial" w:cs="Arial" w:hint="eastAsia"/>
                <w:color w:val="auto"/>
                <w:sz w:val="18"/>
                <w:szCs w:val="18"/>
              </w:rPr>
              <w:t>Methods, Study search</w:t>
            </w:r>
          </w:p>
        </w:tc>
      </w:tr>
      <w:tr w:rsidR="00C168CF" w:rsidRPr="004C1685" w14:paraId="7AFDFD34" w14:textId="77777777" w:rsidTr="00CC2003">
        <w:trPr>
          <w:trHeight w:val="48"/>
        </w:trPr>
        <w:tc>
          <w:tcPr>
            <w:tcW w:w="1668" w:type="dxa"/>
            <w:tcBorders>
              <w:top w:val="single" w:sz="5" w:space="0" w:color="000000"/>
              <w:left w:val="single" w:sz="5" w:space="0" w:color="000000"/>
              <w:bottom w:val="single" w:sz="5" w:space="0" w:color="000000"/>
              <w:right w:val="single" w:sz="5" w:space="0" w:color="000000"/>
            </w:tcBorders>
          </w:tcPr>
          <w:p w14:paraId="7B35B3B3" w14:textId="77777777" w:rsidR="00C168CF" w:rsidRPr="00930A31" w:rsidRDefault="00C168CF" w:rsidP="00CC2003">
            <w:pPr>
              <w:pStyle w:val="Default"/>
              <w:spacing w:before="40" w:after="40"/>
              <w:rPr>
                <w:rFonts w:ascii="Arial" w:hAnsi="Arial" w:cs="Arial"/>
                <w:sz w:val="18"/>
                <w:szCs w:val="18"/>
              </w:rPr>
            </w:pPr>
            <w:r w:rsidRPr="00930A31">
              <w:rPr>
                <w:rFonts w:ascii="Arial" w:hAnsi="Arial" w:cs="Arial"/>
                <w:sz w:val="18"/>
                <w:szCs w:val="18"/>
              </w:rPr>
              <w:t xml:space="preserve">Effect measures </w:t>
            </w:r>
          </w:p>
        </w:tc>
        <w:tc>
          <w:tcPr>
            <w:tcW w:w="587" w:type="dxa"/>
            <w:tcBorders>
              <w:top w:val="single" w:sz="5" w:space="0" w:color="000000"/>
              <w:left w:val="single" w:sz="5" w:space="0" w:color="000000"/>
              <w:bottom w:val="single" w:sz="5" w:space="0" w:color="000000"/>
              <w:right w:val="single" w:sz="5" w:space="0" w:color="000000"/>
            </w:tcBorders>
          </w:tcPr>
          <w:p w14:paraId="563BE70B" w14:textId="77777777" w:rsidR="00C168CF" w:rsidRPr="00930A31" w:rsidRDefault="00C168CF" w:rsidP="00CC2003">
            <w:pPr>
              <w:pStyle w:val="Default"/>
              <w:spacing w:before="40" w:after="40"/>
              <w:jc w:val="right"/>
              <w:rPr>
                <w:rFonts w:ascii="Arial" w:hAnsi="Arial" w:cs="Arial"/>
                <w:sz w:val="18"/>
                <w:szCs w:val="18"/>
              </w:rPr>
            </w:pPr>
            <w:r w:rsidRPr="00930A31">
              <w:rPr>
                <w:rFonts w:ascii="Arial" w:hAnsi="Arial" w:cs="Arial"/>
                <w:sz w:val="18"/>
                <w:szCs w:val="18"/>
              </w:rPr>
              <w:t>12</w:t>
            </w:r>
          </w:p>
        </w:tc>
        <w:tc>
          <w:tcPr>
            <w:tcW w:w="10327" w:type="dxa"/>
            <w:tcBorders>
              <w:top w:val="single" w:sz="5" w:space="0" w:color="000000"/>
              <w:left w:val="single" w:sz="5" w:space="0" w:color="000000"/>
              <w:bottom w:val="single" w:sz="5" w:space="0" w:color="000000"/>
              <w:right w:val="single" w:sz="5" w:space="0" w:color="000000"/>
            </w:tcBorders>
          </w:tcPr>
          <w:p w14:paraId="531B6524" w14:textId="77777777" w:rsidR="00C168CF" w:rsidRPr="00930A31" w:rsidRDefault="00C168CF" w:rsidP="00CC2003">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2618" w:type="dxa"/>
            <w:tcBorders>
              <w:top w:val="single" w:sz="5" w:space="0" w:color="000000"/>
              <w:left w:val="single" w:sz="5" w:space="0" w:color="000000"/>
              <w:bottom w:val="single" w:sz="5" w:space="0" w:color="000000"/>
              <w:right w:val="single" w:sz="5" w:space="0" w:color="000000"/>
            </w:tcBorders>
          </w:tcPr>
          <w:p w14:paraId="5D03EF3E" w14:textId="77777777" w:rsidR="00C168CF" w:rsidRPr="00930A31" w:rsidRDefault="00C168CF" w:rsidP="00CC2003">
            <w:pPr>
              <w:pStyle w:val="Default"/>
              <w:spacing w:before="40" w:after="40"/>
              <w:rPr>
                <w:rFonts w:ascii="Arial" w:hAnsi="Arial" w:cs="Arial"/>
                <w:color w:val="auto"/>
                <w:sz w:val="18"/>
                <w:szCs w:val="18"/>
              </w:rPr>
            </w:pPr>
            <w:r w:rsidRPr="005B0252">
              <w:rPr>
                <w:rFonts w:ascii="Arial" w:hAnsi="Arial" w:cs="Arial" w:hint="eastAsia"/>
                <w:color w:val="auto"/>
                <w:sz w:val="18"/>
                <w:szCs w:val="18"/>
              </w:rPr>
              <w:t>Methods,</w:t>
            </w:r>
            <w:r>
              <w:rPr>
                <w:rFonts w:ascii="Arial" w:hAnsi="Arial" w:cs="Arial"/>
                <w:color w:val="auto"/>
                <w:sz w:val="18"/>
                <w:szCs w:val="18"/>
              </w:rPr>
              <w:t xml:space="preserve"> </w:t>
            </w:r>
            <w:r w:rsidRPr="00A97E2F">
              <w:rPr>
                <w:rFonts w:ascii="Arial" w:hAnsi="Arial" w:cs="Arial"/>
                <w:color w:val="auto"/>
                <w:sz w:val="18"/>
                <w:szCs w:val="18"/>
              </w:rPr>
              <w:t>Main analysis</w:t>
            </w:r>
          </w:p>
        </w:tc>
      </w:tr>
      <w:tr w:rsidR="00C168CF" w:rsidRPr="004C1685" w14:paraId="77C70EB1" w14:textId="77777777" w:rsidTr="00CC2003">
        <w:trPr>
          <w:trHeight w:val="48"/>
        </w:trPr>
        <w:tc>
          <w:tcPr>
            <w:tcW w:w="1668" w:type="dxa"/>
            <w:vMerge w:val="restart"/>
            <w:tcBorders>
              <w:top w:val="single" w:sz="5" w:space="0" w:color="000000"/>
              <w:left w:val="single" w:sz="5" w:space="0" w:color="000000"/>
              <w:right w:val="single" w:sz="5" w:space="0" w:color="000000"/>
            </w:tcBorders>
          </w:tcPr>
          <w:p w14:paraId="7CE7B25E" w14:textId="77777777" w:rsidR="00C168CF" w:rsidRPr="00930A31" w:rsidRDefault="00C168CF" w:rsidP="00CC2003">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5FB2B15D" w14:textId="77777777" w:rsidR="00C168CF" w:rsidRPr="00930A31" w:rsidRDefault="00C168CF" w:rsidP="00CC2003">
            <w:pPr>
              <w:pStyle w:val="Default"/>
              <w:spacing w:before="40" w:after="40"/>
              <w:jc w:val="right"/>
              <w:rPr>
                <w:rFonts w:ascii="Arial" w:hAnsi="Arial" w:cs="Arial"/>
                <w:sz w:val="18"/>
                <w:szCs w:val="18"/>
              </w:rPr>
            </w:pPr>
            <w:r w:rsidRPr="00930A31">
              <w:rPr>
                <w:rFonts w:ascii="Arial" w:hAnsi="Arial" w:cs="Arial"/>
                <w:sz w:val="18"/>
                <w:szCs w:val="18"/>
              </w:rPr>
              <w:t>13a</w:t>
            </w:r>
          </w:p>
        </w:tc>
        <w:tc>
          <w:tcPr>
            <w:tcW w:w="10327" w:type="dxa"/>
            <w:tcBorders>
              <w:top w:val="single" w:sz="5" w:space="0" w:color="000000"/>
              <w:left w:val="single" w:sz="5" w:space="0" w:color="000000"/>
              <w:bottom w:val="single" w:sz="5" w:space="0" w:color="000000"/>
              <w:right w:val="single" w:sz="5" w:space="0" w:color="000000"/>
            </w:tcBorders>
          </w:tcPr>
          <w:p w14:paraId="654B284E" w14:textId="77777777" w:rsidR="00C168CF" w:rsidRPr="00930A31" w:rsidRDefault="00C168CF" w:rsidP="00CC2003">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2618" w:type="dxa"/>
            <w:tcBorders>
              <w:top w:val="single" w:sz="5" w:space="0" w:color="000000"/>
              <w:left w:val="single" w:sz="5" w:space="0" w:color="000000"/>
              <w:bottom w:val="single" w:sz="5" w:space="0" w:color="000000"/>
              <w:right w:val="single" w:sz="5" w:space="0" w:color="000000"/>
            </w:tcBorders>
          </w:tcPr>
          <w:p w14:paraId="0F562B47" w14:textId="77777777" w:rsidR="00C168CF" w:rsidRPr="00930A31" w:rsidRDefault="00C168CF" w:rsidP="00CC2003">
            <w:pPr>
              <w:pStyle w:val="Default"/>
              <w:spacing w:before="40" w:after="40"/>
              <w:rPr>
                <w:rFonts w:ascii="Arial" w:hAnsi="Arial" w:cs="Arial"/>
                <w:color w:val="auto"/>
                <w:sz w:val="18"/>
                <w:szCs w:val="18"/>
              </w:rPr>
            </w:pPr>
            <w:r w:rsidRPr="005B0252">
              <w:rPr>
                <w:rFonts w:ascii="Arial" w:hAnsi="Arial" w:cs="Arial" w:hint="eastAsia"/>
                <w:color w:val="auto"/>
                <w:sz w:val="18"/>
                <w:szCs w:val="18"/>
              </w:rPr>
              <w:t>Methods, Study search</w:t>
            </w:r>
            <w:r w:rsidRPr="005B0252">
              <w:rPr>
                <w:rFonts w:ascii="ＭＳ 明朝" w:eastAsia="ＭＳ 明朝" w:hAnsi="ＭＳ 明朝" w:cs="ＭＳ 明朝" w:hint="eastAsia"/>
                <w:color w:val="auto"/>
                <w:sz w:val="18"/>
                <w:szCs w:val="18"/>
              </w:rPr>
              <w:t xml:space="preserve">　</w:t>
            </w:r>
          </w:p>
        </w:tc>
      </w:tr>
      <w:tr w:rsidR="00C168CF" w:rsidRPr="004C1685" w14:paraId="7787D261" w14:textId="77777777" w:rsidTr="00CC2003">
        <w:trPr>
          <w:trHeight w:val="48"/>
        </w:trPr>
        <w:tc>
          <w:tcPr>
            <w:tcW w:w="1668" w:type="dxa"/>
            <w:vMerge/>
            <w:tcBorders>
              <w:left w:val="single" w:sz="5" w:space="0" w:color="000000"/>
              <w:right w:val="single" w:sz="5" w:space="0" w:color="000000"/>
            </w:tcBorders>
          </w:tcPr>
          <w:p w14:paraId="2A8B9C94" w14:textId="77777777" w:rsidR="00C168CF" w:rsidRPr="00930A31" w:rsidRDefault="00C168CF" w:rsidP="00CC2003">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4902B268" w14:textId="77777777" w:rsidR="00C168CF" w:rsidRPr="00930A31" w:rsidRDefault="00C168CF" w:rsidP="00CC2003">
            <w:pPr>
              <w:pStyle w:val="Default"/>
              <w:spacing w:before="40" w:after="40"/>
              <w:jc w:val="right"/>
              <w:rPr>
                <w:rFonts w:ascii="Arial" w:hAnsi="Arial" w:cs="Arial"/>
                <w:sz w:val="18"/>
                <w:szCs w:val="18"/>
              </w:rPr>
            </w:pPr>
            <w:r w:rsidRPr="00930A31">
              <w:rPr>
                <w:rFonts w:ascii="Arial" w:hAnsi="Arial" w:cs="Arial"/>
                <w:sz w:val="18"/>
                <w:szCs w:val="18"/>
              </w:rPr>
              <w:t>13b</w:t>
            </w:r>
          </w:p>
        </w:tc>
        <w:tc>
          <w:tcPr>
            <w:tcW w:w="10327" w:type="dxa"/>
            <w:tcBorders>
              <w:top w:val="single" w:sz="5" w:space="0" w:color="000000"/>
              <w:left w:val="single" w:sz="5" w:space="0" w:color="000000"/>
              <w:bottom w:val="single" w:sz="5" w:space="0" w:color="000000"/>
              <w:right w:val="single" w:sz="5" w:space="0" w:color="000000"/>
            </w:tcBorders>
          </w:tcPr>
          <w:p w14:paraId="0783150E" w14:textId="77777777" w:rsidR="00C168CF" w:rsidRPr="00930A31" w:rsidRDefault="00C168CF" w:rsidP="00CC2003">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2618" w:type="dxa"/>
            <w:tcBorders>
              <w:top w:val="single" w:sz="5" w:space="0" w:color="000000"/>
              <w:left w:val="single" w:sz="5" w:space="0" w:color="000000"/>
              <w:bottom w:val="single" w:sz="5" w:space="0" w:color="000000"/>
              <w:right w:val="single" w:sz="5" w:space="0" w:color="000000"/>
            </w:tcBorders>
          </w:tcPr>
          <w:p w14:paraId="4ACB6252" w14:textId="77777777" w:rsidR="00C168CF" w:rsidRPr="00930A31" w:rsidRDefault="00C168CF" w:rsidP="00CC2003">
            <w:pPr>
              <w:pStyle w:val="Default"/>
              <w:spacing w:before="40" w:after="40"/>
              <w:rPr>
                <w:rFonts w:ascii="Arial" w:hAnsi="Arial" w:cs="Arial"/>
                <w:color w:val="auto"/>
                <w:sz w:val="18"/>
                <w:szCs w:val="18"/>
              </w:rPr>
            </w:pPr>
            <w:r w:rsidRPr="005B0252">
              <w:rPr>
                <w:rFonts w:ascii="Arial" w:hAnsi="Arial" w:cs="Arial" w:hint="eastAsia"/>
                <w:color w:val="auto"/>
                <w:sz w:val="18"/>
                <w:szCs w:val="18"/>
              </w:rPr>
              <w:t>Methods, Study search</w:t>
            </w:r>
            <w:r w:rsidRPr="005B0252">
              <w:rPr>
                <w:rFonts w:ascii="ＭＳ 明朝" w:eastAsia="ＭＳ 明朝" w:hAnsi="ＭＳ 明朝" w:cs="ＭＳ 明朝" w:hint="eastAsia"/>
                <w:color w:val="auto"/>
                <w:sz w:val="18"/>
                <w:szCs w:val="18"/>
              </w:rPr>
              <w:t xml:space="preserve">　</w:t>
            </w:r>
          </w:p>
        </w:tc>
      </w:tr>
      <w:tr w:rsidR="00C168CF" w:rsidRPr="004C1685" w14:paraId="53A97457" w14:textId="77777777" w:rsidTr="00CC2003">
        <w:trPr>
          <w:trHeight w:val="48"/>
        </w:trPr>
        <w:tc>
          <w:tcPr>
            <w:tcW w:w="1668" w:type="dxa"/>
            <w:vMerge/>
            <w:tcBorders>
              <w:left w:val="single" w:sz="5" w:space="0" w:color="000000"/>
              <w:right w:val="single" w:sz="5" w:space="0" w:color="000000"/>
            </w:tcBorders>
          </w:tcPr>
          <w:p w14:paraId="309ED757" w14:textId="77777777" w:rsidR="00C168CF" w:rsidRPr="00930A31" w:rsidRDefault="00C168CF" w:rsidP="00CC2003">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8B7E112" w14:textId="77777777" w:rsidR="00C168CF" w:rsidRPr="00930A31" w:rsidRDefault="00C168CF" w:rsidP="00CC2003">
            <w:pPr>
              <w:pStyle w:val="Default"/>
              <w:spacing w:before="40" w:after="40"/>
              <w:jc w:val="right"/>
              <w:rPr>
                <w:rFonts w:ascii="Arial" w:hAnsi="Arial" w:cs="Arial"/>
                <w:sz w:val="18"/>
                <w:szCs w:val="18"/>
              </w:rPr>
            </w:pPr>
            <w:r w:rsidRPr="00930A31">
              <w:rPr>
                <w:rFonts w:ascii="Arial" w:hAnsi="Arial" w:cs="Arial"/>
                <w:sz w:val="18"/>
                <w:szCs w:val="18"/>
              </w:rPr>
              <w:t>13c</w:t>
            </w:r>
          </w:p>
        </w:tc>
        <w:tc>
          <w:tcPr>
            <w:tcW w:w="10327" w:type="dxa"/>
            <w:tcBorders>
              <w:top w:val="single" w:sz="5" w:space="0" w:color="000000"/>
              <w:left w:val="single" w:sz="5" w:space="0" w:color="000000"/>
              <w:bottom w:val="single" w:sz="5" w:space="0" w:color="000000"/>
              <w:right w:val="single" w:sz="5" w:space="0" w:color="000000"/>
            </w:tcBorders>
          </w:tcPr>
          <w:p w14:paraId="21425FC9" w14:textId="77777777" w:rsidR="00C168CF" w:rsidRPr="00930A31" w:rsidRDefault="00C168CF" w:rsidP="00CC2003">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2618" w:type="dxa"/>
            <w:tcBorders>
              <w:top w:val="single" w:sz="5" w:space="0" w:color="000000"/>
              <w:left w:val="single" w:sz="5" w:space="0" w:color="000000"/>
              <w:bottom w:val="single" w:sz="5" w:space="0" w:color="000000"/>
              <w:right w:val="single" w:sz="5" w:space="0" w:color="000000"/>
            </w:tcBorders>
          </w:tcPr>
          <w:p w14:paraId="0A61593F" w14:textId="77777777" w:rsidR="00C168CF" w:rsidRPr="00930A31" w:rsidRDefault="00C168CF" w:rsidP="00CC2003">
            <w:pPr>
              <w:pStyle w:val="Default"/>
              <w:spacing w:before="40" w:after="40"/>
              <w:rPr>
                <w:rFonts w:ascii="Arial" w:hAnsi="Arial" w:cs="Arial"/>
                <w:color w:val="auto"/>
                <w:sz w:val="18"/>
                <w:szCs w:val="18"/>
              </w:rPr>
            </w:pPr>
            <w:r w:rsidRPr="005B0252">
              <w:rPr>
                <w:rFonts w:ascii="Arial" w:hAnsi="Arial" w:cs="Arial" w:hint="eastAsia"/>
                <w:color w:val="auto"/>
                <w:sz w:val="18"/>
                <w:szCs w:val="18"/>
              </w:rPr>
              <w:t>Methods,</w:t>
            </w:r>
            <w:r>
              <w:rPr>
                <w:rFonts w:ascii="Arial" w:hAnsi="Arial" w:cs="Arial"/>
                <w:color w:val="auto"/>
                <w:sz w:val="18"/>
                <w:szCs w:val="18"/>
              </w:rPr>
              <w:t xml:space="preserve"> </w:t>
            </w:r>
            <w:r w:rsidRPr="00A97E2F">
              <w:rPr>
                <w:rFonts w:ascii="Arial" w:hAnsi="Arial" w:cs="Arial"/>
                <w:color w:val="auto"/>
                <w:sz w:val="18"/>
                <w:szCs w:val="18"/>
              </w:rPr>
              <w:t>Statistics</w:t>
            </w:r>
          </w:p>
        </w:tc>
      </w:tr>
      <w:tr w:rsidR="00C168CF" w:rsidRPr="004C1685" w14:paraId="6DD4195E" w14:textId="77777777" w:rsidTr="00CC2003">
        <w:trPr>
          <w:trHeight w:val="48"/>
        </w:trPr>
        <w:tc>
          <w:tcPr>
            <w:tcW w:w="1668" w:type="dxa"/>
            <w:vMerge/>
            <w:tcBorders>
              <w:left w:val="single" w:sz="5" w:space="0" w:color="000000"/>
              <w:right w:val="single" w:sz="5" w:space="0" w:color="000000"/>
            </w:tcBorders>
          </w:tcPr>
          <w:p w14:paraId="26E11F20" w14:textId="77777777" w:rsidR="00C168CF" w:rsidRPr="00930A31" w:rsidRDefault="00C168CF" w:rsidP="00CC2003">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573C939" w14:textId="77777777" w:rsidR="00C168CF" w:rsidRPr="00930A31" w:rsidRDefault="00C168CF" w:rsidP="00CC2003">
            <w:pPr>
              <w:pStyle w:val="Default"/>
              <w:spacing w:before="40" w:after="40"/>
              <w:jc w:val="right"/>
              <w:rPr>
                <w:rFonts w:ascii="Arial" w:hAnsi="Arial" w:cs="Arial"/>
                <w:sz w:val="18"/>
                <w:szCs w:val="18"/>
              </w:rPr>
            </w:pPr>
            <w:r w:rsidRPr="00930A31">
              <w:rPr>
                <w:rFonts w:ascii="Arial" w:hAnsi="Arial" w:cs="Arial"/>
                <w:sz w:val="18"/>
                <w:szCs w:val="18"/>
              </w:rPr>
              <w:t>13d</w:t>
            </w:r>
          </w:p>
        </w:tc>
        <w:tc>
          <w:tcPr>
            <w:tcW w:w="10327" w:type="dxa"/>
            <w:tcBorders>
              <w:top w:val="single" w:sz="5" w:space="0" w:color="000000"/>
              <w:left w:val="single" w:sz="5" w:space="0" w:color="000000"/>
              <w:bottom w:val="single" w:sz="5" w:space="0" w:color="000000"/>
              <w:right w:val="single" w:sz="5" w:space="0" w:color="000000"/>
            </w:tcBorders>
          </w:tcPr>
          <w:p w14:paraId="65FB44D4" w14:textId="77777777" w:rsidR="00C168CF" w:rsidRPr="00930A31" w:rsidRDefault="00C168CF" w:rsidP="00CC2003">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2618" w:type="dxa"/>
            <w:tcBorders>
              <w:top w:val="single" w:sz="5" w:space="0" w:color="000000"/>
              <w:left w:val="single" w:sz="5" w:space="0" w:color="000000"/>
              <w:bottom w:val="single" w:sz="5" w:space="0" w:color="000000"/>
              <w:right w:val="single" w:sz="5" w:space="0" w:color="000000"/>
            </w:tcBorders>
          </w:tcPr>
          <w:p w14:paraId="738C70E6" w14:textId="77777777" w:rsidR="00C168CF" w:rsidRPr="00930A31" w:rsidRDefault="00C168CF" w:rsidP="00CC2003">
            <w:pPr>
              <w:pStyle w:val="Default"/>
              <w:spacing w:before="40" w:after="40"/>
              <w:rPr>
                <w:rFonts w:ascii="Arial" w:hAnsi="Arial" w:cs="Arial"/>
                <w:color w:val="auto"/>
                <w:sz w:val="18"/>
                <w:szCs w:val="18"/>
              </w:rPr>
            </w:pPr>
            <w:r w:rsidRPr="005B0252">
              <w:rPr>
                <w:rFonts w:ascii="Arial" w:hAnsi="Arial" w:cs="Arial" w:hint="eastAsia"/>
                <w:color w:val="auto"/>
                <w:sz w:val="18"/>
                <w:szCs w:val="18"/>
              </w:rPr>
              <w:t>Methods,</w:t>
            </w:r>
            <w:r>
              <w:rPr>
                <w:rFonts w:ascii="Arial" w:hAnsi="Arial" w:cs="Arial"/>
                <w:color w:val="auto"/>
                <w:sz w:val="18"/>
                <w:szCs w:val="18"/>
              </w:rPr>
              <w:t xml:space="preserve"> </w:t>
            </w:r>
            <w:r w:rsidRPr="00A97E2F">
              <w:rPr>
                <w:rFonts w:ascii="Arial" w:hAnsi="Arial" w:cs="Arial"/>
                <w:color w:val="auto"/>
                <w:sz w:val="18"/>
                <w:szCs w:val="18"/>
              </w:rPr>
              <w:t>Statistics</w:t>
            </w:r>
          </w:p>
        </w:tc>
      </w:tr>
      <w:tr w:rsidR="00C168CF" w:rsidRPr="004C1685" w14:paraId="4B577EE7" w14:textId="77777777" w:rsidTr="00CC2003">
        <w:trPr>
          <w:trHeight w:val="48"/>
        </w:trPr>
        <w:tc>
          <w:tcPr>
            <w:tcW w:w="1668" w:type="dxa"/>
            <w:vMerge/>
            <w:tcBorders>
              <w:left w:val="single" w:sz="5" w:space="0" w:color="000000"/>
              <w:right w:val="single" w:sz="5" w:space="0" w:color="000000"/>
            </w:tcBorders>
          </w:tcPr>
          <w:p w14:paraId="7CDE280D" w14:textId="77777777" w:rsidR="00C168CF" w:rsidRPr="00930A31" w:rsidRDefault="00C168CF" w:rsidP="00CC2003">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1B37321" w14:textId="77777777" w:rsidR="00C168CF" w:rsidRPr="00930A31" w:rsidRDefault="00C168CF" w:rsidP="00CC2003">
            <w:pPr>
              <w:pStyle w:val="Default"/>
              <w:spacing w:before="40" w:after="40"/>
              <w:jc w:val="right"/>
              <w:rPr>
                <w:rFonts w:ascii="Arial" w:hAnsi="Arial" w:cs="Arial"/>
                <w:sz w:val="18"/>
                <w:szCs w:val="18"/>
              </w:rPr>
            </w:pPr>
            <w:r w:rsidRPr="00930A31">
              <w:rPr>
                <w:rFonts w:ascii="Arial" w:hAnsi="Arial" w:cs="Arial"/>
                <w:sz w:val="18"/>
                <w:szCs w:val="18"/>
              </w:rPr>
              <w:t>13e</w:t>
            </w:r>
          </w:p>
        </w:tc>
        <w:tc>
          <w:tcPr>
            <w:tcW w:w="10327" w:type="dxa"/>
            <w:tcBorders>
              <w:top w:val="single" w:sz="5" w:space="0" w:color="000000"/>
              <w:left w:val="single" w:sz="5" w:space="0" w:color="000000"/>
              <w:bottom w:val="single" w:sz="5" w:space="0" w:color="000000"/>
              <w:right w:val="single" w:sz="5" w:space="0" w:color="000000"/>
            </w:tcBorders>
          </w:tcPr>
          <w:p w14:paraId="0C54B54C" w14:textId="77777777" w:rsidR="00C168CF" w:rsidRPr="00930A31" w:rsidRDefault="00C168CF" w:rsidP="00CC2003">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2618" w:type="dxa"/>
            <w:tcBorders>
              <w:top w:val="single" w:sz="5" w:space="0" w:color="000000"/>
              <w:left w:val="single" w:sz="5" w:space="0" w:color="000000"/>
              <w:bottom w:val="single" w:sz="5" w:space="0" w:color="000000"/>
              <w:right w:val="single" w:sz="5" w:space="0" w:color="000000"/>
            </w:tcBorders>
          </w:tcPr>
          <w:p w14:paraId="28BBE546" w14:textId="77777777" w:rsidR="00C168CF" w:rsidRPr="00930A31" w:rsidRDefault="00C168CF" w:rsidP="00CC2003">
            <w:pPr>
              <w:pStyle w:val="Default"/>
              <w:spacing w:before="40" w:after="40"/>
              <w:rPr>
                <w:rFonts w:ascii="Arial" w:hAnsi="Arial" w:cs="Arial"/>
                <w:color w:val="auto"/>
                <w:sz w:val="18"/>
                <w:szCs w:val="18"/>
              </w:rPr>
            </w:pPr>
            <w:r w:rsidRPr="005B0252">
              <w:rPr>
                <w:rFonts w:ascii="Arial" w:hAnsi="Arial" w:cs="Arial" w:hint="eastAsia"/>
                <w:color w:val="auto"/>
                <w:sz w:val="18"/>
                <w:szCs w:val="18"/>
              </w:rPr>
              <w:t>Methods,</w:t>
            </w:r>
            <w:r>
              <w:rPr>
                <w:rFonts w:ascii="Arial" w:hAnsi="Arial" w:cs="Arial"/>
                <w:color w:val="auto"/>
                <w:sz w:val="18"/>
                <w:szCs w:val="18"/>
              </w:rPr>
              <w:t xml:space="preserve"> </w:t>
            </w:r>
            <w:r w:rsidRPr="00A97E2F">
              <w:rPr>
                <w:rFonts w:ascii="Arial" w:hAnsi="Arial" w:cs="Arial"/>
                <w:color w:val="auto"/>
                <w:sz w:val="18"/>
                <w:szCs w:val="18"/>
              </w:rPr>
              <w:t>Statistics</w:t>
            </w:r>
          </w:p>
        </w:tc>
      </w:tr>
      <w:tr w:rsidR="00C168CF" w:rsidRPr="004C1685" w14:paraId="2F6F1D94" w14:textId="77777777" w:rsidTr="00CC2003">
        <w:trPr>
          <w:trHeight w:val="50"/>
        </w:trPr>
        <w:tc>
          <w:tcPr>
            <w:tcW w:w="1668" w:type="dxa"/>
            <w:vMerge/>
            <w:tcBorders>
              <w:left w:val="single" w:sz="5" w:space="0" w:color="000000"/>
              <w:bottom w:val="single" w:sz="5" w:space="0" w:color="000000"/>
              <w:right w:val="single" w:sz="5" w:space="0" w:color="000000"/>
            </w:tcBorders>
          </w:tcPr>
          <w:p w14:paraId="76AC40E7" w14:textId="77777777" w:rsidR="00C168CF" w:rsidRPr="00930A31" w:rsidRDefault="00C168CF" w:rsidP="00CC2003">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4942C7B7" w14:textId="77777777" w:rsidR="00C168CF" w:rsidRPr="00930A31" w:rsidRDefault="00C168CF" w:rsidP="00CC2003">
            <w:pPr>
              <w:pStyle w:val="Default"/>
              <w:spacing w:before="40" w:after="40"/>
              <w:jc w:val="right"/>
              <w:rPr>
                <w:rFonts w:ascii="Arial" w:hAnsi="Arial" w:cs="Arial"/>
                <w:sz w:val="18"/>
                <w:szCs w:val="18"/>
              </w:rPr>
            </w:pPr>
            <w:r w:rsidRPr="00930A31">
              <w:rPr>
                <w:rFonts w:ascii="Arial" w:hAnsi="Arial" w:cs="Arial"/>
                <w:sz w:val="18"/>
                <w:szCs w:val="18"/>
              </w:rPr>
              <w:t>13f</w:t>
            </w:r>
          </w:p>
        </w:tc>
        <w:tc>
          <w:tcPr>
            <w:tcW w:w="10327" w:type="dxa"/>
            <w:tcBorders>
              <w:top w:val="single" w:sz="5" w:space="0" w:color="000000"/>
              <w:left w:val="single" w:sz="5" w:space="0" w:color="000000"/>
              <w:bottom w:val="single" w:sz="5" w:space="0" w:color="000000"/>
              <w:right w:val="single" w:sz="5" w:space="0" w:color="000000"/>
            </w:tcBorders>
          </w:tcPr>
          <w:p w14:paraId="21F4A39B" w14:textId="77777777" w:rsidR="00C168CF" w:rsidRPr="00930A31" w:rsidRDefault="00C168CF" w:rsidP="00CC2003">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2618" w:type="dxa"/>
            <w:tcBorders>
              <w:top w:val="single" w:sz="5" w:space="0" w:color="000000"/>
              <w:left w:val="single" w:sz="5" w:space="0" w:color="000000"/>
              <w:bottom w:val="single" w:sz="5" w:space="0" w:color="000000"/>
              <w:right w:val="single" w:sz="5" w:space="0" w:color="000000"/>
            </w:tcBorders>
          </w:tcPr>
          <w:p w14:paraId="413528E8" w14:textId="77777777" w:rsidR="00C168CF" w:rsidRPr="00930A31" w:rsidRDefault="00C168CF" w:rsidP="00CC2003">
            <w:pPr>
              <w:pStyle w:val="Default"/>
              <w:spacing w:before="40" w:after="40"/>
              <w:rPr>
                <w:rFonts w:ascii="Arial" w:hAnsi="Arial" w:cs="Arial"/>
                <w:color w:val="auto"/>
                <w:sz w:val="18"/>
                <w:szCs w:val="18"/>
              </w:rPr>
            </w:pPr>
            <w:r w:rsidRPr="005B0252">
              <w:rPr>
                <w:rFonts w:ascii="Arial" w:hAnsi="Arial" w:cs="Arial" w:hint="eastAsia"/>
                <w:color w:val="auto"/>
                <w:sz w:val="18"/>
                <w:szCs w:val="18"/>
              </w:rPr>
              <w:t>Methods,</w:t>
            </w:r>
            <w:r>
              <w:rPr>
                <w:rFonts w:ascii="Arial" w:hAnsi="Arial" w:cs="Arial"/>
                <w:color w:val="auto"/>
                <w:sz w:val="18"/>
                <w:szCs w:val="18"/>
              </w:rPr>
              <w:t xml:space="preserve"> </w:t>
            </w:r>
            <w:r w:rsidRPr="006015BB">
              <w:rPr>
                <w:rFonts w:ascii="Arial" w:hAnsi="Arial" w:cs="Arial"/>
                <w:color w:val="auto"/>
                <w:sz w:val="18"/>
                <w:szCs w:val="18"/>
              </w:rPr>
              <w:t>Sensitivity analysis</w:t>
            </w:r>
          </w:p>
        </w:tc>
      </w:tr>
      <w:tr w:rsidR="00C168CF" w:rsidRPr="004C1685" w14:paraId="71C9385E" w14:textId="77777777" w:rsidTr="00CC2003">
        <w:trPr>
          <w:trHeight w:val="48"/>
        </w:trPr>
        <w:tc>
          <w:tcPr>
            <w:tcW w:w="1668" w:type="dxa"/>
            <w:tcBorders>
              <w:top w:val="single" w:sz="5" w:space="0" w:color="000000"/>
              <w:left w:val="single" w:sz="5" w:space="0" w:color="000000"/>
              <w:bottom w:val="single" w:sz="5" w:space="0" w:color="000000"/>
              <w:right w:val="single" w:sz="5" w:space="0" w:color="000000"/>
            </w:tcBorders>
          </w:tcPr>
          <w:p w14:paraId="54CE93AD" w14:textId="77777777" w:rsidR="00C168CF" w:rsidRPr="00930A31" w:rsidRDefault="00C168CF" w:rsidP="00CC2003">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140436AE" w14:textId="77777777" w:rsidR="00C168CF" w:rsidRPr="00930A31" w:rsidRDefault="00C168CF" w:rsidP="00CC2003">
            <w:pPr>
              <w:pStyle w:val="Default"/>
              <w:spacing w:before="40" w:after="40"/>
              <w:jc w:val="right"/>
              <w:rPr>
                <w:rFonts w:ascii="Arial" w:hAnsi="Arial" w:cs="Arial"/>
                <w:sz w:val="18"/>
                <w:szCs w:val="18"/>
              </w:rPr>
            </w:pPr>
            <w:r w:rsidRPr="00930A31">
              <w:rPr>
                <w:rFonts w:ascii="Arial" w:hAnsi="Arial" w:cs="Arial"/>
                <w:sz w:val="18"/>
                <w:szCs w:val="18"/>
              </w:rPr>
              <w:t>14</w:t>
            </w:r>
          </w:p>
        </w:tc>
        <w:tc>
          <w:tcPr>
            <w:tcW w:w="10327" w:type="dxa"/>
            <w:tcBorders>
              <w:top w:val="single" w:sz="5" w:space="0" w:color="000000"/>
              <w:left w:val="single" w:sz="5" w:space="0" w:color="000000"/>
              <w:bottom w:val="single" w:sz="5" w:space="0" w:color="000000"/>
              <w:right w:val="single" w:sz="5" w:space="0" w:color="000000"/>
            </w:tcBorders>
          </w:tcPr>
          <w:p w14:paraId="00B27B18" w14:textId="77777777" w:rsidR="00C168CF" w:rsidRPr="00930A31" w:rsidRDefault="00C168CF" w:rsidP="00CC2003">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2618" w:type="dxa"/>
            <w:tcBorders>
              <w:top w:val="single" w:sz="5" w:space="0" w:color="000000"/>
              <w:left w:val="single" w:sz="5" w:space="0" w:color="000000"/>
              <w:bottom w:val="single" w:sz="5" w:space="0" w:color="000000"/>
              <w:right w:val="single" w:sz="5" w:space="0" w:color="000000"/>
            </w:tcBorders>
          </w:tcPr>
          <w:p w14:paraId="5A28FEF1" w14:textId="77777777" w:rsidR="00C168CF" w:rsidRPr="00930A31" w:rsidRDefault="00C168CF" w:rsidP="00CC2003">
            <w:pPr>
              <w:pStyle w:val="Default"/>
              <w:spacing w:before="40" w:after="40"/>
              <w:rPr>
                <w:rFonts w:ascii="Arial" w:hAnsi="Arial" w:cs="Arial"/>
                <w:color w:val="auto"/>
                <w:sz w:val="18"/>
                <w:szCs w:val="18"/>
              </w:rPr>
            </w:pPr>
            <w:r w:rsidRPr="005B0252">
              <w:rPr>
                <w:rFonts w:ascii="Arial" w:hAnsi="Arial" w:cs="Arial" w:hint="eastAsia"/>
                <w:color w:val="auto"/>
                <w:sz w:val="18"/>
                <w:szCs w:val="18"/>
              </w:rPr>
              <w:t>Methods,</w:t>
            </w:r>
            <w:r>
              <w:rPr>
                <w:rFonts w:ascii="Arial" w:hAnsi="Arial" w:cs="Arial"/>
                <w:color w:val="auto"/>
                <w:sz w:val="18"/>
                <w:szCs w:val="18"/>
              </w:rPr>
              <w:t xml:space="preserve"> </w:t>
            </w:r>
            <w:r w:rsidRPr="00A97E2F">
              <w:rPr>
                <w:rFonts w:ascii="Arial" w:hAnsi="Arial" w:cs="Arial"/>
                <w:color w:val="auto"/>
                <w:sz w:val="18"/>
                <w:szCs w:val="18"/>
              </w:rPr>
              <w:t>Statistics</w:t>
            </w:r>
          </w:p>
        </w:tc>
      </w:tr>
      <w:tr w:rsidR="00C168CF" w:rsidRPr="004C1685" w14:paraId="1F146F4F" w14:textId="77777777" w:rsidTr="00CC2003">
        <w:trPr>
          <w:trHeight w:val="48"/>
        </w:trPr>
        <w:tc>
          <w:tcPr>
            <w:tcW w:w="1668" w:type="dxa"/>
            <w:tcBorders>
              <w:top w:val="single" w:sz="5" w:space="0" w:color="000000"/>
              <w:left w:val="single" w:sz="5" w:space="0" w:color="000000"/>
              <w:bottom w:val="single" w:sz="5" w:space="0" w:color="000000"/>
              <w:right w:val="single" w:sz="5" w:space="0" w:color="000000"/>
            </w:tcBorders>
          </w:tcPr>
          <w:p w14:paraId="4F846B21" w14:textId="77777777" w:rsidR="00C168CF" w:rsidRPr="00930A31" w:rsidRDefault="00C168CF" w:rsidP="00CC2003">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260EA9EE" w14:textId="77777777" w:rsidR="00C168CF" w:rsidRPr="00930A31" w:rsidRDefault="00C168CF" w:rsidP="00CC2003">
            <w:pPr>
              <w:pStyle w:val="Default"/>
              <w:spacing w:before="40" w:after="40"/>
              <w:jc w:val="right"/>
              <w:rPr>
                <w:rFonts w:ascii="Arial" w:hAnsi="Arial" w:cs="Arial"/>
                <w:sz w:val="18"/>
                <w:szCs w:val="18"/>
              </w:rPr>
            </w:pPr>
            <w:r w:rsidRPr="00930A31">
              <w:rPr>
                <w:rFonts w:ascii="Arial" w:hAnsi="Arial" w:cs="Arial"/>
                <w:sz w:val="18"/>
                <w:szCs w:val="18"/>
              </w:rPr>
              <w:t>15</w:t>
            </w:r>
          </w:p>
        </w:tc>
        <w:tc>
          <w:tcPr>
            <w:tcW w:w="10327" w:type="dxa"/>
            <w:tcBorders>
              <w:top w:val="single" w:sz="5" w:space="0" w:color="000000"/>
              <w:left w:val="single" w:sz="5" w:space="0" w:color="000000"/>
              <w:bottom w:val="single" w:sz="5" w:space="0" w:color="000000"/>
              <w:right w:val="single" w:sz="5" w:space="0" w:color="000000"/>
            </w:tcBorders>
          </w:tcPr>
          <w:p w14:paraId="1B99DA3E" w14:textId="77777777" w:rsidR="00C168CF" w:rsidRPr="00930A31" w:rsidRDefault="00C168CF" w:rsidP="00CC2003">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2618" w:type="dxa"/>
            <w:tcBorders>
              <w:top w:val="single" w:sz="5" w:space="0" w:color="000000"/>
              <w:left w:val="single" w:sz="5" w:space="0" w:color="000000"/>
              <w:bottom w:val="single" w:sz="5" w:space="0" w:color="000000"/>
              <w:right w:val="single" w:sz="5" w:space="0" w:color="000000"/>
            </w:tcBorders>
          </w:tcPr>
          <w:p w14:paraId="78563AA3" w14:textId="77777777" w:rsidR="00C168CF" w:rsidRPr="00930A31" w:rsidRDefault="00C168CF" w:rsidP="00CC2003">
            <w:pPr>
              <w:pStyle w:val="Default"/>
              <w:spacing w:before="40" w:after="40"/>
              <w:rPr>
                <w:rFonts w:ascii="Arial" w:hAnsi="Arial" w:cs="Arial"/>
                <w:color w:val="auto"/>
                <w:sz w:val="18"/>
                <w:szCs w:val="18"/>
              </w:rPr>
            </w:pPr>
            <w:r w:rsidRPr="005B0252">
              <w:rPr>
                <w:rFonts w:ascii="Arial" w:hAnsi="Arial" w:cs="Arial" w:hint="eastAsia"/>
                <w:color w:val="auto"/>
                <w:sz w:val="18"/>
                <w:szCs w:val="18"/>
              </w:rPr>
              <w:t>Methods,</w:t>
            </w:r>
            <w:r>
              <w:rPr>
                <w:rFonts w:ascii="Arial" w:hAnsi="Arial" w:cs="Arial"/>
                <w:color w:val="auto"/>
                <w:sz w:val="18"/>
                <w:szCs w:val="18"/>
              </w:rPr>
              <w:t xml:space="preserve"> </w:t>
            </w:r>
            <w:r w:rsidRPr="00A97E2F">
              <w:rPr>
                <w:rFonts w:ascii="Arial" w:hAnsi="Arial" w:cs="Arial"/>
                <w:color w:val="auto"/>
                <w:sz w:val="18"/>
                <w:szCs w:val="18"/>
              </w:rPr>
              <w:t>Statistics</w:t>
            </w:r>
          </w:p>
        </w:tc>
      </w:tr>
      <w:tr w:rsidR="00C168CF" w:rsidRPr="004C1685" w14:paraId="3938F53F" w14:textId="77777777" w:rsidTr="00CC2003">
        <w:trPr>
          <w:trHeight w:val="24"/>
        </w:trPr>
        <w:tc>
          <w:tcPr>
            <w:tcW w:w="12582"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DFEF958" w14:textId="77777777" w:rsidR="00C168CF" w:rsidRPr="00930A31" w:rsidRDefault="00C168CF" w:rsidP="00CC2003">
            <w:pPr>
              <w:pStyle w:val="Default"/>
              <w:rPr>
                <w:rFonts w:ascii="Arial" w:hAnsi="Arial" w:cs="Arial"/>
                <w:sz w:val="18"/>
                <w:szCs w:val="18"/>
              </w:rPr>
            </w:pPr>
            <w:r w:rsidRPr="00930A31">
              <w:rPr>
                <w:rFonts w:ascii="Arial" w:hAnsi="Arial" w:cs="Arial"/>
                <w:b/>
                <w:bCs/>
                <w:sz w:val="18"/>
                <w:szCs w:val="18"/>
              </w:rPr>
              <w:t xml:space="preserve">RESULTS </w:t>
            </w:r>
          </w:p>
        </w:tc>
        <w:tc>
          <w:tcPr>
            <w:tcW w:w="2618" w:type="dxa"/>
            <w:tcBorders>
              <w:top w:val="double" w:sz="5" w:space="0" w:color="000000"/>
              <w:left w:val="single" w:sz="5" w:space="0" w:color="000000"/>
              <w:bottom w:val="single" w:sz="5" w:space="0" w:color="000000"/>
              <w:right w:val="single" w:sz="5" w:space="0" w:color="000000"/>
            </w:tcBorders>
            <w:shd w:val="clear" w:color="auto" w:fill="FFFFCC"/>
          </w:tcPr>
          <w:p w14:paraId="69B0A864" w14:textId="77777777" w:rsidR="00C168CF" w:rsidRPr="00930A31" w:rsidRDefault="00C168CF" w:rsidP="00CC2003">
            <w:pPr>
              <w:pStyle w:val="Default"/>
              <w:jc w:val="center"/>
              <w:rPr>
                <w:rFonts w:ascii="Arial" w:hAnsi="Arial" w:cs="Arial"/>
                <w:color w:val="auto"/>
                <w:sz w:val="18"/>
                <w:szCs w:val="18"/>
              </w:rPr>
            </w:pPr>
          </w:p>
        </w:tc>
      </w:tr>
      <w:tr w:rsidR="00C168CF" w:rsidRPr="004C1685" w14:paraId="216BB613" w14:textId="77777777" w:rsidTr="00CC2003">
        <w:trPr>
          <w:trHeight w:val="48"/>
        </w:trPr>
        <w:tc>
          <w:tcPr>
            <w:tcW w:w="1668" w:type="dxa"/>
            <w:vMerge w:val="restart"/>
            <w:tcBorders>
              <w:top w:val="single" w:sz="5" w:space="0" w:color="000000"/>
              <w:left w:val="single" w:sz="5" w:space="0" w:color="000000"/>
              <w:right w:val="single" w:sz="5" w:space="0" w:color="000000"/>
            </w:tcBorders>
          </w:tcPr>
          <w:p w14:paraId="59254176" w14:textId="77777777" w:rsidR="00C168CF" w:rsidRPr="00930A31" w:rsidRDefault="00C168CF" w:rsidP="00CC2003">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054D21F7" w14:textId="77777777" w:rsidR="00C168CF" w:rsidRPr="00930A31" w:rsidRDefault="00C168CF" w:rsidP="00CC2003">
            <w:pPr>
              <w:pStyle w:val="Default"/>
              <w:spacing w:before="40" w:after="40"/>
              <w:jc w:val="right"/>
              <w:rPr>
                <w:rFonts w:ascii="Arial" w:hAnsi="Arial" w:cs="Arial"/>
                <w:sz w:val="18"/>
                <w:szCs w:val="18"/>
              </w:rPr>
            </w:pPr>
            <w:r w:rsidRPr="00930A31">
              <w:rPr>
                <w:rFonts w:ascii="Arial" w:hAnsi="Arial" w:cs="Arial"/>
                <w:sz w:val="18"/>
                <w:szCs w:val="18"/>
              </w:rPr>
              <w:t>16a</w:t>
            </w:r>
          </w:p>
        </w:tc>
        <w:tc>
          <w:tcPr>
            <w:tcW w:w="10327" w:type="dxa"/>
            <w:tcBorders>
              <w:top w:val="single" w:sz="5" w:space="0" w:color="000000"/>
              <w:left w:val="single" w:sz="5" w:space="0" w:color="000000"/>
              <w:bottom w:val="single" w:sz="5" w:space="0" w:color="000000"/>
              <w:right w:val="single" w:sz="5" w:space="0" w:color="000000"/>
            </w:tcBorders>
          </w:tcPr>
          <w:p w14:paraId="7B1CA8E4" w14:textId="77777777" w:rsidR="00C168CF" w:rsidRPr="00930A31" w:rsidRDefault="00C168CF" w:rsidP="00CC2003">
            <w:pPr>
              <w:pStyle w:val="Default"/>
              <w:spacing w:before="40" w:after="40"/>
              <w:rPr>
                <w:rFonts w:ascii="Arial" w:hAnsi="Arial" w:cs="Arial"/>
                <w:sz w:val="18"/>
                <w:szCs w:val="18"/>
              </w:rPr>
            </w:pPr>
            <w:r w:rsidRPr="00930A31">
              <w:rPr>
                <w:rFonts w:ascii="Arial" w:hAnsi="Arial" w:cs="Arial"/>
                <w:sz w:val="18"/>
                <w:szCs w:val="18"/>
              </w:rPr>
              <w:t xml:space="preserve">Describe the results of the search and selection process, from the number of records identified in the search to the number of </w:t>
            </w:r>
            <w:r w:rsidRPr="00930A31">
              <w:rPr>
                <w:rFonts w:ascii="Arial" w:hAnsi="Arial" w:cs="Arial"/>
                <w:sz w:val="18"/>
                <w:szCs w:val="18"/>
              </w:rPr>
              <w:lastRenderedPageBreak/>
              <w:t>studies included in the review, ideally using a flow diagram</w:t>
            </w:r>
            <w:r>
              <w:rPr>
                <w:rFonts w:ascii="Arial" w:hAnsi="Arial" w:cs="Arial"/>
                <w:sz w:val="18"/>
                <w:szCs w:val="18"/>
              </w:rPr>
              <w:t>.</w:t>
            </w:r>
          </w:p>
        </w:tc>
        <w:tc>
          <w:tcPr>
            <w:tcW w:w="2618" w:type="dxa"/>
            <w:tcBorders>
              <w:top w:val="single" w:sz="5" w:space="0" w:color="000000"/>
              <w:left w:val="single" w:sz="5" w:space="0" w:color="000000"/>
              <w:bottom w:val="single" w:sz="5" w:space="0" w:color="000000"/>
              <w:right w:val="single" w:sz="5" w:space="0" w:color="000000"/>
            </w:tcBorders>
          </w:tcPr>
          <w:p w14:paraId="15881A75" w14:textId="77777777" w:rsidR="00C168CF" w:rsidRPr="00930A31" w:rsidRDefault="00C168CF" w:rsidP="00CC2003">
            <w:pPr>
              <w:pStyle w:val="Default"/>
              <w:spacing w:before="40" w:after="40"/>
              <w:rPr>
                <w:rFonts w:ascii="Arial" w:hAnsi="Arial" w:cs="Arial"/>
                <w:color w:val="auto"/>
                <w:sz w:val="18"/>
                <w:szCs w:val="18"/>
                <w:lang w:eastAsia="ja-JP"/>
              </w:rPr>
            </w:pPr>
            <w:r>
              <w:rPr>
                <w:rFonts w:ascii="Arial" w:hAnsi="Arial" w:cs="Arial" w:hint="eastAsia"/>
                <w:color w:val="auto"/>
                <w:sz w:val="18"/>
                <w:szCs w:val="18"/>
                <w:lang w:eastAsia="ja-JP"/>
              </w:rPr>
              <w:lastRenderedPageBreak/>
              <w:t>R</w:t>
            </w:r>
            <w:r>
              <w:rPr>
                <w:rFonts w:ascii="Arial" w:hAnsi="Arial" w:cs="Arial"/>
                <w:color w:val="auto"/>
                <w:sz w:val="18"/>
                <w:szCs w:val="18"/>
                <w:lang w:eastAsia="ja-JP"/>
              </w:rPr>
              <w:t xml:space="preserve">esults, </w:t>
            </w:r>
            <w:r w:rsidRPr="00925E33">
              <w:rPr>
                <w:rFonts w:ascii="Arial" w:hAnsi="Arial" w:cs="Arial"/>
                <w:color w:val="auto"/>
                <w:sz w:val="18"/>
                <w:szCs w:val="18"/>
                <w:lang w:eastAsia="ja-JP"/>
              </w:rPr>
              <w:t xml:space="preserve">Study selection and </w:t>
            </w:r>
            <w:r w:rsidRPr="00925E33">
              <w:rPr>
                <w:rFonts w:ascii="Arial" w:hAnsi="Arial" w:cs="Arial"/>
                <w:color w:val="auto"/>
                <w:sz w:val="18"/>
                <w:szCs w:val="18"/>
                <w:lang w:eastAsia="ja-JP"/>
              </w:rPr>
              <w:lastRenderedPageBreak/>
              <w:t>characteristics</w:t>
            </w:r>
          </w:p>
        </w:tc>
      </w:tr>
      <w:tr w:rsidR="00C168CF" w:rsidRPr="004C1685" w14:paraId="688E9445" w14:textId="77777777" w:rsidTr="00CC2003">
        <w:trPr>
          <w:trHeight w:val="48"/>
        </w:trPr>
        <w:tc>
          <w:tcPr>
            <w:tcW w:w="1668" w:type="dxa"/>
            <w:vMerge/>
            <w:tcBorders>
              <w:left w:val="single" w:sz="5" w:space="0" w:color="000000"/>
              <w:bottom w:val="single" w:sz="5" w:space="0" w:color="000000"/>
              <w:right w:val="single" w:sz="5" w:space="0" w:color="000000"/>
            </w:tcBorders>
          </w:tcPr>
          <w:p w14:paraId="3C34B9E4" w14:textId="77777777" w:rsidR="00C168CF" w:rsidRPr="00930A31" w:rsidRDefault="00C168CF" w:rsidP="00CC2003">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4DCC2224" w14:textId="77777777" w:rsidR="00C168CF" w:rsidRPr="00930A31" w:rsidRDefault="00C168CF" w:rsidP="00CC2003">
            <w:pPr>
              <w:pStyle w:val="Default"/>
              <w:spacing w:before="40" w:after="40"/>
              <w:jc w:val="right"/>
              <w:rPr>
                <w:rFonts w:ascii="Arial" w:hAnsi="Arial" w:cs="Arial"/>
                <w:sz w:val="18"/>
                <w:szCs w:val="18"/>
              </w:rPr>
            </w:pPr>
            <w:r w:rsidRPr="00930A31">
              <w:rPr>
                <w:rFonts w:ascii="Arial" w:hAnsi="Arial" w:cs="Arial"/>
                <w:sz w:val="18"/>
                <w:szCs w:val="18"/>
              </w:rPr>
              <w:t>16b</w:t>
            </w:r>
          </w:p>
        </w:tc>
        <w:tc>
          <w:tcPr>
            <w:tcW w:w="10327" w:type="dxa"/>
            <w:tcBorders>
              <w:top w:val="single" w:sz="5" w:space="0" w:color="000000"/>
              <w:left w:val="single" w:sz="5" w:space="0" w:color="000000"/>
              <w:bottom w:val="single" w:sz="5" w:space="0" w:color="000000"/>
              <w:right w:val="single" w:sz="5" w:space="0" w:color="000000"/>
            </w:tcBorders>
          </w:tcPr>
          <w:p w14:paraId="2B468F67" w14:textId="77777777" w:rsidR="00C168CF" w:rsidRPr="00930A31" w:rsidRDefault="00C168CF" w:rsidP="00CC2003">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2618" w:type="dxa"/>
            <w:tcBorders>
              <w:top w:val="single" w:sz="5" w:space="0" w:color="000000"/>
              <w:left w:val="single" w:sz="5" w:space="0" w:color="000000"/>
              <w:bottom w:val="single" w:sz="5" w:space="0" w:color="000000"/>
              <w:right w:val="single" w:sz="5" w:space="0" w:color="000000"/>
            </w:tcBorders>
          </w:tcPr>
          <w:p w14:paraId="4CF83178" w14:textId="77777777" w:rsidR="00C168CF" w:rsidRPr="00930A31" w:rsidRDefault="00C168CF" w:rsidP="00CC2003">
            <w:pPr>
              <w:pStyle w:val="Default"/>
              <w:spacing w:before="40" w:after="40"/>
              <w:rPr>
                <w:rFonts w:ascii="Arial" w:hAnsi="Arial" w:cs="Arial"/>
                <w:color w:val="auto"/>
                <w:sz w:val="18"/>
                <w:szCs w:val="18"/>
              </w:rPr>
            </w:pPr>
            <w:r>
              <w:rPr>
                <w:rFonts w:ascii="Arial" w:hAnsi="Arial" w:cs="Arial" w:hint="eastAsia"/>
                <w:color w:val="auto"/>
                <w:sz w:val="18"/>
                <w:szCs w:val="18"/>
                <w:lang w:eastAsia="ja-JP"/>
              </w:rPr>
              <w:t>R</w:t>
            </w:r>
            <w:r>
              <w:rPr>
                <w:rFonts w:ascii="Arial" w:hAnsi="Arial" w:cs="Arial"/>
                <w:color w:val="auto"/>
                <w:sz w:val="18"/>
                <w:szCs w:val="18"/>
                <w:lang w:eastAsia="ja-JP"/>
              </w:rPr>
              <w:t xml:space="preserve">esults, </w:t>
            </w:r>
            <w:r w:rsidRPr="00925E33">
              <w:rPr>
                <w:rFonts w:ascii="Arial" w:hAnsi="Arial" w:cs="Arial"/>
                <w:color w:val="auto"/>
                <w:sz w:val="18"/>
                <w:szCs w:val="18"/>
                <w:lang w:eastAsia="ja-JP"/>
              </w:rPr>
              <w:t>Study selection and characteristics</w:t>
            </w:r>
          </w:p>
        </w:tc>
      </w:tr>
      <w:tr w:rsidR="00C168CF" w:rsidRPr="004C1685" w14:paraId="0BA4749A" w14:textId="77777777" w:rsidTr="00CC2003">
        <w:trPr>
          <w:trHeight w:val="103"/>
        </w:trPr>
        <w:tc>
          <w:tcPr>
            <w:tcW w:w="1668" w:type="dxa"/>
            <w:tcBorders>
              <w:top w:val="single" w:sz="5" w:space="0" w:color="000000"/>
              <w:left w:val="single" w:sz="5" w:space="0" w:color="000000"/>
              <w:bottom w:val="single" w:sz="5" w:space="0" w:color="000000"/>
              <w:right w:val="single" w:sz="5" w:space="0" w:color="000000"/>
            </w:tcBorders>
          </w:tcPr>
          <w:p w14:paraId="40DB0670" w14:textId="77777777" w:rsidR="00C168CF" w:rsidRPr="00930A31" w:rsidRDefault="00C168CF" w:rsidP="00CC2003">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D92DBB1" w14:textId="77777777" w:rsidR="00C168CF" w:rsidRPr="00930A31" w:rsidRDefault="00C168CF" w:rsidP="00CC2003">
            <w:pPr>
              <w:pStyle w:val="Default"/>
              <w:spacing w:before="40" w:after="40"/>
              <w:jc w:val="right"/>
              <w:rPr>
                <w:rFonts w:ascii="Arial" w:hAnsi="Arial" w:cs="Arial"/>
                <w:sz w:val="18"/>
                <w:szCs w:val="18"/>
              </w:rPr>
            </w:pPr>
            <w:r w:rsidRPr="00930A31">
              <w:rPr>
                <w:rFonts w:ascii="Arial" w:hAnsi="Arial" w:cs="Arial"/>
                <w:sz w:val="18"/>
                <w:szCs w:val="18"/>
              </w:rPr>
              <w:t>17</w:t>
            </w:r>
          </w:p>
        </w:tc>
        <w:tc>
          <w:tcPr>
            <w:tcW w:w="10327" w:type="dxa"/>
            <w:tcBorders>
              <w:top w:val="single" w:sz="5" w:space="0" w:color="000000"/>
              <w:left w:val="single" w:sz="5" w:space="0" w:color="000000"/>
              <w:bottom w:val="single" w:sz="5" w:space="0" w:color="000000"/>
              <w:right w:val="single" w:sz="5" w:space="0" w:color="000000"/>
            </w:tcBorders>
          </w:tcPr>
          <w:p w14:paraId="7602E971" w14:textId="77777777" w:rsidR="00C168CF" w:rsidRPr="00930A31" w:rsidRDefault="00C168CF" w:rsidP="00CC2003">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2618" w:type="dxa"/>
            <w:tcBorders>
              <w:top w:val="single" w:sz="5" w:space="0" w:color="000000"/>
              <w:left w:val="single" w:sz="5" w:space="0" w:color="000000"/>
              <w:bottom w:val="single" w:sz="5" w:space="0" w:color="000000"/>
              <w:right w:val="single" w:sz="5" w:space="0" w:color="000000"/>
            </w:tcBorders>
          </w:tcPr>
          <w:p w14:paraId="68C29394" w14:textId="77777777" w:rsidR="00C168CF" w:rsidRPr="00930A31" w:rsidRDefault="00C168CF" w:rsidP="00CC2003">
            <w:pPr>
              <w:pStyle w:val="Default"/>
              <w:spacing w:before="40" w:after="40"/>
              <w:rPr>
                <w:rFonts w:ascii="Arial" w:hAnsi="Arial" w:cs="Arial"/>
                <w:color w:val="auto"/>
                <w:sz w:val="18"/>
                <w:szCs w:val="18"/>
              </w:rPr>
            </w:pPr>
            <w:r>
              <w:rPr>
                <w:rFonts w:ascii="Arial" w:hAnsi="Arial" w:cs="Arial" w:hint="eastAsia"/>
                <w:color w:val="auto"/>
                <w:sz w:val="18"/>
                <w:szCs w:val="18"/>
                <w:lang w:eastAsia="ja-JP"/>
              </w:rPr>
              <w:t>R</w:t>
            </w:r>
            <w:r>
              <w:rPr>
                <w:rFonts w:ascii="Arial" w:hAnsi="Arial" w:cs="Arial"/>
                <w:color w:val="auto"/>
                <w:sz w:val="18"/>
                <w:szCs w:val="18"/>
                <w:lang w:eastAsia="ja-JP"/>
              </w:rPr>
              <w:t xml:space="preserve">esults, </w:t>
            </w:r>
            <w:r w:rsidRPr="00925E33">
              <w:rPr>
                <w:rFonts w:ascii="Arial" w:hAnsi="Arial" w:cs="Arial"/>
                <w:color w:val="auto"/>
                <w:sz w:val="18"/>
                <w:szCs w:val="18"/>
                <w:lang w:eastAsia="ja-JP"/>
              </w:rPr>
              <w:t>Study selection and characteristics</w:t>
            </w:r>
          </w:p>
        </w:tc>
      </w:tr>
      <w:tr w:rsidR="00C168CF" w:rsidRPr="004C1685" w14:paraId="0E1F1718" w14:textId="77777777" w:rsidTr="00CC2003">
        <w:trPr>
          <w:trHeight w:val="48"/>
        </w:trPr>
        <w:tc>
          <w:tcPr>
            <w:tcW w:w="1668" w:type="dxa"/>
            <w:tcBorders>
              <w:top w:val="single" w:sz="5" w:space="0" w:color="000000"/>
              <w:left w:val="single" w:sz="5" w:space="0" w:color="000000"/>
              <w:bottom w:val="single" w:sz="5" w:space="0" w:color="000000"/>
              <w:right w:val="single" w:sz="5" w:space="0" w:color="000000"/>
            </w:tcBorders>
          </w:tcPr>
          <w:p w14:paraId="3F19F7A2" w14:textId="77777777" w:rsidR="00C168CF" w:rsidRPr="00930A31" w:rsidRDefault="00C168CF" w:rsidP="00CC2003">
            <w:pPr>
              <w:pStyle w:val="Default"/>
              <w:spacing w:before="40" w:after="40"/>
              <w:rPr>
                <w:rFonts w:ascii="Arial" w:hAnsi="Arial" w:cs="Arial"/>
                <w:sz w:val="18"/>
                <w:szCs w:val="18"/>
              </w:rPr>
            </w:pPr>
            <w:r w:rsidRPr="00930A31">
              <w:rPr>
                <w:rFonts w:ascii="Arial" w:hAnsi="Arial" w:cs="Arial"/>
                <w:sz w:val="18"/>
                <w:szCs w:val="18"/>
              </w:rPr>
              <w:t xml:space="preserve">Risk of bias in studies </w:t>
            </w:r>
          </w:p>
        </w:tc>
        <w:tc>
          <w:tcPr>
            <w:tcW w:w="587" w:type="dxa"/>
            <w:tcBorders>
              <w:top w:val="single" w:sz="5" w:space="0" w:color="000000"/>
              <w:left w:val="single" w:sz="5" w:space="0" w:color="000000"/>
              <w:bottom w:val="single" w:sz="5" w:space="0" w:color="000000"/>
              <w:right w:val="single" w:sz="5" w:space="0" w:color="000000"/>
            </w:tcBorders>
          </w:tcPr>
          <w:p w14:paraId="623DEAD3" w14:textId="77777777" w:rsidR="00C168CF" w:rsidRPr="00930A31" w:rsidRDefault="00C168CF" w:rsidP="00CC2003">
            <w:pPr>
              <w:pStyle w:val="Default"/>
              <w:spacing w:before="40" w:after="40"/>
              <w:jc w:val="right"/>
              <w:rPr>
                <w:rFonts w:ascii="Arial" w:hAnsi="Arial" w:cs="Arial"/>
                <w:sz w:val="18"/>
                <w:szCs w:val="18"/>
              </w:rPr>
            </w:pPr>
            <w:r w:rsidRPr="00930A31">
              <w:rPr>
                <w:rFonts w:ascii="Arial" w:hAnsi="Arial" w:cs="Arial"/>
                <w:sz w:val="18"/>
                <w:szCs w:val="18"/>
              </w:rPr>
              <w:t>18</w:t>
            </w:r>
          </w:p>
        </w:tc>
        <w:tc>
          <w:tcPr>
            <w:tcW w:w="10327" w:type="dxa"/>
            <w:tcBorders>
              <w:top w:val="single" w:sz="5" w:space="0" w:color="000000"/>
              <w:left w:val="single" w:sz="5" w:space="0" w:color="000000"/>
              <w:bottom w:val="single" w:sz="5" w:space="0" w:color="000000"/>
              <w:right w:val="single" w:sz="5" w:space="0" w:color="000000"/>
            </w:tcBorders>
          </w:tcPr>
          <w:p w14:paraId="7C668CD8" w14:textId="77777777" w:rsidR="00C168CF" w:rsidRPr="00930A31" w:rsidRDefault="00C168CF" w:rsidP="00CC2003">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2618" w:type="dxa"/>
            <w:tcBorders>
              <w:top w:val="single" w:sz="5" w:space="0" w:color="000000"/>
              <w:left w:val="single" w:sz="5" w:space="0" w:color="000000"/>
              <w:bottom w:val="single" w:sz="5" w:space="0" w:color="000000"/>
              <w:right w:val="single" w:sz="5" w:space="0" w:color="000000"/>
            </w:tcBorders>
          </w:tcPr>
          <w:p w14:paraId="053645C4" w14:textId="77777777" w:rsidR="00C168CF" w:rsidRPr="00930A31" w:rsidRDefault="00C168CF" w:rsidP="00CC2003">
            <w:pPr>
              <w:pStyle w:val="Default"/>
              <w:spacing w:before="40" w:after="40"/>
              <w:rPr>
                <w:rFonts w:ascii="Arial" w:hAnsi="Arial" w:cs="Arial"/>
                <w:color w:val="auto"/>
                <w:sz w:val="18"/>
                <w:szCs w:val="18"/>
              </w:rPr>
            </w:pPr>
            <w:r w:rsidRPr="00C2206D">
              <w:rPr>
                <w:rFonts w:ascii="Arial" w:hAnsi="Arial" w:cs="Arial"/>
                <w:color w:val="auto"/>
                <w:sz w:val="18"/>
                <w:szCs w:val="18"/>
              </w:rPr>
              <w:t>Supplementary material</w:t>
            </w:r>
          </w:p>
        </w:tc>
      </w:tr>
      <w:tr w:rsidR="00C168CF" w:rsidRPr="004C1685" w14:paraId="398BDCCF" w14:textId="77777777" w:rsidTr="00CC2003">
        <w:trPr>
          <w:trHeight w:val="48"/>
        </w:trPr>
        <w:tc>
          <w:tcPr>
            <w:tcW w:w="1668" w:type="dxa"/>
            <w:tcBorders>
              <w:top w:val="single" w:sz="5" w:space="0" w:color="000000"/>
              <w:left w:val="single" w:sz="5" w:space="0" w:color="000000"/>
              <w:bottom w:val="single" w:sz="5" w:space="0" w:color="000000"/>
              <w:right w:val="single" w:sz="5" w:space="0" w:color="000000"/>
            </w:tcBorders>
          </w:tcPr>
          <w:p w14:paraId="59C5B19C" w14:textId="77777777" w:rsidR="00C168CF" w:rsidRPr="00930A31" w:rsidRDefault="00C168CF" w:rsidP="00CC2003">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103B88DD" w14:textId="77777777" w:rsidR="00C168CF" w:rsidRPr="00930A31" w:rsidRDefault="00C168CF" w:rsidP="00CC2003">
            <w:pPr>
              <w:pStyle w:val="Default"/>
              <w:spacing w:before="40" w:after="40"/>
              <w:jc w:val="right"/>
              <w:rPr>
                <w:rFonts w:ascii="Arial" w:hAnsi="Arial" w:cs="Arial"/>
                <w:sz w:val="18"/>
                <w:szCs w:val="18"/>
              </w:rPr>
            </w:pPr>
            <w:r w:rsidRPr="00930A31">
              <w:rPr>
                <w:rFonts w:ascii="Arial" w:hAnsi="Arial" w:cs="Arial"/>
                <w:sz w:val="18"/>
                <w:szCs w:val="18"/>
              </w:rPr>
              <w:t>19</w:t>
            </w:r>
          </w:p>
        </w:tc>
        <w:tc>
          <w:tcPr>
            <w:tcW w:w="10327" w:type="dxa"/>
            <w:tcBorders>
              <w:top w:val="single" w:sz="5" w:space="0" w:color="000000"/>
              <w:left w:val="single" w:sz="5" w:space="0" w:color="000000"/>
              <w:bottom w:val="single" w:sz="5" w:space="0" w:color="000000"/>
              <w:right w:val="single" w:sz="5" w:space="0" w:color="000000"/>
            </w:tcBorders>
          </w:tcPr>
          <w:p w14:paraId="56FE3BEF" w14:textId="77777777" w:rsidR="00C168CF" w:rsidRPr="00930A31" w:rsidRDefault="00C168CF" w:rsidP="00CC2003">
            <w:pPr>
              <w:pStyle w:val="Default"/>
              <w:spacing w:before="40" w:after="40"/>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2618" w:type="dxa"/>
            <w:tcBorders>
              <w:top w:val="single" w:sz="5" w:space="0" w:color="000000"/>
              <w:left w:val="single" w:sz="5" w:space="0" w:color="000000"/>
              <w:bottom w:val="single" w:sz="5" w:space="0" w:color="000000"/>
              <w:right w:val="single" w:sz="5" w:space="0" w:color="000000"/>
            </w:tcBorders>
          </w:tcPr>
          <w:p w14:paraId="724E1BC2" w14:textId="37E471FB" w:rsidR="00C168CF" w:rsidRPr="00930A31" w:rsidRDefault="00C168CF" w:rsidP="00CC2003">
            <w:pPr>
              <w:pStyle w:val="Default"/>
              <w:spacing w:before="40" w:after="40"/>
              <w:rPr>
                <w:rFonts w:ascii="Arial" w:hAnsi="Arial" w:cs="Arial"/>
                <w:color w:val="auto"/>
                <w:sz w:val="18"/>
                <w:szCs w:val="18"/>
              </w:rPr>
            </w:pPr>
            <w:r w:rsidRPr="00C2206D">
              <w:rPr>
                <w:rFonts w:ascii="Arial" w:hAnsi="Arial" w:cs="Arial"/>
                <w:color w:val="auto"/>
                <w:sz w:val="18"/>
                <w:szCs w:val="18"/>
              </w:rPr>
              <w:t>Table 1</w:t>
            </w:r>
            <w:r w:rsidR="00C92D75">
              <w:rPr>
                <w:rFonts w:ascii="Arial" w:hAnsi="Arial" w:cs="Arial"/>
                <w:color w:val="auto"/>
                <w:sz w:val="18"/>
                <w:szCs w:val="18"/>
              </w:rPr>
              <w:t>, Figure 2</w:t>
            </w:r>
          </w:p>
        </w:tc>
      </w:tr>
      <w:tr w:rsidR="00C168CF" w:rsidRPr="004C1685" w14:paraId="1B265CEA" w14:textId="77777777" w:rsidTr="00CC2003">
        <w:trPr>
          <w:trHeight w:val="48"/>
        </w:trPr>
        <w:tc>
          <w:tcPr>
            <w:tcW w:w="1668" w:type="dxa"/>
            <w:vMerge w:val="restart"/>
            <w:tcBorders>
              <w:top w:val="single" w:sz="5" w:space="0" w:color="000000"/>
              <w:left w:val="single" w:sz="5" w:space="0" w:color="000000"/>
              <w:right w:val="single" w:sz="5" w:space="0" w:color="000000"/>
            </w:tcBorders>
          </w:tcPr>
          <w:p w14:paraId="45A2CA70" w14:textId="77777777" w:rsidR="00C168CF" w:rsidRPr="00930A31" w:rsidRDefault="00C168CF" w:rsidP="00CC2003">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113D1158" w14:textId="77777777" w:rsidR="00C168CF" w:rsidRPr="00930A31" w:rsidRDefault="00C168CF" w:rsidP="00CC2003">
            <w:pPr>
              <w:pStyle w:val="Default"/>
              <w:spacing w:before="40" w:after="40"/>
              <w:jc w:val="right"/>
              <w:rPr>
                <w:rFonts w:ascii="Arial" w:hAnsi="Arial" w:cs="Arial"/>
                <w:sz w:val="18"/>
                <w:szCs w:val="18"/>
              </w:rPr>
            </w:pPr>
            <w:r w:rsidRPr="00930A31">
              <w:rPr>
                <w:rFonts w:ascii="Arial" w:hAnsi="Arial" w:cs="Arial"/>
                <w:sz w:val="18"/>
                <w:szCs w:val="18"/>
              </w:rPr>
              <w:t>20a</w:t>
            </w:r>
          </w:p>
        </w:tc>
        <w:tc>
          <w:tcPr>
            <w:tcW w:w="10327" w:type="dxa"/>
            <w:tcBorders>
              <w:top w:val="single" w:sz="5" w:space="0" w:color="000000"/>
              <w:left w:val="single" w:sz="5" w:space="0" w:color="000000"/>
              <w:bottom w:val="single" w:sz="5" w:space="0" w:color="000000"/>
              <w:right w:val="single" w:sz="5" w:space="0" w:color="000000"/>
            </w:tcBorders>
          </w:tcPr>
          <w:p w14:paraId="6ECF0A99" w14:textId="77777777" w:rsidR="00C168CF" w:rsidRPr="00930A31" w:rsidRDefault="00C168CF" w:rsidP="00CC2003">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2618" w:type="dxa"/>
            <w:tcBorders>
              <w:top w:val="single" w:sz="5" w:space="0" w:color="000000"/>
              <w:left w:val="single" w:sz="5" w:space="0" w:color="000000"/>
              <w:bottom w:val="single" w:sz="5" w:space="0" w:color="000000"/>
              <w:right w:val="single" w:sz="5" w:space="0" w:color="000000"/>
            </w:tcBorders>
          </w:tcPr>
          <w:p w14:paraId="17D6812D" w14:textId="77777777" w:rsidR="00C168CF" w:rsidRPr="00930A31" w:rsidRDefault="00C168CF" w:rsidP="00CC2003">
            <w:pPr>
              <w:pStyle w:val="Default"/>
              <w:spacing w:before="40" w:after="40"/>
              <w:rPr>
                <w:rFonts w:ascii="Arial" w:hAnsi="Arial" w:cs="Arial"/>
                <w:color w:val="auto"/>
                <w:sz w:val="18"/>
                <w:szCs w:val="18"/>
                <w:lang w:eastAsia="ja-JP"/>
              </w:rPr>
            </w:pPr>
            <w:r>
              <w:rPr>
                <w:rFonts w:ascii="Arial" w:hAnsi="Arial" w:cs="Arial" w:hint="eastAsia"/>
                <w:color w:val="auto"/>
                <w:sz w:val="18"/>
                <w:szCs w:val="18"/>
                <w:lang w:eastAsia="ja-JP"/>
              </w:rPr>
              <w:t>R</w:t>
            </w:r>
            <w:r>
              <w:rPr>
                <w:rFonts w:ascii="Arial" w:hAnsi="Arial" w:cs="Arial"/>
                <w:color w:val="auto"/>
                <w:sz w:val="18"/>
                <w:szCs w:val="18"/>
                <w:lang w:eastAsia="ja-JP"/>
              </w:rPr>
              <w:t xml:space="preserve">esults, </w:t>
            </w:r>
            <w:r w:rsidRPr="005F4D85">
              <w:rPr>
                <w:rFonts w:ascii="Arial" w:hAnsi="Arial" w:cs="Arial"/>
                <w:color w:val="auto"/>
                <w:sz w:val="18"/>
                <w:szCs w:val="18"/>
                <w:lang w:eastAsia="ja-JP"/>
              </w:rPr>
              <w:t>Main analysis</w:t>
            </w:r>
          </w:p>
        </w:tc>
      </w:tr>
      <w:tr w:rsidR="00C168CF" w:rsidRPr="004C1685" w14:paraId="733904C1" w14:textId="77777777" w:rsidTr="00CC2003">
        <w:trPr>
          <w:trHeight w:val="203"/>
        </w:trPr>
        <w:tc>
          <w:tcPr>
            <w:tcW w:w="1668" w:type="dxa"/>
            <w:vMerge/>
            <w:tcBorders>
              <w:left w:val="single" w:sz="5" w:space="0" w:color="000000"/>
              <w:right w:val="single" w:sz="5" w:space="0" w:color="000000"/>
            </w:tcBorders>
          </w:tcPr>
          <w:p w14:paraId="29C72E03" w14:textId="77777777" w:rsidR="00C168CF" w:rsidRPr="00930A31" w:rsidRDefault="00C168CF" w:rsidP="00CC2003">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3CFAFC" w14:textId="77777777" w:rsidR="00C168CF" w:rsidRPr="00930A31" w:rsidRDefault="00C168CF" w:rsidP="00CC2003">
            <w:pPr>
              <w:pStyle w:val="Default"/>
              <w:spacing w:before="40" w:after="40"/>
              <w:jc w:val="right"/>
              <w:rPr>
                <w:rFonts w:ascii="Arial" w:hAnsi="Arial" w:cs="Arial"/>
                <w:sz w:val="18"/>
                <w:szCs w:val="18"/>
              </w:rPr>
            </w:pPr>
            <w:r w:rsidRPr="00930A31">
              <w:rPr>
                <w:rFonts w:ascii="Arial" w:hAnsi="Arial" w:cs="Arial"/>
                <w:sz w:val="18"/>
                <w:szCs w:val="18"/>
              </w:rPr>
              <w:t>20b</w:t>
            </w:r>
          </w:p>
        </w:tc>
        <w:tc>
          <w:tcPr>
            <w:tcW w:w="10327" w:type="dxa"/>
            <w:tcBorders>
              <w:top w:val="single" w:sz="5" w:space="0" w:color="000000"/>
              <w:left w:val="single" w:sz="5" w:space="0" w:color="000000"/>
              <w:bottom w:val="single" w:sz="5" w:space="0" w:color="000000"/>
              <w:right w:val="single" w:sz="5" w:space="0" w:color="000000"/>
            </w:tcBorders>
          </w:tcPr>
          <w:p w14:paraId="137583D8" w14:textId="77777777" w:rsidR="00C168CF" w:rsidRPr="00930A31" w:rsidRDefault="00C168CF" w:rsidP="00CC2003">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2618" w:type="dxa"/>
            <w:tcBorders>
              <w:top w:val="single" w:sz="5" w:space="0" w:color="000000"/>
              <w:left w:val="single" w:sz="5" w:space="0" w:color="000000"/>
              <w:bottom w:val="single" w:sz="5" w:space="0" w:color="000000"/>
              <w:right w:val="single" w:sz="5" w:space="0" w:color="000000"/>
            </w:tcBorders>
          </w:tcPr>
          <w:p w14:paraId="1E4FB755" w14:textId="77777777" w:rsidR="00C168CF" w:rsidRPr="00930A31" w:rsidRDefault="00C168CF" w:rsidP="00CC2003">
            <w:pPr>
              <w:pStyle w:val="Default"/>
              <w:spacing w:before="40" w:after="40"/>
              <w:rPr>
                <w:rFonts w:ascii="Arial" w:hAnsi="Arial" w:cs="Arial"/>
                <w:color w:val="auto"/>
                <w:sz w:val="18"/>
                <w:szCs w:val="18"/>
              </w:rPr>
            </w:pPr>
            <w:r>
              <w:rPr>
                <w:rFonts w:ascii="Arial" w:hAnsi="Arial" w:cs="Arial" w:hint="eastAsia"/>
                <w:color w:val="auto"/>
                <w:sz w:val="18"/>
                <w:szCs w:val="18"/>
                <w:lang w:eastAsia="ja-JP"/>
              </w:rPr>
              <w:t>R</w:t>
            </w:r>
            <w:r>
              <w:rPr>
                <w:rFonts w:ascii="Arial" w:hAnsi="Arial" w:cs="Arial"/>
                <w:color w:val="auto"/>
                <w:sz w:val="18"/>
                <w:szCs w:val="18"/>
                <w:lang w:eastAsia="ja-JP"/>
              </w:rPr>
              <w:t xml:space="preserve">esults, </w:t>
            </w:r>
            <w:r w:rsidRPr="005F4D85">
              <w:rPr>
                <w:rFonts w:ascii="Arial" w:hAnsi="Arial" w:cs="Arial"/>
                <w:color w:val="auto"/>
                <w:sz w:val="18"/>
                <w:szCs w:val="18"/>
                <w:lang w:eastAsia="ja-JP"/>
              </w:rPr>
              <w:t>Main analysis</w:t>
            </w:r>
          </w:p>
        </w:tc>
      </w:tr>
      <w:tr w:rsidR="00C168CF" w:rsidRPr="004C1685" w14:paraId="39BBFFA1" w14:textId="77777777" w:rsidTr="00CC2003">
        <w:trPr>
          <w:trHeight w:val="48"/>
        </w:trPr>
        <w:tc>
          <w:tcPr>
            <w:tcW w:w="1668" w:type="dxa"/>
            <w:vMerge/>
            <w:tcBorders>
              <w:left w:val="single" w:sz="5" w:space="0" w:color="000000"/>
              <w:right w:val="single" w:sz="5" w:space="0" w:color="000000"/>
            </w:tcBorders>
          </w:tcPr>
          <w:p w14:paraId="6D7847E3" w14:textId="77777777" w:rsidR="00C168CF" w:rsidRPr="00930A31" w:rsidRDefault="00C168CF" w:rsidP="00CC2003">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A6ABF55" w14:textId="77777777" w:rsidR="00C168CF" w:rsidRPr="00930A31" w:rsidRDefault="00C168CF" w:rsidP="00CC2003">
            <w:pPr>
              <w:pStyle w:val="Default"/>
              <w:spacing w:before="40" w:after="40"/>
              <w:jc w:val="right"/>
              <w:rPr>
                <w:rFonts w:ascii="Arial" w:hAnsi="Arial" w:cs="Arial"/>
                <w:sz w:val="18"/>
                <w:szCs w:val="18"/>
              </w:rPr>
            </w:pPr>
            <w:r w:rsidRPr="00930A31">
              <w:rPr>
                <w:rFonts w:ascii="Arial" w:hAnsi="Arial" w:cs="Arial"/>
                <w:sz w:val="18"/>
                <w:szCs w:val="18"/>
              </w:rPr>
              <w:t>20c</w:t>
            </w:r>
          </w:p>
        </w:tc>
        <w:tc>
          <w:tcPr>
            <w:tcW w:w="10327" w:type="dxa"/>
            <w:tcBorders>
              <w:top w:val="single" w:sz="5" w:space="0" w:color="000000"/>
              <w:left w:val="single" w:sz="5" w:space="0" w:color="000000"/>
              <w:bottom w:val="single" w:sz="5" w:space="0" w:color="000000"/>
              <w:right w:val="single" w:sz="5" w:space="0" w:color="000000"/>
            </w:tcBorders>
          </w:tcPr>
          <w:p w14:paraId="2C3B0110" w14:textId="77777777" w:rsidR="00C168CF" w:rsidRPr="00930A31" w:rsidRDefault="00C168CF" w:rsidP="00CC2003">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2618" w:type="dxa"/>
            <w:tcBorders>
              <w:top w:val="single" w:sz="5" w:space="0" w:color="000000"/>
              <w:left w:val="single" w:sz="5" w:space="0" w:color="000000"/>
              <w:bottom w:val="single" w:sz="5" w:space="0" w:color="000000"/>
              <w:right w:val="single" w:sz="5" w:space="0" w:color="000000"/>
            </w:tcBorders>
          </w:tcPr>
          <w:p w14:paraId="6EA48CD7" w14:textId="77777777" w:rsidR="00C168CF" w:rsidRPr="00930A31" w:rsidRDefault="00C168CF" w:rsidP="00CC2003">
            <w:pPr>
              <w:pStyle w:val="Default"/>
              <w:spacing w:before="40" w:after="40"/>
              <w:rPr>
                <w:rFonts w:ascii="Arial" w:hAnsi="Arial" w:cs="Arial"/>
                <w:color w:val="auto"/>
                <w:sz w:val="18"/>
                <w:szCs w:val="18"/>
              </w:rPr>
            </w:pPr>
            <w:r>
              <w:rPr>
                <w:rFonts w:ascii="Arial" w:hAnsi="Arial" w:cs="Arial" w:hint="eastAsia"/>
                <w:color w:val="auto"/>
                <w:sz w:val="18"/>
                <w:szCs w:val="18"/>
                <w:lang w:eastAsia="ja-JP"/>
              </w:rPr>
              <w:t>R</w:t>
            </w:r>
            <w:r>
              <w:rPr>
                <w:rFonts w:ascii="Arial" w:hAnsi="Arial" w:cs="Arial"/>
                <w:color w:val="auto"/>
                <w:sz w:val="18"/>
                <w:szCs w:val="18"/>
                <w:lang w:eastAsia="ja-JP"/>
              </w:rPr>
              <w:t xml:space="preserve">esults, </w:t>
            </w:r>
            <w:r w:rsidRPr="005F4D85">
              <w:rPr>
                <w:rFonts w:ascii="Arial" w:hAnsi="Arial" w:cs="Arial"/>
                <w:color w:val="auto"/>
                <w:sz w:val="18"/>
                <w:szCs w:val="18"/>
                <w:lang w:eastAsia="ja-JP"/>
              </w:rPr>
              <w:t>Main analysis</w:t>
            </w:r>
          </w:p>
        </w:tc>
      </w:tr>
      <w:tr w:rsidR="00C168CF" w:rsidRPr="004C1685" w14:paraId="21044F1E" w14:textId="77777777" w:rsidTr="00CC2003">
        <w:trPr>
          <w:trHeight w:val="48"/>
        </w:trPr>
        <w:tc>
          <w:tcPr>
            <w:tcW w:w="1668" w:type="dxa"/>
            <w:vMerge/>
            <w:tcBorders>
              <w:left w:val="single" w:sz="5" w:space="0" w:color="000000"/>
              <w:bottom w:val="single" w:sz="5" w:space="0" w:color="000000"/>
              <w:right w:val="single" w:sz="5" w:space="0" w:color="000000"/>
            </w:tcBorders>
          </w:tcPr>
          <w:p w14:paraId="7C4A9023" w14:textId="77777777" w:rsidR="00C168CF" w:rsidRPr="00930A31" w:rsidRDefault="00C168CF" w:rsidP="00CC2003">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8887F3" w14:textId="77777777" w:rsidR="00C168CF" w:rsidRPr="00930A31" w:rsidRDefault="00C168CF" w:rsidP="00CC2003">
            <w:pPr>
              <w:pStyle w:val="Default"/>
              <w:spacing w:before="40" w:after="40"/>
              <w:jc w:val="right"/>
              <w:rPr>
                <w:rFonts w:ascii="Arial" w:hAnsi="Arial" w:cs="Arial"/>
                <w:sz w:val="18"/>
                <w:szCs w:val="18"/>
              </w:rPr>
            </w:pPr>
            <w:r w:rsidRPr="00930A31">
              <w:rPr>
                <w:rFonts w:ascii="Arial" w:hAnsi="Arial" w:cs="Arial"/>
                <w:sz w:val="18"/>
                <w:szCs w:val="18"/>
              </w:rPr>
              <w:t>20d</w:t>
            </w:r>
          </w:p>
        </w:tc>
        <w:tc>
          <w:tcPr>
            <w:tcW w:w="10327" w:type="dxa"/>
            <w:tcBorders>
              <w:top w:val="single" w:sz="5" w:space="0" w:color="000000"/>
              <w:left w:val="single" w:sz="5" w:space="0" w:color="000000"/>
              <w:bottom w:val="single" w:sz="5" w:space="0" w:color="000000"/>
              <w:right w:val="single" w:sz="5" w:space="0" w:color="000000"/>
            </w:tcBorders>
          </w:tcPr>
          <w:p w14:paraId="37D44B39" w14:textId="77777777" w:rsidR="00C168CF" w:rsidRPr="00930A31" w:rsidRDefault="00C168CF" w:rsidP="00CC2003">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2618" w:type="dxa"/>
            <w:tcBorders>
              <w:top w:val="single" w:sz="5" w:space="0" w:color="000000"/>
              <w:left w:val="single" w:sz="5" w:space="0" w:color="000000"/>
              <w:bottom w:val="single" w:sz="5" w:space="0" w:color="000000"/>
              <w:right w:val="single" w:sz="5" w:space="0" w:color="000000"/>
            </w:tcBorders>
          </w:tcPr>
          <w:p w14:paraId="66568A4B" w14:textId="77777777" w:rsidR="00C168CF" w:rsidRPr="00930A31" w:rsidRDefault="00C168CF" w:rsidP="00CC2003">
            <w:pPr>
              <w:pStyle w:val="Default"/>
              <w:spacing w:before="40" w:after="40"/>
              <w:rPr>
                <w:rFonts w:ascii="Arial" w:hAnsi="Arial" w:cs="Arial"/>
                <w:color w:val="auto"/>
                <w:sz w:val="18"/>
                <w:szCs w:val="18"/>
                <w:lang w:eastAsia="ja-JP"/>
              </w:rPr>
            </w:pPr>
            <w:r>
              <w:rPr>
                <w:rFonts w:ascii="Arial" w:hAnsi="Arial" w:cs="Arial" w:hint="eastAsia"/>
                <w:color w:val="auto"/>
                <w:sz w:val="18"/>
                <w:szCs w:val="18"/>
                <w:lang w:eastAsia="ja-JP"/>
              </w:rPr>
              <w:t>R</w:t>
            </w:r>
            <w:r>
              <w:rPr>
                <w:rFonts w:ascii="Arial" w:hAnsi="Arial" w:cs="Arial"/>
                <w:color w:val="auto"/>
                <w:sz w:val="18"/>
                <w:szCs w:val="18"/>
                <w:lang w:eastAsia="ja-JP"/>
              </w:rPr>
              <w:t xml:space="preserve">esults, </w:t>
            </w:r>
            <w:r w:rsidRPr="005F4D85">
              <w:rPr>
                <w:rFonts w:ascii="Arial" w:hAnsi="Arial" w:cs="Arial"/>
                <w:color w:val="auto"/>
                <w:sz w:val="18"/>
                <w:szCs w:val="18"/>
                <w:lang w:eastAsia="ja-JP"/>
              </w:rPr>
              <w:t>Sensitivity analysis</w:t>
            </w:r>
          </w:p>
        </w:tc>
      </w:tr>
      <w:tr w:rsidR="00C168CF" w:rsidRPr="004C1685" w14:paraId="1095CCDE" w14:textId="77777777" w:rsidTr="00CC2003">
        <w:trPr>
          <w:trHeight w:val="48"/>
        </w:trPr>
        <w:tc>
          <w:tcPr>
            <w:tcW w:w="1668" w:type="dxa"/>
            <w:tcBorders>
              <w:top w:val="single" w:sz="5" w:space="0" w:color="000000"/>
              <w:left w:val="single" w:sz="5" w:space="0" w:color="000000"/>
              <w:bottom w:val="single" w:sz="5" w:space="0" w:color="000000"/>
              <w:right w:val="single" w:sz="5" w:space="0" w:color="000000"/>
            </w:tcBorders>
          </w:tcPr>
          <w:p w14:paraId="3D5BECA5" w14:textId="77777777" w:rsidR="00C168CF" w:rsidRPr="00930A31" w:rsidRDefault="00C168CF" w:rsidP="00CC2003">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0A923901" w14:textId="77777777" w:rsidR="00C168CF" w:rsidRPr="00930A31" w:rsidRDefault="00C168CF" w:rsidP="00CC2003">
            <w:pPr>
              <w:pStyle w:val="Default"/>
              <w:spacing w:before="40" w:after="40"/>
              <w:jc w:val="right"/>
              <w:rPr>
                <w:rFonts w:ascii="Arial" w:hAnsi="Arial" w:cs="Arial"/>
                <w:sz w:val="18"/>
                <w:szCs w:val="18"/>
              </w:rPr>
            </w:pPr>
            <w:r w:rsidRPr="00930A31">
              <w:rPr>
                <w:rFonts w:ascii="Arial" w:hAnsi="Arial" w:cs="Arial"/>
                <w:sz w:val="18"/>
                <w:szCs w:val="18"/>
              </w:rPr>
              <w:t>21</w:t>
            </w:r>
          </w:p>
        </w:tc>
        <w:tc>
          <w:tcPr>
            <w:tcW w:w="10327" w:type="dxa"/>
            <w:tcBorders>
              <w:top w:val="single" w:sz="5" w:space="0" w:color="000000"/>
              <w:left w:val="single" w:sz="5" w:space="0" w:color="000000"/>
              <w:bottom w:val="single" w:sz="5" w:space="0" w:color="000000"/>
              <w:right w:val="single" w:sz="5" w:space="0" w:color="000000"/>
            </w:tcBorders>
          </w:tcPr>
          <w:p w14:paraId="26A1A4A5" w14:textId="77777777" w:rsidR="00C168CF" w:rsidRPr="00930A31" w:rsidRDefault="00C168CF" w:rsidP="00CC2003">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2618" w:type="dxa"/>
            <w:tcBorders>
              <w:top w:val="single" w:sz="5" w:space="0" w:color="000000"/>
              <w:left w:val="single" w:sz="5" w:space="0" w:color="000000"/>
              <w:bottom w:val="single" w:sz="5" w:space="0" w:color="000000"/>
              <w:right w:val="single" w:sz="5" w:space="0" w:color="000000"/>
            </w:tcBorders>
          </w:tcPr>
          <w:p w14:paraId="22361A25" w14:textId="77777777" w:rsidR="00C168CF" w:rsidRPr="00930A31" w:rsidRDefault="00C168CF" w:rsidP="00CC2003">
            <w:pPr>
              <w:pStyle w:val="Default"/>
              <w:spacing w:before="40" w:after="40"/>
              <w:rPr>
                <w:rFonts w:ascii="Arial" w:hAnsi="Arial" w:cs="Arial"/>
                <w:color w:val="auto"/>
                <w:sz w:val="18"/>
                <w:szCs w:val="18"/>
              </w:rPr>
            </w:pPr>
            <w:r w:rsidRPr="009E403C">
              <w:rPr>
                <w:rFonts w:ascii="Arial" w:hAnsi="Arial" w:cs="Arial"/>
                <w:color w:val="auto"/>
                <w:sz w:val="18"/>
                <w:szCs w:val="18"/>
              </w:rPr>
              <w:t>Supplementary material</w:t>
            </w:r>
          </w:p>
        </w:tc>
      </w:tr>
      <w:tr w:rsidR="00C168CF" w:rsidRPr="004C1685" w14:paraId="0D96CEAB" w14:textId="77777777" w:rsidTr="00CC2003">
        <w:trPr>
          <w:trHeight w:val="48"/>
        </w:trPr>
        <w:tc>
          <w:tcPr>
            <w:tcW w:w="1668" w:type="dxa"/>
            <w:tcBorders>
              <w:top w:val="single" w:sz="5" w:space="0" w:color="000000"/>
              <w:left w:val="single" w:sz="5" w:space="0" w:color="000000"/>
              <w:bottom w:val="single" w:sz="5" w:space="0" w:color="000000"/>
              <w:right w:val="single" w:sz="5" w:space="0" w:color="000000"/>
            </w:tcBorders>
          </w:tcPr>
          <w:p w14:paraId="5DE128CE" w14:textId="77777777" w:rsidR="00C168CF" w:rsidRPr="00930A31" w:rsidRDefault="00C168CF" w:rsidP="00CC2003">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21E73D9B" w14:textId="77777777" w:rsidR="00C168CF" w:rsidRPr="00930A31" w:rsidRDefault="00C168CF" w:rsidP="00CC2003">
            <w:pPr>
              <w:pStyle w:val="Default"/>
              <w:spacing w:before="40" w:after="40"/>
              <w:jc w:val="right"/>
              <w:rPr>
                <w:rFonts w:ascii="Arial" w:hAnsi="Arial" w:cs="Arial"/>
                <w:sz w:val="18"/>
                <w:szCs w:val="18"/>
              </w:rPr>
            </w:pPr>
            <w:r w:rsidRPr="00930A31">
              <w:rPr>
                <w:rFonts w:ascii="Arial" w:hAnsi="Arial" w:cs="Arial"/>
                <w:sz w:val="18"/>
                <w:szCs w:val="18"/>
              </w:rPr>
              <w:t>22</w:t>
            </w:r>
          </w:p>
        </w:tc>
        <w:tc>
          <w:tcPr>
            <w:tcW w:w="10327" w:type="dxa"/>
            <w:tcBorders>
              <w:top w:val="single" w:sz="5" w:space="0" w:color="000000"/>
              <w:left w:val="single" w:sz="5" w:space="0" w:color="000000"/>
              <w:bottom w:val="single" w:sz="5" w:space="0" w:color="000000"/>
              <w:right w:val="single" w:sz="5" w:space="0" w:color="000000"/>
            </w:tcBorders>
          </w:tcPr>
          <w:p w14:paraId="3F3323D2" w14:textId="77777777" w:rsidR="00C168CF" w:rsidRPr="00930A31" w:rsidRDefault="00C168CF" w:rsidP="00CC2003">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2618" w:type="dxa"/>
            <w:tcBorders>
              <w:top w:val="single" w:sz="5" w:space="0" w:color="000000"/>
              <w:left w:val="single" w:sz="5" w:space="0" w:color="000000"/>
              <w:bottom w:val="single" w:sz="5" w:space="0" w:color="000000"/>
              <w:right w:val="single" w:sz="5" w:space="0" w:color="000000"/>
            </w:tcBorders>
          </w:tcPr>
          <w:p w14:paraId="27F21831" w14:textId="77777777" w:rsidR="00C168CF" w:rsidRPr="00930A31" w:rsidRDefault="00C168CF" w:rsidP="00CC2003">
            <w:pPr>
              <w:pStyle w:val="Default"/>
              <w:spacing w:before="40" w:after="40"/>
              <w:rPr>
                <w:rFonts w:ascii="Arial" w:hAnsi="Arial" w:cs="Arial"/>
                <w:color w:val="auto"/>
                <w:sz w:val="18"/>
                <w:szCs w:val="18"/>
              </w:rPr>
            </w:pPr>
            <w:r w:rsidRPr="009E403C">
              <w:rPr>
                <w:rFonts w:ascii="Arial" w:hAnsi="Arial" w:cs="Arial"/>
                <w:color w:val="auto"/>
                <w:sz w:val="18"/>
                <w:szCs w:val="18"/>
              </w:rPr>
              <w:t>Supplementary material</w:t>
            </w:r>
          </w:p>
        </w:tc>
      </w:tr>
      <w:tr w:rsidR="00C168CF" w:rsidRPr="004C1685" w14:paraId="1F8322E2" w14:textId="77777777" w:rsidTr="00CC2003">
        <w:trPr>
          <w:trHeight w:val="24"/>
        </w:trPr>
        <w:tc>
          <w:tcPr>
            <w:tcW w:w="12582"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D8338CE" w14:textId="77777777" w:rsidR="00C168CF" w:rsidRPr="00930A31" w:rsidRDefault="00C168CF" w:rsidP="00CC2003">
            <w:pPr>
              <w:pStyle w:val="Default"/>
              <w:rPr>
                <w:rFonts w:ascii="Arial" w:hAnsi="Arial" w:cs="Arial"/>
                <w:sz w:val="18"/>
                <w:szCs w:val="18"/>
              </w:rPr>
            </w:pPr>
            <w:r w:rsidRPr="00930A31">
              <w:rPr>
                <w:rFonts w:ascii="Arial" w:hAnsi="Arial" w:cs="Arial"/>
                <w:b/>
                <w:bCs/>
                <w:sz w:val="18"/>
                <w:szCs w:val="18"/>
              </w:rPr>
              <w:t xml:space="preserve">DISCUSSION </w:t>
            </w:r>
          </w:p>
        </w:tc>
        <w:tc>
          <w:tcPr>
            <w:tcW w:w="2618" w:type="dxa"/>
            <w:tcBorders>
              <w:top w:val="double" w:sz="5" w:space="0" w:color="000000"/>
              <w:left w:val="single" w:sz="5" w:space="0" w:color="000000"/>
              <w:bottom w:val="single" w:sz="5" w:space="0" w:color="000000"/>
              <w:right w:val="single" w:sz="5" w:space="0" w:color="000000"/>
            </w:tcBorders>
            <w:shd w:val="clear" w:color="auto" w:fill="FFFFCC"/>
          </w:tcPr>
          <w:p w14:paraId="5E272A00" w14:textId="77777777" w:rsidR="00C168CF" w:rsidRPr="00930A31" w:rsidRDefault="00C168CF" w:rsidP="00CC2003">
            <w:pPr>
              <w:pStyle w:val="Default"/>
              <w:jc w:val="center"/>
              <w:rPr>
                <w:rFonts w:ascii="Arial" w:hAnsi="Arial" w:cs="Arial"/>
                <w:color w:val="auto"/>
                <w:sz w:val="18"/>
                <w:szCs w:val="18"/>
              </w:rPr>
            </w:pPr>
          </w:p>
        </w:tc>
      </w:tr>
      <w:tr w:rsidR="00C168CF" w:rsidRPr="004C1685" w14:paraId="6ADD3040" w14:textId="77777777" w:rsidTr="00CC2003">
        <w:trPr>
          <w:trHeight w:val="48"/>
        </w:trPr>
        <w:tc>
          <w:tcPr>
            <w:tcW w:w="1668" w:type="dxa"/>
            <w:vMerge w:val="restart"/>
            <w:tcBorders>
              <w:top w:val="single" w:sz="5" w:space="0" w:color="000000"/>
              <w:left w:val="single" w:sz="5" w:space="0" w:color="000000"/>
              <w:right w:val="single" w:sz="5" w:space="0" w:color="000000"/>
            </w:tcBorders>
          </w:tcPr>
          <w:p w14:paraId="04DE0CA0" w14:textId="77777777" w:rsidR="00C168CF" w:rsidRPr="00930A31" w:rsidRDefault="00C168CF" w:rsidP="00CC2003">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55970567" w14:textId="77777777" w:rsidR="00C168CF" w:rsidRPr="00930A31" w:rsidRDefault="00C168CF" w:rsidP="00CC2003">
            <w:pPr>
              <w:pStyle w:val="Default"/>
              <w:spacing w:before="40" w:after="40"/>
              <w:jc w:val="right"/>
              <w:rPr>
                <w:rFonts w:ascii="Arial" w:hAnsi="Arial" w:cs="Arial"/>
                <w:sz w:val="18"/>
                <w:szCs w:val="18"/>
              </w:rPr>
            </w:pPr>
            <w:r w:rsidRPr="00930A31">
              <w:rPr>
                <w:rFonts w:ascii="Arial" w:hAnsi="Arial" w:cs="Arial"/>
                <w:sz w:val="18"/>
                <w:szCs w:val="18"/>
              </w:rPr>
              <w:t>23a</w:t>
            </w:r>
          </w:p>
        </w:tc>
        <w:tc>
          <w:tcPr>
            <w:tcW w:w="10327" w:type="dxa"/>
            <w:tcBorders>
              <w:top w:val="single" w:sz="5" w:space="0" w:color="000000"/>
              <w:left w:val="single" w:sz="5" w:space="0" w:color="000000"/>
              <w:bottom w:val="single" w:sz="5" w:space="0" w:color="000000"/>
              <w:right w:val="single" w:sz="5" w:space="0" w:color="000000"/>
            </w:tcBorders>
          </w:tcPr>
          <w:p w14:paraId="1DB731DD" w14:textId="77777777" w:rsidR="00C168CF" w:rsidRPr="00930A31" w:rsidRDefault="00C168CF" w:rsidP="00CC2003">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2618" w:type="dxa"/>
            <w:tcBorders>
              <w:top w:val="single" w:sz="5" w:space="0" w:color="000000"/>
              <w:left w:val="single" w:sz="5" w:space="0" w:color="000000"/>
              <w:bottom w:val="single" w:sz="5" w:space="0" w:color="000000"/>
              <w:right w:val="single" w:sz="5" w:space="0" w:color="000000"/>
            </w:tcBorders>
          </w:tcPr>
          <w:p w14:paraId="18009EEA" w14:textId="77777777" w:rsidR="00C168CF" w:rsidRPr="00930A31" w:rsidRDefault="00C168CF" w:rsidP="00CC2003">
            <w:pPr>
              <w:pStyle w:val="Default"/>
              <w:spacing w:before="40" w:after="40"/>
              <w:rPr>
                <w:rFonts w:ascii="Arial" w:hAnsi="Arial" w:cs="Arial"/>
                <w:color w:val="auto"/>
                <w:sz w:val="18"/>
                <w:szCs w:val="18"/>
              </w:rPr>
            </w:pPr>
            <w:r>
              <w:rPr>
                <w:rFonts w:ascii="Arial" w:hAnsi="Arial" w:cs="Arial"/>
                <w:color w:val="auto"/>
                <w:sz w:val="18"/>
                <w:szCs w:val="18"/>
                <w:lang w:eastAsia="ja-JP"/>
              </w:rPr>
              <w:t>Discussion,</w:t>
            </w:r>
            <w:r w:rsidRPr="005B0252">
              <w:rPr>
                <w:rFonts w:ascii="Arial" w:hAnsi="Arial" w:cs="Arial"/>
                <w:color w:val="auto"/>
                <w:sz w:val="18"/>
                <w:szCs w:val="18"/>
                <w:lang w:eastAsia="ja-JP"/>
              </w:rPr>
              <w:t xml:space="preserve"> Paragraph</w:t>
            </w:r>
            <w:r>
              <w:rPr>
                <w:rFonts w:ascii="Arial" w:hAnsi="Arial" w:cs="Arial"/>
                <w:color w:val="auto"/>
                <w:sz w:val="18"/>
                <w:szCs w:val="18"/>
                <w:lang w:eastAsia="ja-JP"/>
              </w:rPr>
              <w:t xml:space="preserve"> 1-3</w:t>
            </w:r>
          </w:p>
        </w:tc>
      </w:tr>
      <w:tr w:rsidR="00C168CF" w:rsidRPr="004C1685" w14:paraId="5DA5C9CC" w14:textId="77777777" w:rsidTr="00CC2003">
        <w:trPr>
          <w:trHeight w:val="48"/>
        </w:trPr>
        <w:tc>
          <w:tcPr>
            <w:tcW w:w="1668" w:type="dxa"/>
            <w:vMerge/>
            <w:tcBorders>
              <w:left w:val="single" w:sz="5" w:space="0" w:color="000000"/>
              <w:right w:val="single" w:sz="5" w:space="0" w:color="000000"/>
            </w:tcBorders>
          </w:tcPr>
          <w:p w14:paraId="4290FEC3" w14:textId="77777777" w:rsidR="00C168CF" w:rsidRPr="00930A31" w:rsidRDefault="00C168CF" w:rsidP="00CC2003">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4F8A4DE3" w14:textId="77777777" w:rsidR="00C168CF" w:rsidRPr="00930A31" w:rsidRDefault="00C168CF" w:rsidP="00CC2003">
            <w:pPr>
              <w:pStyle w:val="Default"/>
              <w:spacing w:before="40" w:after="40"/>
              <w:jc w:val="right"/>
              <w:rPr>
                <w:rFonts w:ascii="Arial" w:hAnsi="Arial" w:cs="Arial"/>
                <w:sz w:val="18"/>
                <w:szCs w:val="18"/>
              </w:rPr>
            </w:pPr>
            <w:r w:rsidRPr="00930A31">
              <w:rPr>
                <w:rFonts w:ascii="Arial" w:hAnsi="Arial" w:cs="Arial"/>
                <w:sz w:val="18"/>
                <w:szCs w:val="18"/>
              </w:rPr>
              <w:t>23b</w:t>
            </w:r>
          </w:p>
        </w:tc>
        <w:tc>
          <w:tcPr>
            <w:tcW w:w="10327" w:type="dxa"/>
            <w:tcBorders>
              <w:top w:val="single" w:sz="5" w:space="0" w:color="000000"/>
              <w:left w:val="single" w:sz="5" w:space="0" w:color="000000"/>
              <w:bottom w:val="single" w:sz="5" w:space="0" w:color="000000"/>
              <w:right w:val="single" w:sz="5" w:space="0" w:color="000000"/>
            </w:tcBorders>
          </w:tcPr>
          <w:p w14:paraId="07DAEF82" w14:textId="77777777" w:rsidR="00C168CF" w:rsidRPr="00930A31" w:rsidRDefault="00C168CF" w:rsidP="00CC2003">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2618" w:type="dxa"/>
            <w:tcBorders>
              <w:top w:val="single" w:sz="5" w:space="0" w:color="000000"/>
              <w:left w:val="single" w:sz="5" w:space="0" w:color="000000"/>
              <w:bottom w:val="single" w:sz="5" w:space="0" w:color="000000"/>
              <w:right w:val="single" w:sz="5" w:space="0" w:color="000000"/>
            </w:tcBorders>
          </w:tcPr>
          <w:p w14:paraId="7523133C" w14:textId="77777777" w:rsidR="00C168CF" w:rsidRPr="00930A31" w:rsidRDefault="00C168CF" w:rsidP="00CC2003">
            <w:pPr>
              <w:pStyle w:val="Default"/>
              <w:spacing w:before="40" w:after="40"/>
              <w:rPr>
                <w:rFonts w:ascii="Arial" w:hAnsi="Arial" w:cs="Arial"/>
                <w:color w:val="auto"/>
                <w:sz w:val="18"/>
                <w:szCs w:val="18"/>
              </w:rPr>
            </w:pPr>
            <w:r>
              <w:rPr>
                <w:rFonts w:ascii="Arial" w:hAnsi="Arial" w:cs="Arial"/>
                <w:color w:val="auto"/>
                <w:sz w:val="18"/>
                <w:szCs w:val="18"/>
                <w:lang w:eastAsia="ja-JP"/>
              </w:rPr>
              <w:t>Discussion,</w:t>
            </w:r>
            <w:r w:rsidRPr="005B0252">
              <w:rPr>
                <w:rFonts w:ascii="Arial" w:hAnsi="Arial" w:cs="Arial"/>
                <w:color w:val="auto"/>
                <w:sz w:val="18"/>
                <w:szCs w:val="18"/>
                <w:lang w:eastAsia="ja-JP"/>
              </w:rPr>
              <w:t xml:space="preserve"> Paragraph </w:t>
            </w:r>
            <w:r>
              <w:rPr>
                <w:rFonts w:ascii="Arial" w:hAnsi="Arial" w:cs="Arial"/>
                <w:color w:val="auto"/>
                <w:sz w:val="18"/>
                <w:szCs w:val="18"/>
                <w:lang w:eastAsia="ja-JP"/>
              </w:rPr>
              <w:t>4</w:t>
            </w:r>
          </w:p>
        </w:tc>
      </w:tr>
      <w:tr w:rsidR="00C168CF" w:rsidRPr="004C1685" w14:paraId="611C16F7" w14:textId="77777777" w:rsidTr="00CC2003">
        <w:trPr>
          <w:trHeight w:val="48"/>
        </w:trPr>
        <w:tc>
          <w:tcPr>
            <w:tcW w:w="1668" w:type="dxa"/>
            <w:vMerge/>
            <w:tcBorders>
              <w:left w:val="single" w:sz="5" w:space="0" w:color="000000"/>
              <w:right w:val="single" w:sz="5" w:space="0" w:color="000000"/>
            </w:tcBorders>
          </w:tcPr>
          <w:p w14:paraId="3C3B919E" w14:textId="77777777" w:rsidR="00C168CF" w:rsidRPr="00930A31" w:rsidRDefault="00C168CF" w:rsidP="00CC2003">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544E3390" w14:textId="77777777" w:rsidR="00C168CF" w:rsidRPr="00930A31" w:rsidRDefault="00C168CF" w:rsidP="00CC2003">
            <w:pPr>
              <w:pStyle w:val="Default"/>
              <w:spacing w:before="40" w:after="40"/>
              <w:jc w:val="right"/>
              <w:rPr>
                <w:rFonts w:ascii="Arial" w:hAnsi="Arial" w:cs="Arial"/>
                <w:sz w:val="18"/>
                <w:szCs w:val="18"/>
              </w:rPr>
            </w:pPr>
            <w:r w:rsidRPr="00930A31">
              <w:rPr>
                <w:rFonts w:ascii="Arial" w:hAnsi="Arial" w:cs="Arial"/>
                <w:sz w:val="18"/>
                <w:szCs w:val="18"/>
              </w:rPr>
              <w:t>23c</w:t>
            </w:r>
          </w:p>
        </w:tc>
        <w:tc>
          <w:tcPr>
            <w:tcW w:w="10327" w:type="dxa"/>
            <w:tcBorders>
              <w:top w:val="single" w:sz="5" w:space="0" w:color="000000"/>
              <w:left w:val="single" w:sz="5" w:space="0" w:color="000000"/>
              <w:bottom w:val="single" w:sz="5" w:space="0" w:color="000000"/>
              <w:right w:val="single" w:sz="5" w:space="0" w:color="000000"/>
            </w:tcBorders>
          </w:tcPr>
          <w:p w14:paraId="571CFAFF" w14:textId="77777777" w:rsidR="00C168CF" w:rsidRPr="00930A31" w:rsidRDefault="00C168CF" w:rsidP="00CC2003">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2618" w:type="dxa"/>
            <w:tcBorders>
              <w:top w:val="single" w:sz="5" w:space="0" w:color="000000"/>
              <w:left w:val="single" w:sz="5" w:space="0" w:color="000000"/>
              <w:bottom w:val="single" w:sz="5" w:space="0" w:color="000000"/>
              <w:right w:val="single" w:sz="5" w:space="0" w:color="000000"/>
            </w:tcBorders>
          </w:tcPr>
          <w:p w14:paraId="0DD5E0C1" w14:textId="77777777" w:rsidR="00C168CF" w:rsidRPr="00930A31" w:rsidRDefault="00C168CF" w:rsidP="00CC2003">
            <w:pPr>
              <w:pStyle w:val="Default"/>
              <w:spacing w:before="40" w:after="40"/>
              <w:rPr>
                <w:rFonts w:ascii="Arial" w:hAnsi="Arial" w:cs="Arial"/>
                <w:color w:val="auto"/>
                <w:sz w:val="18"/>
                <w:szCs w:val="18"/>
              </w:rPr>
            </w:pPr>
            <w:r>
              <w:rPr>
                <w:rFonts w:ascii="Arial" w:hAnsi="Arial" w:cs="Arial"/>
                <w:color w:val="auto"/>
                <w:sz w:val="18"/>
                <w:szCs w:val="18"/>
                <w:lang w:eastAsia="ja-JP"/>
              </w:rPr>
              <w:t>Discussion,</w:t>
            </w:r>
            <w:r w:rsidRPr="005B0252">
              <w:rPr>
                <w:rFonts w:ascii="Arial" w:hAnsi="Arial" w:cs="Arial"/>
                <w:color w:val="auto"/>
                <w:sz w:val="18"/>
                <w:szCs w:val="18"/>
                <w:lang w:eastAsia="ja-JP"/>
              </w:rPr>
              <w:t xml:space="preserve"> Paragraph </w:t>
            </w:r>
            <w:r>
              <w:rPr>
                <w:rFonts w:ascii="Arial" w:hAnsi="Arial" w:cs="Arial"/>
                <w:color w:val="auto"/>
                <w:sz w:val="18"/>
                <w:szCs w:val="18"/>
                <w:lang w:eastAsia="ja-JP"/>
              </w:rPr>
              <w:t>4</w:t>
            </w:r>
          </w:p>
        </w:tc>
      </w:tr>
      <w:tr w:rsidR="00C168CF" w:rsidRPr="004C1685" w14:paraId="203E029C" w14:textId="77777777" w:rsidTr="00CC2003">
        <w:trPr>
          <w:trHeight w:val="48"/>
        </w:trPr>
        <w:tc>
          <w:tcPr>
            <w:tcW w:w="1668" w:type="dxa"/>
            <w:vMerge/>
            <w:tcBorders>
              <w:left w:val="single" w:sz="5" w:space="0" w:color="000000"/>
              <w:bottom w:val="single" w:sz="4" w:space="0" w:color="auto"/>
              <w:right w:val="single" w:sz="5" w:space="0" w:color="000000"/>
            </w:tcBorders>
          </w:tcPr>
          <w:p w14:paraId="0DA9ED2E" w14:textId="77777777" w:rsidR="00C168CF" w:rsidRPr="00930A31" w:rsidRDefault="00C168CF" w:rsidP="00CC2003">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4AFCC352" w14:textId="77777777" w:rsidR="00C168CF" w:rsidRPr="00930A31" w:rsidRDefault="00C168CF" w:rsidP="00CC2003">
            <w:pPr>
              <w:pStyle w:val="Default"/>
              <w:spacing w:before="40" w:after="40"/>
              <w:jc w:val="right"/>
              <w:rPr>
                <w:rFonts w:ascii="Arial" w:hAnsi="Arial" w:cs="Arial"/>
                <w:sz w:val="18"/>
                <w:szCs w:val="18"/>
              </w:rPr>
            </w:pPr>
            <w:r w:rsidRPr="00930A31">
              <w:rPr>
                <w:rFonts w:ascii="Arial" w:hAnsi="Arial" w:cs="Arial"/>
                <w:sz w:val="18"/>
                <w:szCs w:val="18"/>
              </w:rPr>
              <w:t>23d</w:t>
            </w:r>
          </w:p>
        </w:tc>
        <w:tc>
          <w:tcPr>
            <w:tcW w:w="10327" w:type="dxa"/>
            <w:tcBorders>
              <w:top w:val="single" w:sz="5" w:space="0" w:color="000000"/>
              <w:left w:val="single" w:sz="4" w:space="0" w:color="auto"/>
              <w:bottom w:val="double" w:sz="5" w:space="0" w:color="000000"/>
              <w:right w:val="single" w:sz="5" w:space="0" w:color="000000"/>
            </w:tcBorders>
          </w:tcPr>
          <w:p w14:paraId="5DDDF0D0" w14:textId="77777777" w:rsidR="00C168CF" w:rsidRPr="00930A31" w:rsidRDefault="00C168CF" w:rsidP="00CC2003">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2618" w:type="dxa"/>
            <w:tcBorders>
              <w:top w:val="single" w:sz="5" w:space="0" w:color="000000"/>
              <w:left w:val="single" w:sz="5" w:space="0" w:color="000000"/>
              <w:bottom w:val="double" w:sz="5" w:space="0" w:color="000000"/>
              <w:right w:val="single" w:sz="5" w:space="0" w:color="000000"/>
            </w:tcBorders>
          </w:tcPr>
          <w:p w14:paraId="266C351B" w14:textId="77777777" w:rsidR="00C168CF" w:rsidRPr="00930A31" w:rsidRDefault="00C168CF" w:rsidP="00CC2003">
            <w:pPr>
              <w:pStyle w:val="Default"/>
              <w:spacing w:before="40" w:after="40"/>
              <w:rPr>
                <w:rFonts w:ascii="Arial" w:hAnsi="Arial" w:cs="Arial"/>
                <w:color w:val="auto"/>
                <w:sz w:val="18"/>
                <w:szCs w:val="18"/>
              </w:rPr>
            </w:pPr>
            <w:r>
              <w:rPr>
                <w:rFonts w:ascii="Arial" w:hAnsi="Arial" w:cs="Arial"/>
                <w:color w:val="auto"/>
                <w:sz w:val="18"/>
                <w:szCs w:val="18"/>
                <w:lang w:eastAsia="ja-JP"/>
              </w:rPr>
              <w:t>Discussion,</w:t>
            </w:r>
            <w:r w:rsidRPr="005B0252">
              <w:rPr>
                <w:rFonts w:ascii="Arial" w:hAnsi="Arial" w:cs="Arial"/>
                <w:color w:val="auto"/>
                <w:sz w:val="18"/>
                <w:szCs w:val="18"/>
                <w:lang w:eastAsia="ja-JP"/>
              </w:rPr>
              <w:t xml:space="preserve"> Paragraph </w:t>
            </w:r>
            <w:r>
              <w:rPr>
                <w:rFonts w:ascii="Arial" w:hAnsi="Arial" w:cs="Arial"/>
                <w:color w:val="auto"/>
                <w:sz w:val="18"/>
                <w:szCs w:val="18"/>
                <w:lang w:eastAsia="ja-JP"/>
              </w:rPr>
              <w:t>6</w:t>
            </w:r>
          </w:p>
        </w:tc>
      </w:tr>
      <w:tr w:rsidR="00C168CF" w:rsidRPr="004C1685" w14:paraId="7604FB4F" w14:textId="77777777" w:rsidTr="00CC2003">
        <w:trPr>
          <w:trHeight w:val="24"/>
        </w:trPr>
        <w:tc>
          <w:tcPr>
            <w:tcW w:w="12582"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5F6DE30" w14:textId="77777777" w:rsidR="00C168CF" w:rsidRPr="00930A31" w:rsidRDefault="00C168CF" w:rsidP="00CC2003">
            <w:pPr>
              <w:pStyle w:val="Default"/>
              <w:rPr>
                <w:rFonts w:ascii="Arial" w:hAnsi="Arial" w:cs="Arial"/>
                <w:sz w:val="18"/>
                <w:szCs w:val="18"/>
              </w:rPr>
            </w:pPr>
            <w:r w:rsidRPr="00930A31">
              <w:rPr>
                <w:rFonts w:ascii="Arial" w:hAnsi="Arial" w:cs="Arial"/>
                <w:b/>
                <w:bCs/>
                <w:sz w:val="18"/>
                <w:szCs w:val="18"/>
              </w:rPr>
              <w:lastRenderedPageBreak/>
              <w:t>OTHER INFORMATION</w:t>
            </w:r>
          </w:p>
        </w:tc>
        <w:tc>
          <w:tcPr>
            <w:tcW w:w="2618" w:type="dxa"/>
            <w:tcBorders>
              <w:top w:val="double" w:sz="5" w:space="0" w:color="000000"/>
              <w:left w:val="single" w:sz="5" w:space="0" w:color="000000"/>
              <w:bottom w:val="single" w:sz="5" w:space="0" w:color="000000"/>
              <w:right w:val="single" w:sz="5" w:space="0" w:color="000000"/>
            </w:tcBorders>
            <w:shd w:val="clear" w:color="auto" w:fill="FFFFCC"/>
          </w:tcPr>
          <w:p w14:paraId="6AB67DCC" w14:textId="77777777" w:rsidR="00C168CF" w:rsidRPr="00930A31" w:rsidRDefault="00C168CF" w:rsidP="00CC2003">
            <w:pPr>
              <w:pStyle w:val="Default"/>
              <w:jc w:val="center"/>
              <w:rPr>
                <w:rFonts w:ascii="Arial" w:hAnsi="Arial" w:cs="Arial"/>
                <w:color w:val="auto"/>
                <w:sz w:val="18"/>
                <w:szCs w:val="18"/>
              </w:rPr>
            </w:pPr>
          </w:p>
        </w:tc>
      </w:tr>
      <w:tr w:rsidR="00C168CF" w:rsidRPr="004C1685" w14:paraId="6F7FFE8C" w14:textId="77777777" w:rsidTr="00CC2003">
        <w:trPr>
          <w:trHeight w:val="48"/>
        </w:trPr>
        <w:tc>
          <w:tcPr>
            <w:tcW w:w="1668" w:type="dxa"/>
            <w:vMerge w:val="restart"/>
            <w:tcBorders>
              <w:top w:val="single" w:sz="5" w:space="0" w:color="000000"/>
              <w:left w:val="single" w:sz="5" w:space="0" w:color="000000"/>
              <w:right w:val="single" w:sz="5" w:space="0" w:color="000000"/>
            </w:tcBorders>
          </w:tcPr>
          <w:p w14:paraId="3829FDBC" w14:textId="77777777" w:rsidR="00C168CF" w:rsidRPr="00930A31" w:rsidRDefault="00C168CF" w:rsidP="00CC2003">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3DF7EED6" w14:textId="77777777" w:rsidR="00C168CF" w:rsidRPr="00930A31" w:rsidRDefault="00C168CF" w:rsidP="00CC2003">
            <w:pPr>
              <w:pStyle w:val="Default"/>
              <w:spacing w:before="40" w:after="40"/>
              <w:jc w:val="right"/>
              <w:rPr>
                <w:rFonts w:ascii="Arial" w:hAnsi="Arial" w:cs="Arial"/>
                <w:sz w:val="18"/>
                <w:szCs w:val="18"/>
              </w:rPr>
            </w:pPr>
            <w:r w:rsidRPr="00930A31">
              <w:rPr>
                <w:rFonts w:ascii="Arial" w:hAnsi="Arial" w:cs="Arial"/>
                <w:sz w:val="18"/>
                <w:szCs w:val="18"/>
              </w:rPr>
              <w:t>24a</w:t>
            </w:r>
          </w:p>
        </w:tc>
        <w:tc>
          <w:tcPr>
            <w:tcW w:w="10327" w:type="dxa"/>
            <w:tcBorders>
              <w:top w:val="single" w:sz="5" w:space="0" w:color="000000"/>
              <w:left w:val="single" w:sz="5" w:space="0" w:color="000000"/>
              <w:bottom w:val="single" w:sz="5" w:space="0" w:color="000000"/>
              <w:right w:val="single" w:sz="5" w:space="0" w:color="000000"/>
            </w:tcBorders>
          </w:tcPr>
          <w:p w14:paraId="6B9263E7" w14:textId="77777777" w:rsidR="00C168CF" w:rsidRPr="00930A31" w:rsidRDefault="00C168CF" w:rsidP="00CC2003">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2618" w:type="dxa"/>
            <w:tcBorders>
              <w:top w:val="single" w:sz="5" w:space="0" w:color="000000"/>
              <w:left w:val="single" w:sz="5" w:space="0" w:color="000000"/>
              <w:bottom w:val="single" w:sz="5" w:space="0" w:color="000000"/>
              <w:right w:val="single" w:sz="5" w:space="0" w:color="000000"/>
            </w:tcBorders>
          </w:tcPr>
          <w:p w14:paraId="6A0F7ECA" w14:textId="77777777" w:rsidR="00C168CF" w:rsidRPr="00930A31" w:rsidRDefault="00C168CF" w:rsidP="00CC2003">
            <w:pPr>
              <w:pStyle w:val="Default"/>
              <w:spacing w:before="40" w:after="40"/>
              <w:rPr>
                <w:rFonts w:ascii="Arial" w:hAnsi="Arial" w:cs="Arial"/>
                <w:color w:val="auto"/>
                <w:sz w:val="18"/>
                <w:szCs w:val="18"/>
              </w:rPr>
            </w:pPr>
            <w:r w:rsidRPr="00137545">
              <w:rPr>
                <w:rFonts w:ascii="Arial" w:hAnsi="Arial" w:cs="Arial"/>
                <w:color w:val="auto"/>
                <w:sz w:val="18"/>
                <w:szCs w:val="18"/>
              </w:rPr>
              <w:t>Methods</w:t>
            </w:r>
            <w:r>
              <w:rPr>
                <w:rFonts w:ascii="Arial" w:hAnsi="Arial" w:cs="Arial"/>
                <w:color w:val="auto"/>
                <w:sz w:val="18"/>
                <w:szCs w:val="18"/>
              </w:rPr>
              <w:t xml:space="preserve">, </w:t>
            </w:r>
            <w:r w:rsidRPr="00137545">
              <w:rPr>
                <w:rFonts w:ascii="Arial" w:hAnsi="Arial" w:cs="Arial"/>
                <w:color w:val="auto"/>
                <w:sz w:val="18"/>
                <w:szCs w:val="18"/>
              </w:rPr>
              <w:t>Protocol registration</w:t>
            </w:r>
          </w:p>
        </w:tc>
      </w:tr>
      <w:tr w:rsidR="00C168CF" w:rsidRPr="004C1685" w14:paraId="5FDB5D26" w14:textId="77777777" w:rsidTr="00CC2003">
        <w:trPr>
          <w:trHeight w:val="57"/>
        </w:trPr>
        <w:tc>
          <w:tcPr>
            <w:tcW w:w="1668" w:type="dxa"/>
            <w:vMerge/>
            <w:tcBorders>
              <w:left w:val="single" w:sz="5" w:space="0" w:color="000000"/>
              <w:right w:val="single" w:sz="5" w:space="0" w:color="000000"/>
            </w:tcBorders>
          </w:tcPr>
          <w:p w14:paraId="1C5521AB" w14:textId="77777777" w:rsidR="00C168CF" w:rsidRPr="00930A31" w:rsidRDefault="00C168CF" w:rsidP="00CC2003">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8F96AAD" w14:textId="77777777" w:rsidR="00C168CF" w:rsidRPr="00930A31" w:rsidRDefault="00C168CF" w:rsidP="00CC2003">
            <w:pPr>
              <w:pStyle w:val="Default"/>
              <w:spacing w:before="40" w:after="40"/>
              <w:jc w:val="right"/>
              <w:rPr>
                <w:rFonts w:ascii="Arial" w:hAnsi="Arial" w:cs="Arial"/>
                <w:sz w:val="18"/>
                <w:szCs w:val="18"/>
              </w:rPr>
            </w:pPr>
            <w:r w:rsidRPr="00930A31">
              <w:rPr>
                <w:rFonts w:ascii="Arial" w:hAnsi="Arial" w:cs="Arial"/>
                <w:sz w:val="18"/>
                <w:szCs w:val="18"/>
              </w:rPr>
              <w:t>24b</w:t>
            </w:r>
          </w:p>
        </w:tc>
        <w:tc>
          <w:tcPr>
            <w:tcW w:w="10327" w:type="dxa"/>
            <w:tcBorders>
              <w:top w:val="single" w:sz="5" w:space="0" w:color="000000"/>
              <w:left w:val="single" w:sz="5" w:space="0" w:color="000000"/>
              <w:bottom w:val="single" w:sz="5" w:space="0" w:color="000000"/>
              <w:right w:val="single" w:sz="5" w:space="0" w:color="000000"/>
            </w:tcBorders>
          </w:tcPr>
          <w:p w14:paraId="637E223F" w14:textId="77777777" w:rsidR="00C168CF" w:rsidRPr="00930A31" w:rsidRDefault="00C168CF" w:rsidP="00CC2003">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2618" w:type="dxa"/>
            <w:tcBorders>
              <w:top w:val="single" w:sz="5" w:space="0" w:color="000000"/>
              <w:left w:val="single" w:sz="5" w:space="0" w:color="000000"/>
              <w:bottom w:val="single" w:sz="5" w:space="0" w:color="000000"/>
              <w:right w:val="single" w:sz="5" w:space="0" w:color="000000"/>
            </w:tcBorders>
          </w:tcPr>
          <w:p w14:paraId="78F4BBF3" w14:textId="77777777" w:rsidR="00C168CF" w:rsidRPr="00930A31" w:rsidRDefault="00C168CF" w:rsidP="00CC2003">
            <w:pPr>
              <w:pStyle w:val="Default"/>
              <w:spacing w:before="40" w:after="40"/>
              <w:rPr>
                <w:rFonts w:ascii="Arial" w:hAnsi="Arial" w:cs="Arial"/>
                <w:color w:val="auto"/>
                <w:sz w:val="18"/>
                <w:szCs w:val="18"/>
              </w:rPr>
            </w:pPr>
            <w:r w:rsidRPr="00137545">
              <w:rPr>
                <w:rFonts w:ascii="Arial" w:hAnsi="Arial" w:cs="Arial"/>
                <w:color w:val="auto"/>
                <w:sz w:val="18"/>
                <w:szCs w:val="18"/>
              </w:rPr>
              <w:t>Methods</w:t>
            </w:r>
            <w:r>
              <w:rPr>
                <w:rFonts w:ascii="Arial" w:hAnsi="Arial" w:cs="Arial"/>
                <w:color w:val="auto"/>
                <w:sz w:val="18"/>
                <w:szCs w:val="18"/>
              </w:rPr>
              <w:t xml:space="preserve">, </w:t>
            </w:r>
            <w:r w:rsidRPr="00137545">
              <w:rPr>
                <w:rFonts w:ascii="Arial" w:hAnsi="Arial" w:cs="Arial"/>
                <w:color w:val="auto"/>
                <w:sz w:val="18"/>
                <w:szCs w:val="18"/>
              </w:rPr>
              <w:t>Protocol registration</w:t>
            </w:r>
          </w:p>
        </w:tc>
      </w:tr>
      <w:tr w:rsidR="00C168CF" w:rsidRPr="004C1685" w14:paraId="75DDC212" w14:textId="77777777" w:rsidTr="00CC2003">
        <w:trPr>
          <w:trHeight w:val="48"/>
        </w:trPr>
        <w:tc>
          <w:tcPr>
            <w:tcW w:w="1668" w:type="dxa"/>
            <w:vMerge/>
            <w:tcBorders>
              <w:left w:val="single" w:sz="5" w:space="0" w:color="000000"/>
              <w:bottom w:val="single" w:sz="5" w:space="0" w:color="000000"/>
              <w:right w:val="single" w:sz="5" w:space="0" w:color="000000"/>
            </w:tcBorders>
          </w:tcPr>
          <w:p w14:paraId="7D916F04" w14:textId="77777777" w:rsidR="00C168CF" w:rsidRPr="00930A31" w:rsidRDefault="00C168CF" w:rsidP="00CC2003">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4F5CE217" w14:textId="77777777" w:rsidR="00C168CF" w:rsidRPr="00930A31" w:rsidRDefault="00C168CF" w:rsidP="00CC2003">
            <w:pPr>
              <w:pStyle w:val="Default"/>
              <w:spacing w:before="40" w:after="40"/>
              <w:jc w:val="right"/>
              <w:rPr>
                <w:rFonts w:ascii="Arial" w:hAnsi="Arial" w:cs="Arial"/>
                <w:sz w:val="18"/>
                <w:szCs w:val="18"/>
              </w:rPr>
            </w:pPr>
            <w:r w:rsidRPr="00930A31">
              <w:rPr>
                <w:rFonts w:ascii="Arial" w:hAnsi="Arial" w:cs="Arial"/>
                <w:sz w:val="18"/>
                <w:szCs w:val="18"/>
              </w:rPr>
              <w:t>24c</w:t>
            </w:r>
          </w:p>
        </w:tc>
        <w:tc>
          <w:tcPr>
            <w:tcW w:w="10327" w:type="dxa"/>
            <w:tcBorders>
              <w:top w:val="single" w:sz="5" w:space="0" w:color="000000"/>
              <w:left w:val="single" w:sz="5" w:space="0" w:color="000000"/>
              <w:bottom w:val="single" w:sz="5" w:space="0" w:color="000000"/>
              <w:right w:val="single" w:sz="5" w:space="0" w:color="000000"/>
            </w:tcBorders>
          </w:tcPr>
          <w:p w14:paraId="395A6D17" w14:textId="77777777" w:rsidR="00C168CF" w:rsidRPr="00930A31" w:rsidRDefault="00C168CF" w:rsidP="00CC2003">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2618" w:type="dxa"/>
            <w:tcBorders>
              <w:top w:val="single" w:sz="5" w:space="0" w:color="000000"/>
              <w:left w:val="single" w:sz="5" w:space="0" w:color="000000"/>
              <w:bottom w:val="single" w:sz="5" w:space="0" w:color="000000"/>
              <w:right w:val="single" w:sz="5" w:space="0" w:color="000000"/>
            </w:tcBorders>
          </w:tcPr>
          <w:p w14:paraId="5D17D1F0" w14:textId="77777777" w:rsidR="00C168CF" w:rsidRPr="00930A31" w:rsidRDefault="00C168CF" w:rsidP="00CC2003">
            <w:pPr>
              <w:pStyle w:val="Default"/>
              <w:spacing w:before="40" w:after="40"/>
              <w:rPr>
                <w:rFonts w:ascii="Arial" w:hAnsi="Arial" w:cs="Arial"/>
                <w:color w:val="auto"/>
                <w:sz w:val="18"/>
                <w:szCs w:val="18"/>
                <w:lang w:eastAsia="ja-JP"/>
              </w:rPr>
            </w:pPr>
            <w:r>
              <w:rPr>
                <w:rFonts w:ascii="Arial" w:hAnsi="Arial" w:cs="Arial" w:hint="eastAsia"/>
                <w:color w:val="auto"/>
                <w:sz w:val="18"/>
                <w:szCs w:val="18"/>
                <w:lang w:eastAsia="ja-JP"/>
              </w:rPr>
              <w:t>N</w:t>
            </w:r>
            <w:r>
              <w:rPr>
                <w:rFonts w:ascii="Arial" w:hAnsi="Arial" w:cs="Arial"/>
                <w:color w:val="auto"/>
                <w:sz w:val="18"/>
                <w:szCs w:val="18"/>
                <w:lang w:eastAsia="ja-JP"/>
              </w:rPr>
              <w:t>/A</w:t>
            </w:r>
          </w:p>
        </w:tc>
      </w:tr>
      <w:tr w:rsidR="00C168CF" w:rsidRPr="004C1685" w14:paraId="08862270" w14:textId="77777777" w:rsidTr="00CC2003">
        <w:trPr>
          <w:trHeight w:val="48"/>
        </w:trPr>
        <w:tc>
          <w:tcPr>
            <w:tcW w:w="1668" w:type="dxa"/>
            <w:tcBorders>
              <w:top w:val="single" w:sz="5" w:space="0" w:color="000000"/>
              <w:left w:val="single" w:sz="5" w:space="0" w:color="000000"/>
              <w:bottom w:val="single" w:sz="5" w:space="0" w:color="000000"/>
              <w:right w:val="single" w:sz="5" w:space="0" w:color="000000"/>
            </w:tcBorders>
          </w:tcPr>
          <w:p w14:paraId="576B1D3B" w14:textId="77777777" w:rsidR="00C168CF" w:rsidRPr="00930A31" w:rsidRDefault="00C168CF" w:rsidP="00CC2003">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434D4177" w14:textId="77777777" w:rsidR="00C168CF" w:rsidRPr="00930A31" w:rsidRDefault="00C168CF" w:rsidP="00CC2003">
            <w:pPr>
              <w:pStyle w:val="Default"/>
              <w:spacing w:before="40" w:after="40"/>
              <w:jc w:val="right"/>
              <w:rPr>
                <w:rFonts w:ascii="Arial" w:hAnsi="Arial" w:cs="Arial"/>
                <w:sz w:val="18"/>
                <w:szCs w:val="18"/>
              </w:rPr>
            </w:pPr>
            <w:r w:rsidRPr="00930A31">
              <w:rPr>
                <w:rFonts w:ascii="Arial" w:hAnsi="Arial" w:cs="Arial"/>
                <w:sz w:val="18"/>
                <w:szCs w:val="18"/>
              </w:rPr>
              <w:t>25</w:t>
            </w:r>
          </w:p>
        </w:tc>
        <w:tc>
          <w:tcPr>
            <w:tcW w:w="10327" w:type="dxa"/>
            <w:tcBorders>
              <w:top w:val="single" w:sz="5" w:space="0" w:color="000000"/>
              <w:left w:val="single" w:sz="5" w:space="0" w:color="000000"/>
              <w:bottom w:val="single" w:sz="5" w:space="0" w:color="000000"/>
              <w:right w:val="single" w:sz="5" w:space="0" w:color="000000"/>
            </w:tcBorders>
          </w:tcPr>
          <w:p w14:paraId="05D554B1" w14:textId="77777777" w:rsidR="00C168CF" w:rsidRPr="00930A31" w:rsidRDefault="00C168CF" w:rsidP="00CC2003">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2618" w:type="dxa"/>
            <w:tcBorders>
              <w:top w:val="single" w:sz="5" w:space="0" w:color="000000"/>
              <w:left w:val="single" w:sz="5" w:space="0" w:color="000000"/>
              <w:bottom w:val="single" w:sz="5" w:space="0" w:color="000000"/>
              <w:right w:val="single" w:sz="5" w:space="0" w:color="000000"/>
            </w:tcBorders>
          </w:tcPr>
          <w:p w14:paraId="641EB156" w14:textId="77777777" w:rsidR="00C168CF" w:rsidRPr="00930A31" w:rsidRDefault="00C168CF" w:rsidP="00CC2003">
            <w:pPr>
              <w:pStyle w:val="Default"/>
              <w:spacing w:before="40" w:after="40"/>
              <w:rPr>
                <w:rFonts w:ascii="Arial" w:hAnsi="Arial" w:cs="Arial"/>
                <w:color w:val="auto"/>
                <w:sz w:val="18"/>
                <w:szCs w:val="18"/>
              </w:rPr>
            </w:pPr>
            <w:r w:rsidRPr="00400698">
              <w:rPr>
                <w:rFonts w:ascii="Arial" w:hAnsi="Arial" w:cs="Arial"/>
                <w:color w:val="auto"/>
                <w:sz w:val="18"/>
                <w:szCs w:val="18"/>
              </w:rPr>
              <w:t>Funding</w:t>
            </w:r>
          </w:p>
        </w:tc>
      </w:tr>
      <w:tr w:rsidR="00C168CF" w:rsidRPr="004C1685" w14:paraId="49F3A70A" w14:textId="77777777" w:rsidTr="00CC2003">
        <w:trPr>
          <w:trHeight w:val="48"/>
        </w:trPr>
        <w:tc>
          <w:tcPr>
            <w:tcW w:w="1668" w:type="dxa"/>
            <w:tcBorders>
              <w:top w:val="single" w:sz="5" w:space="0" w:color="000000"/>
              <w:left w:val="single" w:sz="5" w:space="0" w:color="000000"/>
              <w:bottom w:val="single" w:sz="5" w:space="0" w:color="000000"/>
              <w:right w:val="single" w:sz="5" w:space="0" w:color="000000"/>
            </w:tcBorders>
          </w:tcPr>
          <w:p w14:paraId="1CE3CF46" w14:textId="77777777" w:rsidR="00C168CF" w:rsidRPr="00930A31" w:rsidRDefault="00C168CF" w:rsidP="00CC2003">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6A9366D3" w14:textId="77777777" w:rsidR="00C168CF" w:rsidRPr="00930A31" w:rsidRDefault="00C168CF" w:rsidP="00CC2003">
            <w:pPr>
              <w:pStyle w:val="Default"/>
              <w:spacing w:before="40" w:after="40"/>
              <w:jc w:val="right"/>
              <w:rPr>
                <w:rFonts w:ascii="Arial" w:hAnsi="Arial" w:cs="Arial"/>
                <w:sz w:val="18"/>
                <w:szCs w:val="18"/>
              </w:rPr>
            </w:pPr>
            <w:r w:rsidRPr="00930A31">
              <w:rPr>
                <w:rFonts w:ascii="Arial" w:hAnsi="Arial" w:cs="Arial"/>
                <w:sz w:val="18"/>
                <w:szCs w:val="18"/>
              </w:rPr>
              <w:t>26</w:t>
            </w:r>
          </w:p>
        </w:tc>
        <w:tc>
          <w:tcPr>
            <w:tcW w:w="10327" w:type="dxa"/>
            <w:tcBorders>
              <w:top w:val="single" w:sz="5" w:space="0" w:color="000000"/>
              <w:left w:val="single" w:sz="5" w:space="0" w:color="000000"/>
              <w:bottom w:val="single" w:sz="5" w:space="0" w:color="000000"/>
              <w:right w:val="single" w:sz="5" w:space="0" w:color="000000"/>
            </w:tcBorders>
          </w:tcPr>
          <w:p w14:paraId="33DCA7E9" w14:textId="77777777" w:rsidR="00C168CF" w:rsidRPr="00930A31" w:rsidRDefault="00C168CF" w:rsidP="00CC2003">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2618" w:type="dxa"/>
            <w:tcBorders>
              <w:top w:val="single" w:sz="5" w:space="0" w:color="000000"/>
              <w:left w:val="single" w:sz="5" w:space="0" w:color="000000"/>
              <w:bottom w:val="single" w:sz="5" w:space="0" w:color="000000"/>
              <w:right w:val="single" w:sz="5" w:space="0" w:color="000000"/>
            </w:tcBorders>
          </w:tcPr>
          <w:p w14:paraId="332267C4" w14:textId="77777777" w:rsidR="00C168CF" w:rsidRPr="00930A31" w:rsidRDefault="00C168CF" w:rsidP="00CC2003">
            <w:pPr>
              <w:pStyle w:val="Default"/>
              <w:spacing w:before="40" w:after="40"/>
              <w:rPr>
                <w:rFonts w:ascii="Arial" w:hAnsi="Arial" w:cs="Arial"/>
                <w:color w:val="auto"/>
                <w:sz w:val="18"/>
                <w:szCs w:val="18"/>
              </w:rPr>
            </w:pPr>
            <w:r w:rsidRPr="00CA00E0">
              <w:rPr>
                <w:rFonts w:ascii="Arial" w:hAnsi="Arial" w:cs="Arial"/>
                <w:color w:val="auto"/>
                <w:sz w:val="18"/>
                <w:szCs w:val="18"/>
              </w:rPr>
              <w:t>Competing interests</w:t>
            </w:r>
          </w:p>
        </w:tc>
      </w:tr>
      <w:tr w:rsidR="00C168CF" w:rsidRPr="004C1685" w14:paraId="5AD75B72" w14:textId="77777777" w:rsidTr="00CC2003">
        <w:trPr>
          <w:trHeight w:val="219"/>
        </w:trPr>
        <w:tc>
          <w:tcPr>
            <w:tcW w:w="1668" w:type="dxa"/>
            <w:tcBorders>
              <w:top w:val="single" w:sz="5" w:space="0" w:color="000000"/>
              <w:left w:val="single" w:sz="5" w:space="0" w:color="000000"/>
              <w:bottom w:val="double" w:sz="5" w:space="0" w:color="000000"/>
              <w:right w:val="single" w:sz="5" w:space="0" w:color="000000"/>
            </w:tcBorders>
          </w:tcPr>
          <w:p w14:paraId="235C067F" w14:textId="77777777" w:rsidR="00C168CF" w:rsidRPr="00930A31" w:rsidRDefault="00C168CF" w:rsidP="00CC2003">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C720424" w14:textId="77777777" w:rsidR="00C168CF" w:rsidRPr="00930A31" w:rsidRDefault="00C168CF" w:rsidP="00CC2003">
            <w:pPr>
              <w:pStyle w:val="Default"/>
              <w:spacing w:before="40" w:after="40"/>
              <w:jc w:val="right"/>
              <w:rPr>
                <w:rFonts w:ascii="Arial" w:hAnsi="Arial" w:cs="Arial"/>
                <w:sz w:val="18"/>
                <w:szCs w:val="18"/>
              </w:rPr>
            </w:pPr>
            <w:r w:rsidRPr="00930A31">
              <w:rPr>
                <w:rFonts w:ascii="Arial" w:hAnsi="Arial" w:cs="Arial"/>
                <w:sz w:val="18"/>
                <w:szCs w:val="18"/>
              </w:rPr>
              <w:t>27</w:t>
            </w:r>
          </w:p>
        </w:tc>
        <w:tc>
          <w:tcPr>
            <w:tcW w:w="10327" w:type="dxa"/>
            <w:tcBorders>
              <w:top w:val="single" w:sz="5" w:space="0" w:color="000000"/>
              <w:left w:val="single" w:sz="5" w:space="0" w:color="000000"/>
              <w:bottom w:val="double" w:sz="5" w:space="0" w:color="000000"/>
              <w:right w:val="single" w:sz="5" w:space="0" w:color="000000"/>
            </w:tcBorders>
          </w:tcPr>
          <w:p w14:paraId="5D158FED" w14:textId="77777777" w:rsidR="00C168CF" w:rsidRPr="00930A31" w:rsidRDefault="00C168CF" w:rsidP="00CC2003">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2618" w:type="dxa"/>
            <w:tcBorders>
              <w:top w:val="single" w:sz="5" w:space="0" w:color="000000"/>
              <w:left w:val="single" w:sz="5" w:space="0" w:color="000000"/>
              <w:bottom w:val="double" w:sz="5" w:space="0" w:color="000000"/>
              <w:right w:val="single" w:sz="5" w:space="0" w:color="000000"/>
            </w:tcBorders>
          </w:tcPr>
          <w:p w14:paraId="1F3F4F71" w14:textId="77777777" w:rsidR="00C168CF" w:rsidRPr="00930A31" w:rsidRDefault="00C168CF" w:rsidP="00CC2003">
            <w:pPr>
              <w:pStyle w:val="Default"/>
              <w:spacing w:before="40" w:after="40"/>
              <w:rPr>
                <w:rFonts w:ascii="Arial" w:hAnsi="Arial" w:cs="Arial"/>
                <w:color w:val="auto"/>
                <w:sz w:val="18"/>
                <w:szCs w:val="18"/>
                <w:lang w:eastAsia="ja-JP"/>
              </w:rPr>
            </w:pPr>
            <w:r>
              <w:rPr>
                <w:rFonts w:ascii="Arial" w:hAnsi="Arial" w:cs="Arial" w:hint="eastAsia"/>
                <w:color w:val="auto"/>
                <w:sz w:val="18"/>
                <w:szCs w:val="18"/>
                <w:lang w:eastAsia="ja-JP"/>
              </w:rPr>
              <w:t>S</w:t>
            </w:r>
            <w:r>
              <w:rPr>
                <w:rFonts w:ascii="Arial" w:hAnsi="Arial" w:cs="Arial"/>
                <w:color w:val="auto"/>
                <w:sz w:val="18"/>
                <w:szCs w:val="18"/>
                <w:lang w:eastAsia="ja-JP"/>
              </w:rPr>
              <w:t>upplementary material</w:t>
            </w:r>
          </w:p>
        </w:tc>
      </w:tr>
    </w:tbl>
    <w:p w14:paraId="12DC0380" w14:textId="77777777" w:rsidR="00C168CF" w:rsidRPr="004C1685" w:rsidRDefault="00C168CF" w:rsidP="00C168CF">
      <w:pPr>
        <w:pStyle w:val="Default"/>
        <w:rPr>
          <w:rFonts w:ascii="Arial" w:hAnsi="Arial" w:cs="Arial"/>
          <w:color w:val="auto"/>
        </w:rPr>
      </w:pPr>
    </w:p>
    <w:p w14:paraId="1D7F0C3C" w14:textId="77777777" w:rsidR="00C168CF" w:rsidRPr="00363B8D" w:rsidRDefault="00C168CF" w:rsidP="00C168CF">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Pr="00461576">
        <w:rPr>
          <w:rFonts w:ascii="Arial" w:hAnsi="Arial" w:cs="Arial"/>
          <w:color w:val="auto"/>
          <w:sz w:val="16"/>
          <w:szCs w:val="16"/>
        </w:rPr>
        <w:t>Page MJ, McKenzie JE, Bossuyt PM, Boutron I, Hoffmann TC, Mulrow CD, et al. The PRISMA 2020 statement: an updated guideline for reporting systematic reviews.</w:t>
      </w:r>
      <w:r>
        <w:rPr>
          <w:rFonts w:ascii="Arial" w:hAnsi="Arial" w:cs="Arial"/>
          <w:color w:val="auto"/>
          <w:sz w:val="16"/>
          <w:szCs w:val="16"/>
        </w:rPr>
        <w:t xml:space="preserve"> BMJ 2021;372:n71</w:t>
      </w:r>
      <w:r w:rsidRPr="00461576">
        <w:rPr>
          <w:rFonts w:ascii="Arial" w:hAnsi="Arial" w:cs="Arial"/>
          <w:color w:val="auto"/>
          <w:sz w:val="16"/>
          <w:szCs w:val="16"/>
        </w:rPr>
        <w:t>.</w:t>
      </w:r>
      <w:r>
        <w:rPr>
          <w:rFonts w:ascii="Arial" w:hAnsi="Arial" w:cs="Arial"/>
          <w:color w:val="auto"/>
          <w:sz w:val="16"/>
          <w:szCs w:val="16"/>
        </w:rPr>
        <w:t xml:space="preserve"> doi: </w:t>
      </w:r>
      <w:r w:rsidRPr="0077253C">
        <w:rPr>
          <w:rFonts w:ascii="Arial" w:hAnsi="Arial" w:cs="Arial"/>
          <w:color w:val="auto"/>
          <w:sz w:val="16"/>
          <w:szCs w:val="16"/>
        </w:rPr>
        <w:t>10.1136/bmj.n71</w:t>
      </w:r>
    </w:p>
    <w:p w14:paraId="2E051F42" w14:textId="77777777" w:rsidR="00C168CF" w:rsidRPr="004C1685" w:rsidRDefault="00C168CF" w:rsidP="00C168CF">
      <w:pPr>
        <w:pStyle w:val="CM1"/>
        <w:spacing w:after="130"/>
        <w:jc w:val="center"/>
        <w:rPr>
          <w:rFonts w:ascii="Arial" w:hAnsi="Arial" w:cs="Arial"/>
        </w:rPr>
      </w:pPr>
      <w:r w:rsidRPr="00246C93">
        <w:rPr>
          <w:rFonts w:ascii="Arial" w:hAnsi="Arial" w:cs="Arial"/>
          <w:color w:val="333399"/>
          <w:sz w:val="18"/>
          <w:szCs w:val="18"/>
        </w:rPr>
        <w:t>For more information, visit:</w:t>
      </w:r>
      <w:r w:rsidRPr="00363B8D">
        <w:rPr>
          <w:rFonts w:ascii="Arial" w:hAnsi="Arial" w:cs="Arial"/>
          <w:color w:val="000000"/>
          <w:sz w:val="18"/>
          <w:szCs w:val="18"/>
          <w:lang w:val="da-DK"/>
        </w:rPr>
        <w:t xml:space="preserve"> </w:t>
      </w:r>
      <w:hyperlink r:id="rId8" w:history="1">
        <w:r w:rsidRPr="00C22710">
          <w:rPr>
            <w:rStyle w:val="a8"/>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p w14:paraId="6652E2BC" w14:textId="14D145E7" w:rsidR="00C168CF" w:rsidRPr="00C168CF" w:rsidRDefault="00C168CF" w:rsidP="000677E7">
      <w:pPr>
        <w:rPr>
          <w:rFonts w:ascii="Times New Roman" w:hAnsi="Times New Roman" w:cs="Times New Roman"/>
          <w:b/>
          <w:bCs/>
          <w:lang w:val="en-CA"/>
        </w:rPr>
      </w:pPr>
    </w:p>
    <w:p w14:paraId="3B736F35" w14:textId="567E183F" w:rsidR="00C168CF" w:rsidRPr="00C168CF" w:rsidRDefault="00C168CF" w:rsidP="000677E7">
      <w:pPr>
        <w:rPr>
          <w:rFonts w:ascii="Times New Roman" w:hAnsi="Times New Roman" w:cs="Times New Roman"/>
          <w:b/>
          <w:bCs/>
          <w:lang w:val="en-CA"/>
        </w:rPr>
      </w:pPr>
    </w:p>
    <w:p w14:paraId="3E751A7A" w14:textId="77777777" w:rsidR="00C168CF" w:rsidRPr="007A37C8" w:rsidRDefault="00C168CF" w:rsidP="000677E7">
      <w:pPr>
        <w:rPr>
          <w:rFonts w:ascii="Times New Roman" w:hAnsi="Times New Roman" w:cs="Times New Roman"/>
          <w:b/>
          <w:bCs/>
        </w:rPr>
      </w:pPr>
    </w:p>
    <w:p w14:paraId="30B288A6" w14:textId="512E85A3" w:rsidR="00C57480" w:rsidRPr="00F3093D" w:rsidRDefault="00C57480" w:rsidP="000677E7">
      <w:pPr>
        <w:rPr>
          <w:rFonts w:ascii="Times New Roman" w:hAnsi="Times New Roman" w:cs="Times New Roman"/>
          <w:lang w:val="en-GB"/>
        </w:rPr>
      </w:pPr>
      <w:r w:rsidRPr="00F3093D">
        <w:rPr>
          <w:rFonts w:ascii="Times New Roman" w:hAnsi="Times New Roman" w:cs="Times New Roman"/>
          <w:lang w:val="en-GB"/>
        </w:rPr>
        <w:t>From: Stroup DF, Berlin JA, Morton SC, et al, for the Meta-analysis Of Observational Studies in Epidemiology (MOOSE) Group. Meta-analysis of Observational Studies in Epidemiology. A Proposal for Reporting. JAMA. 2000;283(15):2008-2012. doi: 10.1001/jama.283.15.2008.</w:t>
      </w:r>
    </w:p>
    <w:p w14:paraId="5F434507" w14:textId="77777777" w:rsidR="00C57480" w:rsidRPr="00F3093D" w:rsidRDefault="00C57480" w:rsidP="000677E7">
      <w:pPr>
        <w:rPr>
          <w:rFonts w:ascii="Times New Roman" w:hAnsi="Times New Roman" w:cs="Times New Roman"/>
          <w:lang w:val="en-GB"/>
        </w:rPr>
      </w:pPr>
    </w:p>
    <w:p w14:paraId="2C59A800" w14:textId="77777777" w:rsidR="00C168CF" w:rsidRDefault="00C57480" w:rsidP="000677E7">
      <w:pPr>
        <w:rPr>
          <w:rFonts w:ascii="Times New Roman" w:hAnsi="Times New Roman" w:cs="Times New Roman"/>
        </w:rPr>
        <w:sectPr w:rsidR="00C168CF" w:rsidSect="00C168CF">
          <w:pgSz w:w="16838" w:h="11906" w:orient="landscape"/>
          <w:pgMar w:top="720" w:right="720" w:bottom="720" w:left="720" w:header="851" w:footer="992" w:gutter="0"/>
          <w:cols w:space="425"/>
          <w:docGrid w:type="lines" w:linePitch="360"/>
        </w:sectPr>
      </w:pPr>
      <w:r w:rsidRPr="00F3093D">
        <w:rPr>
          <w:rFonts w:ascii="Times New Roman" w:hAnsi="Times New Roman" w:cs="Times New Roman"/>
        </w:rPr>
        <w:br w:type="page"/>
      </w:r>
    </w:p>
    <w:p w14:paraId="623AAB35" w14:textId="1BAB9C3E" w:rsidR="000677E7" w:rsidRPr="007A37C8" w:rsidRDefault="0077094C" w:rsidP="000677E7">
      <w:pPr>
        <w:rPr>
          <w:rFonts w:ascii="Times New Roman" w:hAnsi="Times New Roman" w:cs="Times New Roman"/>
          <w:b/>
          <w:bCs/>
        </w:rPr>
      </w:pPr>
      <w:r>
        <w:rPr>
          <w:rFonts w:ascii="Times New Roman" w:hAnsi="Times New Roman" w:cs="Times New Roman"/>
          <w:b/>
          <w:bCs/>
        </w:rPr>
        <w:lastRenderedPageBreak/>
        <w:t xml:space="preserve">Supplementary Table </w:t>
      </w:r>
      <w:r w:rsidR="00630D1C" w:rsidRPr="007A37C8">
        <w:rPr>
          <w:rFonts w:ascii="Times New Roman" w:hAnsi="Times New Roman" w:cs="Times New Roman"/>
          <w:b/>
          <w:bCs/>
        </w:rPr>
        <w:t>2</w:t>
      </w:r>
      <w:r w:rsidR="000677E7" w:rsidRPr="007A37C8">
        <w:rPr>
          <w:rFonts w:ascii="Times New Roman" w:hAnsi="Times New Roman" w:cs="Times New Roman"/>
          <w:b/>
          <w:bCs/>
        </w:rPr>
        <w:t>. Search formulas</w:t>
      </w:r>
      <w:r w:rsidR="001A62EF" w:rsidRPr="007A37C8">
        <w:rPr>
          <w:rFonts w:ascii="Times New Roman" w:hAnsi="Times New Roman" w:cs="Times New Roman"/>
          <w:b/>
          <w:bCs/>
        </w:rPr>
        <w:t>.</w:t>
      </w:r>
      <w:r w:rsidR="000677E7" w:rsidRPr="007A37C8">
        <w:rPr>
          <w:rFonts w:ascii="Times New Roman" w:hAnsi="Times New Roman" w:cs="Times New Roman"/>
          <w:b/>
          <w:bCs/>
        </w:rPr>
        <w:t> </w:t>
      </w:r>
    </w:p>
    <w:tbl>
      <w:tblPr>
        <w:tblStyle w:val="a7"/>
        <w:tblW w:w="0" w:type="auto"/>
        <w:tblLook w:val="04A0" w:firstRow="1" w:lastRow="0" w:firstColumn="1" w:lastColumn="0" w:noHBand="0" w:noVBand="1"/>
      </w:tblPr>
      <w:tblGrid>
        <w:gridCol w:w="7933"/>
        <w:gridCol w:w="561"/>
      </w:tblGrid>
      <w:tr w:rsidR="000677E7" w:rsidRPr="00F3093D" w14:paraId="59869B8A" w14:textId="77777777" w:rsidTr="00DD00EF">
        <w:tc>
          <w:tcPr>
            <w:tcW w:w="7933" w:type="dxa"/>
            <w:shd w:val="clear" w:color="auto" w:fill="BFBFBF" w:themeFill="background1" w:themeFillShade="BF"/>
          </w:tcPr>
          <w:p w14:paraId="3B0D3710" w14:textId="654210C0" w:rsidR="000677E7" w:rsidRPr="00F3093D" w:rsidRDefault="000677E7" w:rsidP="000677E7">
            <w:pPr>
              <w:rPr>
                <w:rFonts w:ascii="Times New Roman" w:hAnsi="Times New Roman" w:cs="Times New Roman"/>
              </w:rPr>
            </w:pPr>
            <w:r w:rsidRPr="00F3093D">
              <w:rPr>
                <w:rFonts w:ascii="Times New Roman" w:hAnsi="Times New Roman" w:cs="Times New Roman"/>
              </w:rPr>
              <w:t>PubMed</w:t>
            </w:r>
          </w:p>
        </w:tc>
        <w:tc>
          <w:tcPr>
            <w:tcW w:w="561" w:type="dxa"/>
            <w:shd w:val="clear" w:color="auto" w:fill="BFBFBF" w:themeFill="background1" w:themeFillShade="BF"/>
          </w:tcPr>
          <w:p w14:paraId="050630B1" w14:textId="77777777" w:rsidR="000677E7" w:rsidRPr="00F3093D" w:rsidRDefault="000677E7" w:rsidP="000677E7">
            <w:pPr>
              <w:rPr>
                <w:rFonts w:ascii="Times New Roman" w:hAnsi="Times New Roman" w:cs="Times New Roman"/>
              </w:rPr>
            </w:pPr>
          </w:p>
        </w:tc>
      </w:tr>
      <w:tr w:rsidR="000677E7" w:rsidRPr="00F3093D" w14:paraId="1AD37DF7" w14:textId="77777777" w:rsidTr="000677E7">
        <w:tc>
          <w:tcPr>
            <w:tcW w:w="7933" w:type="dxa"/>
          </w:tcPr>
          <w:p w14:paraId="1C09E18A" w14:textId="1D1AED33" w:rsidR="000677E7" w:rsidRPr="00F3093D" w:rsidRDefault="000677E7" w:rsidP="000677E7">
            <w:pPr>
              <w:rPr>
                <w:rFonts w:ascii="Times New Roman" w:hAnsi="Times New Roman" w:cs="Times New Roman"/>
              </w:rPr>
            </w:pPr>
            <w:r w:rsidRPr="00F3093D">
              <w:rPr>
                <w:rFonts w:ascii="Times New Roman" w:hAnsi="Times New Roman" w:cs="Times New Roman"/>
              </w:rPr>
              <w:t>(endophthalmitis [title] OR endophthalmia [title]) (cataract OR phacoemulsification) (prophyla* OR prophylactic OR prophylaxis OR antibioti* OR antibiotic OR antibiotics OR cefazoline OR cefuroxime OR ceftazidime OR moxifloxacin OR ciprofloxacin OR ofloxacin OR gatifloxacin OR levofloxacin OR vancomycin OR gentamycin OR azithromycin)</w:t>
            </w:r>
          </w:p>
        </w:tc>
        <w:tc>
          <w:tcPr>
            <w:tcW w:w="561" w:type="dxa"/>
          </w:tcPr>
          <w:p w14:paraId="421E2DE5" w14:textId="40C39193" w:rsidR="000677E7" w:rsidRPr="00F3093D" w:rsidRDefault="000677E7" w:rsidP="000677E7">
            <w:pPr>
              <w:rPr>
                <w:rFonts w:ascii="Times New Roman" w:hAnsi="Times New Roman" w:cs="Times New Roman"/>
              </w:rPr>
            </w:pPr>
            <w:r w:rsidRPr="00F3093D">
              <w:rPr>
                <w:rFonts w:ascii="Times New Roman" w:hAnsi="Times New Roman" w:cs="Times New Roman"/>
              </w:rPr>
              <w:t>379</w:t>
            </w:r>
          </w:p>
        </w:tc>
      </w:tr>
      <w:tr w:rsidR="000677E7" w:rsidRPr="00F3093D" w14:paraId="42E7AF55" w14:textId="77777777" w:rsidTr="00DD00EF">
        <w:tc>
          <w:tcPr>
            <w:tcW w:w="7933" w:type="dxa"/>
            <w:shd w:val="clear" w:color="auto" w:fill="BFBFBF" w:themeFill="background1" w:themeFillShade="BF"/>
          </w:tcPr>
          <w:p w14:paraId="3E94230E" w14:textId="3AC4F89C" w:rsidR="000677E7" w:rsidRPr="00F3093D" w:rsidRDefault="000677E7" w:rsidP="000677E7">
            <w:pPr>
              <w:rPr>
                <w:rFonts w:ascii="Times New Roman" w:hAnsi="Times New Roman" w:cs="Times New Roman"/>
              </w:rPr>
            </w:pPr>
            <w:r w:rsidRPr="00F3093D">
              <w:rPr>
                <w:rFonts w:ascii="Times New Roman" w:hAnsi="Times New Roman" w:cs="Times New Roman"/>
              </w:rPr>
              <w:t>Web of Science</w:t>
            </w:r>
          </w:p>
        </w:tc>
        <w:tc>
          <w:tcPr>
            <w:tcW w:w="561" w:type="dxa"/>
            <w:shd w:val="clear" w:color="auto" w:fill="BFBFBF" w:themeFill="background1" w:themeFillShade="BF"/>
          </w:tcPr>
          <w:p w14:paraId="54119E03" w14:textId="77777777" w:rsidR="000677E7" w:rsidRPr="00F3093D" w:rsidRDefault="000677E7" w:rsidP="000677E7">
            <w:pPr>
              <w:rPr>
                <w:rFonts w:ascii="Times New Roman" w:hAnsi="Times New Roman" w:cs="Times New Roman"/>
              </w:rPr>
            </w:pPr>
          </w:p>
        </w:tc>
      </w:tr>
      <w:tr w:rsidR="000677E7" w:rsidRPr="00F3093D" w14:paraId="2C58A084" w14:textId="77777777" w:rsidTr="000677E7">
        <w:tc>
          <w:tcPr>
            <w:tcW w:w="7933" w:type="dxa"/>
          </w:tcPr>
          <w:p w14:paraId="009822B2" w14:textId="77777777" w:rsidR="000677E7" w:rsidRPr="00F3093D" w:rsidRDefault="000677E7" w:rsidP="000677E7">
            <w:pPr>
              <w:rPr>
                <w:rFonts w:ascii="Times New Roman" w:hAnsi="Times New Roman" w:cs="Times New Roman"/>
              </w:rPr>
            </w:pPr>
            <w:r w:rsidRPr="00F3093D">
              <w:rPr>
                <w:rFonts w:ascii="Times New Roman" w:hAnsi="Times New Roman" w:cs="Times New Roman"/>
              </w:rPr>
              <w:t>#1 TI=((endophthalmitis OR endophthalmia) AND (cataract OR phacoemulsification))</w:t>
            </w:r>
          </w:p>
          <w:p w14:paraId="6777ACF3" w14:textId="77777777" w:rsidR="000677E7" w:rsidRPr="00F3093D" w:rsidRDefault="000677E7" w:rsidP="000677E7">
            <w:pPr>
              <w:rPr>
                <w:rFonts w:ascii="Times New Roman" w:hAnsi="Times New Roman" w:cs="Times New Roman"/>
              </w:rPr>
            </w:pPr>
            <w:r w:rsidRPr="00F3093D">
              <w:rPr>
                <w:rFonts w:ascii="Times New Roman" w:hAnsi="Times New Roman" w:cs="Times New Roman"/>
              </w:rPr>
              <w:t xml:space="preserve">#2 TS=(prophylactic OR prophylaxis OR antibiotic OR antibiotics OR cefazoline OR cefuroxime OR ceftazidime OR moxifloxacin OR ciprofloxacin OR ofloxacin OR gatifloxacin OR levofloxacin OR vancomycin OR gentamycin OR azithromycin) </w:t>
            </w:r>
          </w:p>
          <w:p w14:paraId="7532DF82" w14:textId="77777777" w:rsidR="000677E7" w:rsidRPr="00F3093D" w:rsidRDefault="000677E7" w:rsidP="000677E7">
            <w:pPr>
              <w:rPr>
                <w:rFonts w:ascii="Times New Roman" w:hAnsi="Times New Roman" w:cs="Times New Roman"/>
              </w:rPr>
            </w:pPr>
            <w:r w:rsidRPr="00F3093D">
              <w:rPr>
                <w:rFonts w:ascii="Times New Roman" w:hAnsi="Times New Roman" w:cs="Times New Roman"/>
              </w:rPr>
              <w:t>#3 #1 AND #2</w:t>
            </w:r>
          </w:p>
          <w:p w14:paraId="4D3E2C57" w14:textId="77777777" w:rsidR="000677E7" w:rsidRPr="00F3093D" w:rsidRDefault="000677E7" w:rsidP="000677E7">
            <w:pPr>
              <w:rPr>
                <w:rFonts w:ascii="Times New Roman" w:hAnsi="Times New Roman" w:cs="Times New Roman"/>
              </w:rPr>
            </w:pPr>
          </w:p>
        </w:tc>
        <w:tc>
          <w:tcPr>
            <w:tcW w:w="561" w:type="dxa"/>
          </w:tcPr>
          <w:p w14:paraId="6537E4FD" w14:textId="54FEBA28" w:rsidR="000677E7" w:rsidRPr="00F3093D" w:rsidRDefault="000677E7" w:rsidP="000677E7">
            <w:pPr>
              <w:rPr>
                <w:rFonts w:ascii="Times New Roman" w:hAnsi="Times New Roman" w:cs="Times New Roman"/>
              </w:rPr>
            </w:pPr>
            <w:r w:rsidRPr="00F3093D">
              <w:rPr>
                <w:rFonts w:ascii="Times New Roman" w:hAnsi="Times New Roman" w:cs="Times New Roman"/>
              </w:rPr>
              <w:t>300</w:t>
            </w:r>
          </w:p>
        </w:tc>
      </w:tr>
      <w:tr w:rsidR="000677E7" w:rsidRPr="00F3093D" w14:paraId="7F96DA12" w14:textId="77777777" w:rsidTr="00DD00EF">
        <w:tc>
          <w:tcPr>
            <w:tcW w:w="7933" w:type="dxa"/>
            <w:shd w:val="clear" w:color="auto" w:fill="BFBFBF" w:themeFill="background1" w:themeFillShade="BF"/>
          </w:tcPr>
          <w:p w14:paraId="5F12C34A" w14:textId="11B0F26B" w:rsidR="000677E7" w:rsidRPr="00F3093D" w:rsidRDefault="000677E7" w:rsidP="000677E7">
            <w:pPr>
              <w:rPr>
                <w:rFonts w:ascii="Times New Roman" w:hAnsi="Times New Roman" w:cs="Times New Roman"/>
              </w:rPr>
            </w:pPr>
            <w:r w:rsidRPr="00F3093D">
              <w:rPr>
                <w:rFonts w:ascii="Times New Roman" w:hAnsi="Times New Roman" w:cs="Times New Roman"/>
              </w:rPr>
              <w:t>Cochrane Central</w:t>
            </w:r>
          </w:p>
        </w:tc>
        <w:tc>
          <w:tcPr>
            <w:tcW w:w="561" w:type="dxa"/>
            <w:shd w:val="clear" w:color="auto" w:fill="BFBFBF" w:themeFill="background1" w:themeFillShade="BF"/>
          </w:tcPr>
          <w:p w14:paraId="6DDAD7D4" w14:textId="77777777" w:rsidR="000677E7" w:rsidRPr="00F3093D" w:rsidRDefault="000677E7" w:rsidP="000677E7">
            <w:pPr>
              <w:rPr>
                <w:rFonts w:ascii="Times New Roman" w:hAnsi="Times New Roman" w:cs="Times New Roman"/>
              </w:rPr>
            </w:pPr>
          </w:p>
        </w:tc>
      </w:tr>
      <w:tr w:rsidR="000677E7" w:rsidRPr="00F3093D" w14:paraId="014AF5D5" w14:textId="77777777" w:rsidTr="000677E7">
        <w:tc>
          <w:tcPr>
            <w:tcW w:w="7933" w:type="dxa"/>
          </w:tcPr>
          <w:p w14:paraId="5938E0B2" w14:textId="66C51EEB" w:rsidR="000677E7" w:rsidRPr="00F3093D" w:rsidRDefault="000677E7" w:rsidP="000677E7">
            <w:pPr>
              <w:rPr>
                <w:rFonts w:ascii="Times New Roman" w:hAnsi="Times New Roman" w:cs="Times New Roman"/>
              </w:rPr>
            </w:pPr>
            <w:r w:rsidRPr="00F3093D">
              <w:rPr>
                <w:rFonts w:ascii="Times New Roman" w:hAnsi="Times New Roman" w:cs="Times New Roman"/>
              </w:rPr>
              <w:t>(endophthalmitis:ti OR endophthalmia:ti) AND (cataract:ti OR phacoemulsification:ti)</w:t>
            </w:r>
          </w:p>
        </w:tc>
        <w:tc>
          <w:tcPr>
            <w:tcW w:w="561" w:type="dxa"/>
          </w:tcPr>
          <w:p w14:paraId="7610E5C0" w14:textId="1410DE21" w:rsidR="000677E7" w:rsidRPr="00F3093D" w:rsidRDefault="000677E7" w:rsidP="000677E7">
            <w:pPr>
              <w:rPr>
                <w:rFonts w:ascii="Times New Roman" w:hAnsi="Times New Roman" w:cs="Times New Roman"/>
              </w:rPr>
            </w:pPr>
            <w:r w:rsidRPr="00F3093D">
              <w:rPr>
                <w:rFonts w:ascii="Times New Roman" w:hAnsi="Times New Roman" w:cs="Times New Roman"/>
              </w:rPr>
              <w:t>19</w:t>
            </w:r>
          </w:p>
        </w:tc>
      </w:tr>
      <w:tr w:rsidR="000677E7" w:rsidRPr="00F3093D" w14:paraId="373606D4" w14:textId="77777777" w:rsidTr="00DD00EF">
        <w:tc>
          <w:tcPr>
            <w:tcW w:w="7933" w:type="dxa"/>
            <w:shd w:val="clear" w:color="auto" w:fill="BFBFBF" w:themeFill="background1" w:themeFillShade="BF"/>
          </w:tcPr>
          <w:p w14:paraId="33C5A241" w14:textId="75EEA40B" w:rsidR="000677E7" w:rsidRPr="00F3093D" w:rsidRDefault="000677E7" w:rsidP="000677E7">
            <w:pPr>
              <w:rPr>
                <w:rFonts w:ascii="Times New Roman" w:hAnsi="Times New Roman" w:cs="Times New Roman"/>
              </w:rPr>
            </w:pPr>
            <w:r w:rsidRPr="00F3093D">
              <w:rPr>
                <w:rFonts w:ascii="Times New Roman" w:hAnsi="Times New Roman" w:cs="Times New Roman"/>
              </w:rPr>
              <w:t>EMBASE</w:t>
            </w:r>
          </w:p>
        </w:tc>
        <w:tc>
          <w:tcPr>
            <w:tcW w:w="561" w:type="dxa"/>
            <w:shd w:val="clear" w:color="auto" w:fill="BFBFBF" w:themeFill="background1" w:themeFillShade="BF"/>
          </w:tcPr>
          <w:p w14:paraId="3FEE6218" w14:textId="77777777" w:rsidR="000677E7" w:rsidRPr="00F3093D" w:rsidRDefault="000677E7" w:rsidP="000677E7">
            <w:pPr>
              <w:rPr>
                <w:rFonts w:ascii="Times New Roman" w:hAnsi="Times New Roman" w:cs="Times New Roman"/>
              </w:rPr>
            </w:pPr>
          </w:p>
        </w:tc>
      </w:tr>
      <w:tr w:rsidR="000677E7" w:rsidRPr="00F3093D" w14:paraId="2CBD6FD4" w14:textId="77777777" w:rsidTr="000677E7">
        <w:tc>
          <w:tcPr>
            <w:tcW w:w="7933" w:type="dxa"/>
          </w:tcPr>
          <w:p w14:paraId="2EB0B58E" w14:textId="2CB05146" w:rsidR="000677E7" w:rsidRPr="00F3093D" w:rsidRDefault="000677E7" w:rsidP="000677E7">
            <w:pPr>
              <w:rPr>
                <w:rFonts w:ascii="Times New Roman" w:hAnsi="Times New Roman" w:cs="Times New Roman"/>
              </w:rPr>
            </w:pPr>
            <w:r w:rsidRPr="00F3093D">
              <w:rPr>
                <w:rFonts w:ascii="Times New Roman" w:hAnsi="Times New Roman" w:cs="Times New Roman"/>
              </w:rPr>
              <w:t>(prophylactic OR 'prophylaxis'/exp OR prophylaxis OR 'antibiotic'/exp OR antibiotic OR 'antibiotics'/exp OR antibiotics OR 'cefazoline'/exp OR cefazoline OR 'cefuroxime'/exp OR cefuroxime OR 'ceftazidime'/exp OR ceftazidime OR 'moxifloxacin'/exp OR moxifloxacin OR 'ciprofloxacin'/exp OR ciprofloxacin OR 'ofloxacin'/exp OR ofloxacin OR 'gatifloxacin'/exp OR gatifloxacin OR 'levofloxacin'/exp OR levofloxacin OR 'vancomycin'/exp OR vancomycin OR 'gentamycin'/exp OR gentamycin OR 'azithromycin'/exp OR azithromycin) AND (endophthalmitis:ti OR endophthalmia:ti) AND (cataract:ti OR phacoemulsification:ti)</w:t>
            </w:r>
          </w:p>
        </w:tc>
        <w:tc>
          <w:tcPr>
            <w:tcW w:w="561" w:type="dxa"/>
          </w:tcPr>
          <w:p w14:paraId="4C31C773" w14:textId="2DF3B766" w:rsidR="000677E7" w:rsidRPr="00F3093D" w:rsidRDefault="000677E7" w:rsidP="000677E7">
            <w:pPr>
              <w:rPr>
                <w:rFonts w:ascii="Times New Roman" w:hAnsi="Times New Roman" w:cs="Times New Roman"/>
              </w:rPr>
            </w:pPr>
            <w:r w:rsidRPr="00F3093D">
              <w:rPr>
                <w:rFonts w:ascii="Times New Roman" w:hAnsi="Times New Roman" w:cs="Times New Roman"/>
              </w:rPr>
              <w:t>469</w:t>
            </w:r>
          </w:p>
        </w:tc>
      </w:tr>
    </w:tbl>
    <w:p w14:paraId="7F335D7D" w14:textId="33F63C1B" w:rsidR="002A09C7" w:rsidRPr="00F3093D" w:rsidRDefault="000677E7" w:rsidP="000677E7">
      <w:pPr>
        <w:rPr>
          <w:rFonts w:ascii="Times New Roman" w:hAnsi="Times New Roman" w:cs="Times New Roman"/>
        </w:rPr>
      </w:pPr>
      <w:r w:rsidRPr="00F3093D">
        <w:rPr>
          <w:rFonts w:ascii="Times New Roman" w:hAnsi="Times New Roman" w:cs="Times New Roman"/>
        </w:rPr>
        <w:t>Databases were searched on 28</w:t>
      </w:r>
      <w:r w:rsidRPr="00F3093D">
        <w:rPr>
          <w:rFonts w:ascii="Times New Roman" w:hAnsi="Times New Roman" w:cs="Times New Roman"/>
          <w:vertAlign w:val="superscript"/>
        </w:rPr>
        <w:t>th</w:t>
      </w:r>
      <w:r w:rsidRPr="00F3093D">
        <w:rPr>
          <w:rFonts w:ascii="Times New Roman" w:hAnsi="Times New Roman" w:cs="Times New Roman"/>
        </w:rPr>
        <w:t>, 2021.</w:t>
      </w:r>
      <w:r w:rsidR="002A09C7" w:rsidRPr="00F3093D">
        <w:rPr>
          <w:rFonts w:ascii="Times New Roman" w:hAnsi="Times New Roman" w:cs="Times New Roman"/>
        </w:rPr>
        <w:br w:type="page"/>
      </w:r>
    </w:p>
    <w:p w14:paraId="54687F1E" w14:textId="2195C8F2" w:rsidR="000B04D4" w:rsidRPr="007A37C8" w:rsidRDefault="0077094C" w:rsidP="00DC437B">
      <w:pPr>
        <w:rPr>
          <w:rFonts w:ascii="Times New Roman" w:hAnsi="Times New Roman" w:cs="Times New Roman"/>
          <w:b/>
          <w:bCs/>
        </w:rPr>
      </w:pPr>
      <w:r>
        <w:rPr>
          <w:rFonts w:ascii="Times New Roman" w:hAnsi="Times New Roman" w:cs="Times New Roman"/>
          <w:b/>
          <w:bCs/>
        </w:rPr>
        <w:lastRenderedPageBreak/>
        <w:t xml:space="preserve">Supplementary Table </w:t>
      </w:r>
      <w:r w:rsidR="00630D1C" w:rsidRPr="007A37C8">
        <w:rPr>
          <w:rFonts w:ascii="Times New Roman" w:hAnsi="Times New Roman" w:cs="Times New Roman"/>
          <w:b/>
          <w:bCs/>
        </w:rPr>
        <w:t>3</w:t>
      </w:r>
      <w:r w:rsidR="000B04D4" w:rsidRPr="007A37C8">
        <w:rPr>
          <w:rFonts w:ascii="Times New Roman" w:hAnsi="Times New Roman" w:cs="Times New Roman"/>
          <w:b/>
          <w:bCs/>
        </w:rPr>
        <w:t>. Corrected alpha and confidence interval.</w:t>
      </w:r>
    </w:p>
    <w:tbl>
      <w:tblPr>
        <w:tblStyle w:val="a7"/>
        <w:tblW w:w="0" w:type="auto"/>
        <w:tblLook w:val="04A0" w:firstRow="1" w:lastRow="0" w:firstColumn="1" w:lastColumn="0" w:noHBand="0" w:noVBand="1"/>
      </w:tblPr>
      <w:tblGrid>
        <w:gridCol w:w="2547"/>
        <w:gridCol w:w="1040"/>
        <w:gridCol w:w="1743"/>
        <w:gridCol w:w="1040"/>
        <w:gridCol w:w="1277"/>
      </w:tblGrid>
      <w:tr w:rsidR="000B04D4" w:rsidRPr="00F3093D" w14:paraId="5A908A9D" w14:textId="77777777" w:rsidTr="00DD00EF">
        <w:trPr>
          <w:trHeight w:val="360"/>
        </w:trPr>
        <w:tc>
          <w:tcPr>
            <w:tcW w:w="2547" w:type="dxa"/>
            <w:shd w:val="clear" w:color="auto" w:fill="BFBFBF" w:themeFill="background1" w:themeFillShade="BF"/>
            <w:noWrap/>
            <w:hideMark/>
          </w:tcPr>
          <w:p w14:paraId="5AB88804" w14:textId="77777777" w:rsidR="000B04D4" w:rsidRPr="00F3093D" w:rsidRDefault="000B04D4" w:rsidP="000B04D4">
            <w:pPr>
              <w:rPr>
                <w:rFonts w:ascii="Times New Roman" w:hAnsi="Times New Roman" w:cs="Times New Roman"/>
              </w:rPr>
            </w:pPr>
            <w:r w:rsidRPr="00F3093D">
              <w:rPr>
                <w:rFonts w:ascii="Times New Roman" w:hAnsi="Times New Roman" w:cs="Times New Roman"/>
              </w:rPr>
              <w:t>Model</w:t>
            </w:r>
          </w:p>
        </w:tc>
        <w:tc>
          <w:tcPr>
            <w:tcW w:w="1040" w:type="dxa"/>
            <w:shd w:val="clear" w:color="auto" w:fill="BFBFBF" w:themeFill="background1" w:themeFillShade="BF"/>
            <w:noWrap/>
            <w:hideMark/>
          </w:tcPr>
          <w:p w14:paraId="7446F0D5" w14:textId="77777777" w:rsidR="000B04D4" w:rsidRPr="00F3093D" w:rsidRDefault="000B04D4">
            <w:pPr>
              <w:rPr>
                <w:rFonts w:ascii="Times New Roman" w:hAnsi="Times New Roman" w:cs="Times New Roman"/>
              </w:rPr>
            </w:pPr>
            <w:r w:rsidRPr="00F3093D">
              <w:rPr>
                <w:rFonts w:ascii="Times New Roman" w:hAnsi="Times New Roman" w:cs="Times New Roman"/>
              </w:rPr>
              <w:t>N of arm</w:t>
            </w:r>
          </w:p>
        </w:tc>
        <w:tc>
          <w:tcPr>
            <w:tcW w:w="1743" w:type="dxa"/>
            <w:shd w:val="clear" w:color="auto" w:fill="BFBFBF" w:themeFill="background1" w:themeFillShade="BF"/>
            <w:noWrap/>
            <w:hideMark/>
          </w:tcPr>
          <w:p w14:paraId="609208C6" w14:textId="68F93A25" w:rsidR="000B04D4" w:rsidRPr="00F3093D" w:rsidRDefault="00EF228F">
            <w:pPr>
              <w:rPr>
                <w:rFonts w:ascii="Times New Roman" w:hAnsi="Times New Roman" w:cs="Times New Roman"/>
              </w:rPr>
            </w:pPr>
            <w:r w:rsidRPr="00F3093D">
              <w:rPr>
                <w:rFonts w:ascii="Times New Roman" w:hAnsi="Times New Roman" w:cs="Times New Roman"/>
              </w:rPr>
              <w:t>Correction factor</w:t>
            </w:r>
          </w:p>
        </w:tc>
        <w:tc>
          <w:tcPr>
            <w:tcW w:w="1040" w:type="dxa"/>
            <w:shd w:val="clear" w:color="auto" w:fill="BFBFBF" w:themeFill="background1" w:themeFillShade="BF"/>
            <w:noWrap/>
            <w:hideMark/>
          </w:tcPr>
          <w:p w14:paraId="5D677543" w14:textId="72869A74" w:rsidR="000B04D4" w:rsidRPr="00F3093D" w:rsidRDefault="005864D1">
            <w:pPr>
              <w:rPr>
                <w:rFonts w:ascii="Times New Roman" w:hAnsi="Times New Roman" w:cs="Times New Roman"/>
              </w:rPr>
            </w:pPr>
            <w:r>
              <w:rPr>
                <w:rFonts w:ascii="Times New Roman" w:hAnsi="Times New Roman" w:cs="Times New Roman"/>
              </w:rPr>
              <w:t>A</w:t>
            </w:r>
            <w:r w:rsidR="000B04D4" w:rsidRPr="00F3093D">
              <w:rPr>
                <w:rFonts w:ascii="Times New Roman" w:hAnsi="Times New Roman" w:cs="Times New Roman"/>
              </w:rPr>
              <w:t>lpha</w:t>
            </w:r>
          </w:p>
        </w:tc>
        <w:tc>
          <w:tcPr>
            <w:tcW w:w="1277" w:type="dxa"/>
            <w:shd w:val="clear" w:color="auto" w:fill="BFBFBF" w:themeFill="background1" w:themeFillShade="BF"/>
            <w:noWrap/>
            <w:hideMark/>
          </w:tcPr>
          <w:p w14:paraId="650A634E" w14:textId="197B941C" w:rsidR="000B04D4" w:rsidRPr="00F3093D" w:rsidRDefault="000B04D4">
            <w:pPr>
              <w:rPr>
                <w:rFonts w:ascii="Times New Roman" w:hAnsi="Times New Roman" w:cs="Times New Roman"/>
              </w:rPr>
            </w:pPr>
            <w:r w:rsidRPr="00F3093D">
              <w:rPr>
                <w:rFonts w:ascii="Times New Roman" w:hAnsi="Times New Roman" w:cs="Times New Roman"/>
              </w:rPr>
              <w:t>Confidence interval</w:t>
            </w:r>
          </w:p>
        </w:tc>
      </w:tr>
      <w:tr w:rsidR="000B04D4" w:rsidRPr="00F3093D" w14:paraId="7CC81960" w14:textId="77777777" w:rsidTr="000B04D4">
        <w:trPr>
          <w:trHeight w:val="360"/>
        </w:trPr>
        <w:tc>
          <w:tcPr>
            <w:tcW w:w="2547" w:type="dxa"/>
            <w:noWrap/>
            <w:hideMark/>
          </w:tcPr>
          <w:p w14:paraId="76229CB9" w14:textId="5AC7B4F0" w:rsidR="000B04D4" w:rsidRPr="00F3093D" w:rsidRDefault="000B04D4">
            <w:pPr>
              <w:rPr>
                <w:rFonts w:ascii="Times New Roman" w:hAnsi="Times New Roman" w:cs="Times New Roman"/>
              </w:rPr>
            </w:pPr>
            <w:r w:rsidRPr="00F3093D">
              <w:rPr>
                <w:rFonts w:ascii="Times New Roman" w:hAnsi="Times New Roman" w:cs="Times New Roman"/>
              </w:rPr>
              <w:t>Main model</w:t>
            </w:r>
          </w:p>
        </w:tc>
        <w:tc>
          <w:tcPr>
            <w:tcW w:w="1040" w:type="dxa"/>
            <w:noWrap/>
            <w:hideMark/>
          </w:tcPr>
          <w:p w14:paraId="28E3506E" w14:textId="1F17206B" w:rsidR="000B04D4" w:rsidRPr="00F3093D" w:rsidRDefault="000B04D4" w:rsidP="000B04D4">
            <w:pPr>
              <w:rPr>
                <w:rFonts w:ascii="Times New Roman" w:hAnsi="Times New Roman" w:cs="Times New Roman"/>
              </w:rPr>
            </w:pPr>
            <w:r w:rsidRPr="00F3093D">
              <w:rPr>
                <w:rFonts w:ascii="Times New Roman" w:hAnsi="Times New Roman" w:cs="Times New Roman"/>
              </w:rPr>
              <w:t>1</w:t>
            </w:r>
            <w:r w:rsidR="008B5852" w:rsidRPr="00F3093D">
              <w:rPr>
                <w:rFonts w:ascii="Times New Roman" w:hAnsi="Times New Roman" w:cs="Times New Roman"/>
              </w:rPr>
              <w:t>3</w:t>
            </w:r>
          </w:p>
        </w:tc>
        <w:tc>
          <w:tcPr>
            <w:tcW w:w="1743" w:type="dxa"/>
            <w:noWrap/>
            <w:hideMark/>
          </w:tcPr>
          <w:p w14:paraId="3391631B" w14:textId="1725F262" w:rsidR="000B04D4" w:rsidRPr="00F3093D" w:rsidRDefault="000B04D4" w:rsidP="000B04D4">
            <w:pPr>
              <w:rPr>
                <w:rFonts w:ascii="Times New Roman" w:hAnsi="Times New Roman" w:cs="Times New Roman"/>
              </w:rPr>
            </w:pPr>
            <w:r w:rsidRPr="00F3093D">
              <w:rPr>
                <w:rFonts w:ascii="Times New Roman" w:hAnsi="Times New Roman" w:cs="Times New Roman"/>
              </w:rPr>
              <w:t>1</w:t>
            </w:r>
            <w:r w:rsidR="008B5852" w:rsidRPr="00F3093D">
              <w:rPr>
                <w:rFonts w:ascii="Times New Roman" w:hAnsi="Times New Roman" w:cs="Times New Roman"/>
              </w:rPr>
              <w:t>2</w:t>
            </w:r>
          </w:p>
        </w:tc>
        <w:tc>
          <w:tcPr>
            <w:tcW w:w="1040" w:type="dxa"/>
            <w:noWrap/>
            <w:hideMark/>
          </w:tcPr>
          <w:p w14:paraId="6B93BFCC" w14:textId="68EF8F73" w:rsidR="000B04D4" w:rsidRPr="00F3093D" w:rsidRDefault="000B04D4" w:rsidP="000B04D4">
            <w:pPr>
              <w:rPr>
                <w:rFonts w:ascii="Times New Roman" w:hAnsi="Times New Roman" w:cs="Times New Roman"/>
              </w:rPr>
            </w:pPr>
            <w:r w:rsidRPr="00F3093D">
              <w:rPr>
                <w:rFonts w:ascii="Times New Roman" w:hAnsi="Times New Roman" w:cs="Times New Roman"/>
              </w:rPr>
              <w:t>0.004</w:t>
            </w:r>
            <w:r w:rsidR="005864D1">
              <w:rPr>
                <w:rFonts w:ascii="Times New Roman" w:hAnsi="Times New Roman" w:cs="Times New Roman"/>
              </w:rPr>
              <w:t>2</w:t>
            </w:r>
          </w:p>
        </w:tc>
        <w:tc>
          <w:tcPr>
            <w:tcW w:w="1277" w:type="dxa"/>
            <w:noWrap/>
            <w:hideMark/>
          </w:tcPr>
          <w:p w14:paraId="1E31EFC5" w14:textId="46AEA5CD" w:rsidR="000B04D4" w:rsidRPr="00F3093D" w:rsidRDefault="000B04D4" w:rsidP="000B04D4">
            <w:pPr>
              <w:rPr>
                <w:rFonts w:ascii="Times New Roman" w:hAnsi="Times New Roman" w:cs="Times New Roman"/>
              </w:rPr>
            </w:pPr>
            <w:r w:rsidRPr="00F3093D">
              <w:rPr>
                <w:rFonts w:ascii="Times New Roman" w:hAnsi="Times New Roman" w:cs="Times New Roman"/>
              </w:rPr>
              <w:t>99.6</w:t>
            </w:r>
          </w:p>
        </w:tc>
      </w:tr>
      <w:tr w:rsidR="000B04D4" w:rsidRPr="00F3093D" w14:paraId="7F49C0CF" w14:textId="77777777" w:rsidTr="000B04D4">
        <w:trPr>
          <w:trHeight w:val="360"/>
        </w:trPr>
        <w:tc>
          <w:tcPr>
            <w:tcW w:w="2547" w:type="dxa"/>
            <w:noWrap/>
            <w:hideMark/>
          </w:tcPr>
          <w:p w14:paraId="23827CA6" w14:textId="13FA66D6" w:rsidR="000B04D4" w:rsidRPr="00F3093D" w:rsidRDefault="000B04D4" w:rsidP="000B04D4">
            <w:pPr>
              <w:rPr>
                <w:rFonts w:ascii="Times New Roman" w:hAnsi="Times New Roman" w:cs="Times New Roman"/>
              </w:rPr>
            </w:pPr>
            <w:r w:rsidRPr="00F3093D">
              <w:rPr>
                <w:rFonts w:ascii="Times New Roman" w:hAnsi="Times New Roman" w:cs="Times New Roman"/>
              </w:rPr>
              <w:t>Route model</w:t>
            </w:r>
          </w:p>
        </w:tc>
        <w:tc>
          <w:tcPr>
            <w:tcW w:w="1040" w:type="dxa"/>
            <w:noWrap/>
            <w:hideMark/>
          </w:tcPr>
          <w:p w14:paraId="5FF4C10C" w14:textId="77777777" w:rsidR="000B04D4" w:rsidRPr="00F3093D" w:rsidRDefault="000B04D4" w:rsidP="000B04D4">
            <w:pPr>
              <w:rPr>
                <w:rFonts w:ascii="Times New Roman" w:hAnsi="Times New Roman" w:cs="Times New Roman"/>
              </w:rPr>
            </w:pPr>
            <w:r w:rsidRPr="00F3093D">
              <w:rPr>
                <w:rFonts w:ascii="Times New Roman" w:hAnsi="Times New Roman" w:cs="Times New Roman"/>
              </w:rPr>
              <w:t>9</w:t>
            </w:r>
          </w:p>
        </w:tc>
        <w:tc>
          <w:tcPr>
            <w:tcW w:w="1743" w:type="dxa"/>
            <w:noWrap/>
            <w:hideMark/>
          </w:tcPr>
          <w:p w14:paraId="4B9ED3E8" w14:textId="77777777" w:rsidR="000B04D4" w:rsidRPr="00F3093D" w:rsidRDefault="000B04D4" w:rsidP="000B04D4">
            <w:pPr>
              <w:rPr>
                <w:rFonts w:ascii="Times New Roman" w:hAnsi="Times New Roman" w:cs="Times New Roman"/>
              </w:rPr>
            </w:pPr>
            <w:r w:rsidRPr="00F3093D">
              <w:rPr>
                <w:rFonts w:ascii="Times New Roman" w:hAnsi="Times New Roman" w:cs="Times New Roman"/>
              </w:rPr>
              <w:t>8</w:t>
            </w:r>
          </w:p>
        </w:tc>
        <w:tc>
          <w:tcPr>
            <w:tcW w:w="1040" w:type="dxa"/>
            <w:noWrap/>
            <w:hideMark/>
          </w:tcPr>
          <w:p w14:paraId="2734505D" w14:textId="77777777" w:rsidR="000B04D4" w:rsidRPr="00F3093D" w:rsidRDefault="000B04D4" w:rsidP="000B04D4">
            <w:pPr>
              <w:rPr>
                <w:rFonts w:ascii="Times New Roman" w:hAnsi="Times New Roman" w:cs="Times New Roman"/>
              </w:rPr>
            </w:pPr>
            <w:r w:rsidRPr="00F3093D">
              <w:rPr>
                <w:rFonts w:ascii="Times New Roman" w:hAnsi="Times New Roman" w:cs="Times New Roman"/>
              </w:rPr>
              <w:t>0.0063</w:t>
            </w:r>
          </w:p>
        </w:tc>
        <w:tc>
          <w:tcPr>
            <w:tcW w:w="1277" w:type="dxa"/>
            <w:noWrap/>
            <w:hideMark/>
          </w:tcPr>
          <w:p w14:paraId="1CFBB48A" w14:textId="4DAE76BA" w:rsidR="000B04D4" w:rsidRPr="00F3093D" w:rsidRDefault="000B04D4" w:rsidP="000B04D4">
            <w:pPr>
              <w:rPr>
                <w:rFonts w:ascii="Times New Roman" w:hAnsi="Times New Roman" w:cs="Times New Roman"/>
              </w:rPr>
            </w:pPr>
            <w:r w:rsidRPr="00F3093D">
              <w:rPr>
                <w:rFonts w:ascii="Times New Roman" w:hAnsi="Times New Roman" w:cs="Times New Roman"/>
              </w:rPr>
              <w:t>99.4</w:t>
            </w:r>
          </w:p>
        </w:tc>
      </w:tr>
      <w:tr w:rsidR="000B04D4" w:rsidRPr="00F3093D" w14:paraId="4CB3B955" w14:textId="77777777" w:rsidTr="000B04D4">
        <w:trPr>
          <w:trHeight w:val="360"/>
        </w:trPr>
        <w:tc>
          <w:tcPr>
            <w:tcW w:w="2547" w:type="dxa"/>
            <w:noWrap/>
            <w:hideMark/>
          </w:tcPr>
          <w:p w14:paraId="4B76CB9F" w14:textId="37913863" w:rsidR="000B04D4" w:rsidRPr="00F3093D" w:rsidRDefault="000B04D4" w:rsidP="000B04D4">
            <w:pPr>
              <w:rPr>
                <w:rFonts w:ascii="Times New Roman" w:hAnsi="Times New Roman" w:cs="Times New Roman"/>
              </w:rPr>
            </w:pPr>
            <w:r w:rsidRPr="00F3093D">
              <w:rPr>
                <w:rFonts w:ascii="Times New Roman" w:hAnsi="Times New Roman" w:cs="Times New Roman"/>
              </w:rPr>
              <w:t>Antibiotics model</w:t>
            </w:r>
          </w:p>
        </w:tc>
        <w:tc>
          <w:tcPr>
            <w:tcW w:w="1040" w:type="dxa"/>
            <w:noWrap/>
            <w:hideMark/>
          </w:tcPr>
          <w:p w14:paraId="276E6782" w14:textId="1CEC643E" w:rsidR="000B04D4" w:rsidRPr="00F3093D" w:rsidRDefault="005864D1" w:rsidP="000B04D4">
            <w:pP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7</w:t>
            </w:r>
          </w:p>
        </w:tc>
        <w:tc>
          <w:tcPr>
            <w:tcW w:w="1743" w:type="dxa"/>
            <w:noWrap/>
            <w:hideMark/>
          </w:tcPr>
          <w:p w14:paraId="5185AA69" w14:textId="2A0251B0" w:rsidR="000B04D4" w:rsidRPr="00F3093D" w:rsidRDefault="005864D1" w:rsidP="000B04D4">
            <w:pPr>
              <w:rPr>
                <w:rFonts w:ascii="Times New Roman" w:hAnsi="Times New Roman" w:cs="Times New Roman"/>
              </w:rPr>
            </w:pPr>
            <w:r>
              <w:rPr>
                <w:rFonts w:ascii="Times New Roman" w:hAnsi="Times New Roman" w:cs="Times New Roman"/>
              </w:rPr>
              <w:t>16</w:t>
            </w:r>
          </w:p>
        </w:tc>
        <w:tc>
          <w:tcPr>
            <w:tcW w:w="1040" w:type="dxa"/>
            <w:noWrap/>
            <w:hideMark/>
          </w:tcPr>
          <w:p w14:paraId="0FE7633A" w14:textId="609D8741" w:rsidR="000B04D4" w:rsidRPr="00F3093D" w:rsidRDefault="000B04D4" w:rsidP="000B04D4">
            <w:pPr>
              <w:rPr>
                <w:rFonts w:ascii="Times New Roman" w:hAnsi="Times New Roman" w:cs="Times New Roman"/>
              </w:rPr>
            </w:pPr>
            <w:r w:rsidRPr="00F3093D">
              <w:rPr>
                <w:rFonts w:ascii="Times New Roman" w:hAnsi="Times New Roman" w:cs="Times New Roman"/>
              </w:rPr>
              <w:t>0.003</w:t>
            </w:r>
            <w:r w:rsidR="005864D1">
              <w:rPr>
                <w:rFonts w:ascii="Times New Roman" w:hAnsi="Times New Roman" w:cs="Times New Roman"/>
              </w:rPr>
              <w:t>1</w:t>
            </w:r>
          </w:p>
        </w:tc>
        <w:tc>
          <w:tcPr>
            <w:tcW w:w="1277" w:type="dxa"/>
            <w:noWrap/>
            <w:hideMark/>
          </w:tcPr>
          <w:p w14:paraId="3AD65CD2" w14:textId="22BA2682" w:rsidR="000B04D4" w:rsidRPr="00F3093D" w:rsidRDefault="000B04D4" w:rsidP="000B04D4">
            <w:pPr>
              <w:rPr>
                <w:rFonts w:ascii="Times New Roman" w:hAnsi="Times New Roman" w:cs="Times New Roman"/>
              </w:rPr>
            </w:pPr>
            <w:r w:rsidRPr="00F3093D">
              <w:rPr>
                <w:rFonts w:ascii="Times New Roman" w:hAnsi="Times New Roman" w:cs="Times New Roman"/>
              </w:rPr>
              <w:t>99.7</w:t>
            </w:r>
          </w:p>
        </w:tc>
      </w:tr>
    </w:tbl>
    <w:p w14:paraId="0DD896AB" w14:textId="7122E27C" w:rsidR="00EF228F" w:rsidRPr="00F3093D" w:rsidRDefault="00EF228F" w:rsidP="00DC437B">
      <w:pPr>
        <w:rPr>
          <w:rFonts w:ascii="Times New Roman" w:hAnsi="Times New Roman" w:cs="Times New Roman"/>
        </w:rPr>
      </w:pPr>
      <w:r w:rsidRPr="00F3093D">
        <w:rPr>
          <w:rFonts w:ascii="Times New Roman" w:hAnsi="Times New Roman" w:cs="Times New Roman"/>
        </w:rPr>
        <w:t xml:space="preserve">Correction factor was determined by </w:t>
      </w:r>
      <w:r w:rsidR="007C24FD">
        <w:rPr>
          <w:rFonts w:ascii="Times New Roman" w:hAnsi="Times New Roman" w:cs="Times New Roman"/>
        </w:rPr>
        <w:t>"number (N)</w:t>
      </w:r>
      <w:r w:rsidRPr="00F3093D">
        <w:rPr>
          <w:rFonts w:ascii="Times New Roman" w:hAnsi="Times New Roman" w:cs="Times New Roman"/>
        </w:rPr>
        <w:t xml:space="preserve"> of arms - 1.</w:t>
      </w:r>
      <w:r w:rsidR="007C24FD">
        <w:rPr>
          <w:rFonts w:ascii="Times New Roman" w:hAnsi="Times New Roman" w:cs="Times New Roman"/>
        </w:rPr>
        <w:t>"</w:t>
      </w:r>
      <w:r w:rsidRPr="00F3093D">
        <w:rPr>
          <w:rFonts w:ascii="Times New Roman" w:hAnsi="Times New Roman" w:cs="Times New Roman"/>
        </w:rPr>
        <w:t xml:space="preserve"> This is because each of </w:t>
      </w:r>
      <w:r w:rsidR="007C24FD">
        <w:rPr>
          <w:rFonts w:ascii="Times New Roman" w:hAnsi="Times New Roman" w:cs="Times New Roman"/>
        </w:rPr>
        <w:t>prophylaxes</w:t>
      </w:r>
      <w:r w:rsidR="00C54BEF" w:rsidRPr="00F3093D">
        <w:rPr>
          <w:rFonts w:ascii="Times New Roman" w:hAnsi="Times New Roman" w:cs="Times New Roman"/>
        </w:rPr>
        <w:t xml:space="preserve"> in </w:t>
      </w:r>
      <w:r w:rsidR="007C24FD">
        <w:rPr>
          <w:rFonts w:ascii="Times New Roman" w:hAnsi="Times New Roman" w:cs="Times New Roman"/>
        </w:rPr>
        <w:t>each</w:t>
      </w:r>
      <w:r w:rsidR="00C54BEF" w:rsidRPr="00F3093D">
        <w:rPr>
          <w:rFonts w:ascii="Times New Roman" w:hAnsi="Times New Roman" w:cs="Times New Roman"/>
        </w:rPr>
        <w:t xml:space="preserve"> model</w:t>
      </w:r>
      <w:r w:rsidRPr="00F3093D">
        <w:rPr>
          <w:rFonts w:ascii="Times New Roman" w:hAnsi="Times New Roman" w:cs="Times New Roman"/>
        </w:rPr>
        <w:t xml:space="preserve"> were compared to no-treatment </w:t>
      </w:r>
      <w:r w:rsidR="00C54BEF" w:rsidRPr="00F3093D">
        <w:rPr>
          <w:rFonts w:ascii="Times New Roman" w:hAnsi="Times New Roman" w:cs="Times New Roman"/>
        </w:rPr>
        <w:t xml:space="preserve">(NONE) </w:t>
      </w:r>
      <w:r w:rsidRPr="00F3093D">
        <w:rPr>
          <w:rFonts w:ascii="Times New Roman" w:hAnsi="Times New Roman" w:cs="Times New Roman"/>
        </w:rPr>
        <w:t>arm</w:t>
      </w:r>
      <w:r w:rsidR="007C24FD">
        <w:rPr>
          <w:rFonts w:ascii="Times New Roman" w:hAnsi="Times New Roman" w:cs="Times New Roman"/>
        </w:rPr>
        <w:t xml:space="preserve"> and tested</w:t>
      </w:r>
      <w:r w:rsidRPr="00F3093D">
        <w:rPr>
          <w:rFonts w:ascii="Times New Roman" w:hAnsi="Times New Roman" w:cs="Times New Roman"/>
        </w:rPr>
        <w:t>.</w:t>
      </w:r>
    </w:p>
    <w:p w14:paraId="2827ABB1" w14:textId="262043CC" w:rsidR="000B04D4" w:rsidRPr="00F3093D" w:rsidRDefault="000B04D4" w:rsidP="00DC437B">
      <w:pPr>
        <w:rPr>
          <w:rFonts w:ascii="Times New Roman" w:hAnsi="Times New Roman" w:cs="Times New Roman"/>
        </w:rPr>
      </w:pPr>
      <w:r w:rsidRPr="00F3093D">
        <w:rPr>
          <w:rFonts w:ascii="Times New Roman" w:hAnsi="Times New Roman" w:cs="Times New Roman"/>
        </w:rPr>
        <w:t>Alpha was de</w:t>
      </w:r>
      <w:r w:rsidR="00EF228F" w:rsidRPr="00F3093D">
        <w:rPr>
          <w:rFonts w:ascii="Times New Roman" w:hAnsi="Times New Roman" w:cs="Times New Roman"/>
        </w:rPr>
        <w:t>termined</w:t>
      </w:r>
      <w:r w:rsidRPr="00F3093D">
        <w:rPr>
          <w:rFonts w:ascii="Times New Roman" w:hAnsi="Times New Roman" w:cs="Times New Roman"/>
        </w:rPr>
        <w:t xml:space="preserve"> by </w:t>
      </w:r>
      <w:r w:rsidR="007C24FD">
        <w:rPr>
          <w:rFonts w:ascii="Times New Roman" w:hAnsi="Times New Roman" w:cs="Times New Roman"/>
        </w:rPr>
        <w:t>"</w:t>
      </w:r>
      <w:r w:rsidRPr="00F3093D">
        <w:rPr>
          <w:rFonts w:ascii="Times New Roman" w:hAnsi="Times New Roman" w:cs="Times New Roman"/>
        </w:rPr>
        <w:t>0.05/</w:t>
      </w:r>
      <w:r w:rsidR="007C24FD">
        <w:rPr>
          <w:rFonts w:ascii="Times New Roman" w:hAnsi="Times New Roman" w:cs="Times New Roman"/>
        </w:rPr>
        <w:t>c</w:t>
      </w:r>
      <w:r w:rsidR="00EF228F" w:rsidRPr="00F3093D">
        <w:rPr>
          <w:rFonts w:ascii="Times New Roman" w:hAnsi="Times New Roman" w:cs="Times New Roman"/>
        </w:rPr>
        <w:t>orrection factor</w:t>
      </w:r>
      <w:r w:rsidRPr="00F3093D">
        <w:rPr>
          <w:rFonts w:ascii="Times New Roman" w:hAnsi="Times New Roman" w:cs="Times New Roman"/>
        </w:rPr>
        <w:t>.</w:t>
      </w:r>
      <w:r w:rsidR="007C24FD">
        <w:rPr>
          <w:rFonts w:ascii="Times New Roman" w:hAnsi="Times New Roman" w:cs="Times New Roman"/>
        </w:rPr>
        <w:t>"</w:t>
      </w:r>
    </w:p>
    <w:p w14:paraId="6016565E" w14:textId="4A3BB83A" w:rsidR="00EF228F" w:rsidRPr="00F3093D" w:rsidRDefault="007C24FD" w:rsidP="00DC437B">
      <w:pPr>
        <w:rPr>
          <w:rFonts w:ascii="Times New Roman" w:hAnsi="Times New Roman" w:cs="Times New Roman"/>
        </w:rPr>
      </w:pPr>
      <w:r>
        <w:rPr>
          <w:rFonts w:ascii="Times New Roman" w:hAnsi="Times New Roman" w:cs="Times New Roman"/>
        </w:rPr>
        <w:t>Bonferroni-c</w:t>
      </w:r>
      <w:r w:rsidR="00EF228F" w:rsidRPr="00F3093D">
        <w:rPr>
          <w:rFonts w:ascii="Times New Roman" w:hAnsi="Times New Roman" w:cs="Times New Roman"/>
        </w:rPr>
        <w:t>orrected P value (Pc) was determined by multiplying raw P value by the correction factor</w:t>
      </w:r>
    </w:p>
    <w:p w14:paraId="6F42D689" w14:textId="1B09094F" w:rsidR="000B04D4" w:rsidRPr="00F3093D" w:rsidRDefault="000B04D4" w:rsidP="00DC437B">
      <w:pPr>
        <w:rPr>
          <w:rFonts w:ascii="Times New Roman" w:hAnsi="Times New Roman" w:cs="Times New Roman"/>
        </w:rPr>
      </w:pPr>
      <w:r w:rsidRPr="00F3093D">
        <w:rPr>
          <w:rFonts w:ascii="Times New Roman" w:hAnsi="Times New Roman" w:cs="Times New Roman"/>
        </w:rPr>
        <w:t xml:space="preserve">Confidence interval was determined </w:t>
      </w:r>
      <w:r w:rsidR="007C24FD">
        <w:rPr>
          <w:rFonts w:ascii="Times New Roman" w:hAnsi="Times New Roman" w:cs="Times New Roman"/>
        </w:rPr>
        <w:t>in accordance with</w:t>
      </w:r>
      <w:r w:rsidRPr="00F3093D">
        <w:rPr>
          <w:rFonts w:ascii="Times New Roman" w:hAnsi="Times New Roman" w:cs="Times New Roman"/>
        </w:rPr>
        <w:t xml:space="preserve"> corresponding alpha value.</w:t>
      </w:r>
    </w:p>
    <w:p w14:paraId="21871798" w14:textId="77777777" w:rsidR="000B04D4" w:rsidRPr="00F3093D" w:rsidRDefault="000B04D4" w:rsidP="00DC437B">
      <w:pPr>
        <w:rPr>
          <w:rFonts w:ascii="Times New Roman" w:hAnsi="Times New Roman" w:cs="Times New Roman"/>
        </w:rPr>
      </w:pPr>
    </w:p>
    <w:p w14:paraId="32A6008D" w14:textId="77777777" w:rsidR="000B04D4" w:rsidRPr="00F3093D" w:rsidRDefault="000B04D4" w:rsidP="00DC437B">
      <w:pPr>
        <w:rPr>
          <w:rFonts w:ascii="Times New Roman" w:hAnsi="Times New Roman" w:cs="Times New Roman"/>
        </w:rPr>
      </w:pPr>
    </w:p>
    <w:p w14:paraId="7D13BEFC" w14:textId="14F268AA" w:rsidR="000B04D4" w:rsidRPr="00F3093D" w:rsidRDefault="000B04D4" w:rsidP="00DC437B">
      <w:pPr>
        <w:rPr>
          <w:rFonts w:ascii="Times New Roman" w:hAnsi="Times New Roman" w:cs="Times New Roman"/>
        </w:rPr>
      </w:pPr>
      <w:r w:rsidRPr="00F3093D">
        <w:rPr>
          <w:rFonts w:ascii="Times New Roman" w:hAnsi="Times New Roman" w:cs="Times New Roman"/>
        </w:rPr>
        <w:br w:type="page"/>
      </w:r>
    </w:p>
    <w:p w14:paraId="41890E19" w14:textId="0A4ABE44" w:rsidR="00500947" w:rsidRDefault="0077094C" w:rsidP="00500947">
      <w:pPr>
        <w:rPr>
          <w:rFonts w:ascii="Times New Roman" w:hAnsi="Times New Roman" w:cs="Times New Roman"/>
          <w:b/>
          <w:bCs/>
        </w:rPr>
      </w:pPr>
      <w:r>
        <w:rPr>
          <w:rFonts w:ascii="Times New Roman" w:hAnsi="Times New Roman" w:cs="Times New Roman"/>
          <w:b/>
          <w:bCs/>
        </w:rPr>
        <w:lastRenderedPageBreak/>
        <w:t xml:space="preserve">Supplementary Table </w:t>
      </w:r>
      <w:r w:rsidR="00630D1C" w:rsidRPr="007A37C8">
        <w:rPr>
          <w:rFonts w:ascii="Times New Roman" w:hAnsi="Times New Roman" w:cs="Times New Roman"/>
          <w:b/>
          <w:bCs/>
        </w:rPr>
        <w:t>4</w:t>
      </w:r>
      <w:r w:rsidR="009D361A" w:rsidRPr="007A37C8">
        <w:rPr>
          <w:rFonts w:ascii="Times New Roman" w:hAnsi="Times New Roman" w:cs="Times New Roman"/>
          <w:b/>
          <w:bCs/>
        </w:rPr>
        <w:t>. References excluded by the full-text reading.</w:t>
      </w:r>
    </w:p>
    <w:tbl>
      <w:tblPr>
        <w:tblStyle w:val="a7"/>
        <w:tblW w:w="0" w:type="auto"/>
        <w:tblLayout w:type="fixed"/>
        <w:tblLook w:val="04A0" w:firstRow="1" w:lastRow="0" w:firstColumn="1" w:lastColumn="0" w:noHBand="0" w:noVBand="1"/>
      </w:tblPr>
      <w:tblGrid>
        <w:gridCol w:w="6232"/>
        <w:gridCol w:w="2262"/>
      </w:tblGrid>
      <w:tr w:rsidR="00432EEF" w:rsidRPr="00432EEF" w14:paraId="1CBB3D30" w14:textId="77777777" w:rsidTr="00432EEF">
        <w:trPr>
          <w:trHeight w:val="408"/>
        </w:trPr>
        <w:tc>
          <w:tcPr>
            <w:tcW w:w="6232" w:type="dxa"/>
            <w:hideMark/>
          </w:tcPr>
          <w:p w14:paraId="2DA4BDC0"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References from database</w:t>
            </w:r>
          </w:p>
        </w:tc>
        <w:tc>
          <w:tcPr>
            <w:tcW w:w="2262" w:type="dxa"/>
            <w:hideMark/>
          </w:tcPr>
          <w:p w14:paraId="24103483"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Reason</w:t>
            </w:r>
          </w:p>
        </w:tc>
      </w:tr>
      <w:tr w:rsidR="00432EEF" w:rsidRPr="00432EEF" w14:paraId="34D2DC16" w14:textId="77777777" w:rsidTr="00432EEF">
        <w:trPr>
          <w:trHeight w:val="408"/>
        </w:trPr>
        <w:tc>
          <w:tcPr>
            <w:tcW w:w="6232" w:type="dxa"/>
            <w:hideMark/>
          </w:tcPr>
          <w:p w14:paraId="56272BBC" w14:textId="77777777" w:rsidR="00432EEF" w:rsidRPr="00432EEF" w:rsidRDefault="00432EEF" w:rsidP="00432EEF">
            <w:pPr>
              <w:widowControl/>
              <w:jc w:val="left"/>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Akkach. Clin Exp Ophthalmol. 2018;46:53-54.</w:t>
            </w:r>
          </w:p>
        </w:tc>
        <w:tc>
          <w:tcPr>
            <w:tcW w:w="2262" w:type="dxa"/>
            <w:hideMark/>
          </w:tcPr>
          <w:p w14:paraId="37C5A835"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Duplicate date use</w:t>
            </w:r>
          </w:p>
        </w:tc>
      </w:tr>
      <w:tr w:rsidR="00432EEF" w:rsidRPr="00432EEF" w14:paraId="3BC3B367" w14:textId="77777777" w:rsidTr="00432EEF">
        <w:trPr>
          <w:trHeight w:val="408"/>
        </w:trPr>
        <w:tc>
          <w:tcPr>
            <w:tcW w:w="6232" w:type="dxa"/>
            <w:hideMark/>
          </w:tcPr>
          <w:p w14:paraId="185201E0"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Allardice. J Hosp Infect. 2001;49(1):23-29.</w:t>
            </w:r>
          </w:p>
        </w:tc>
        <w:tc>
          <w:tcPr>
            <w:tcW w:w="2262" w:type="dxa"/>
            <w:hideMark/>
          </w:tcPr>
          <w:p w14:paraId="1D1EA59A" w14:textId="77777777" w:rsidR="00432EEF" w:rsidRPr="00432EEF" w:rsidRDefault="00432EEF" w:rsidP="00432EEF">
            <w:pPr>
              <w:widowControl/>
              <w:jc w:val="left"/>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Not for frequency</w:t>
            </w:r>
          </w:p>
        </w:tc>
      </w:tr>
      <w:tr w:rsidR="00432EEF" w:rsidRPr="00432EEF" w14:paraId="1D1F3820" w14:textId="77777777" w:rsidTr="00432EEF">
        <w:trPr>
          <w:trHeight w:val="408"/>
        </w:trPr>
        <w:tc>
          <w:tcPr>
            <w:tcW w:w="6232" w:type="dxa"/>
            <w:hideMark/>
          </w:tcPr>
          <w:p w14:paraId="5DC64192" w14:textId="77777777" w:rsidR="00432EEF" w:rsidRPr="00432EEF" w:rsidRDefault="00432EEF" w:rsidP="00432EEF">
            <w:pPr>
              <w:widowControl/>
              <w:jc w:val="left"/>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Allen.</w:t>
            </w:r>
            <w:r w:rsidRPr="00432EEF">
              <w:rPr>
                <w:rFonts w:ascii="游明朝" w:eastAsia="游明朝" w:hAnsi="游明朝" w:cs="Times New Roman" w:hint="eastAsia"/>
                <w:color w:val="000000"/>
                <w:kern w:val="0"/>
                <w:szCs w:val="21"/>
              </w:rPr>
              <w:t xml:space="preserve"> </w:t>
            </w:r>
            <w:r w:rsidRPr="00432EEF">
              <w:rPr>
                <w:rFonts w:ascii="Times New Roman" w:eastAsia="游ゴシック" w:hAnsi="Times New Roman" w:cs="Times New Roman"/>
                <w:color w:val="000000"/>
                <w:kern w:val="0"/>
                <w:szCs w:val="21"/>
              </w:rPr>
              <w:t>Trans Am Acad Ophthalmol Otolaryngol. 1973;77(5):op581-588.</w:t>
            </w:r>
          </w:p>
        </w:tc>
        <w:tc>
          <w:tcPr>
            <w:tcW w:w="2262" w:type="dxa"/>
            <w:hideMark/>
          </w:tcPr>
          <w:p w14:paraId="19CE5F00"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Duplicate date use</w:t>
            </w:r>
          </w:p>
        </w:tc>
      </w:tr>
      <w:tr w:rsidR="00432EEF" w:rsidRPr="00432EEF" w14:paraId="31758072" w14:textId="77777777" w:rsidTr="00432EEF">
        <w:trPr>
          <w:trHeight w:val="408"/>
        </w:trPr>
        <w:tc>
          <w:tcPr>
            <w:tcW w:w="6232" w:type="dxa"/>
            <w:hideMark/>
          </w:tcPr>
          <w:p w14:paraId="51B8F525"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Anijeet. Ophthalmology. 2010;117(4):853-853.e851.</w:t>
            </w:r>
          </w:p>
        </w:tc>
        <w:tc>
          <w:tcPr>
            <w:tcW w:w="2262" w:type="dxa"/>
            <w:hideMark/>
          </w:tcPr>
          <w:p w14:paraId="3FA17E42"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Review/Comment</w:t>
            </w:r>
          </w:p>
        </w:tc>
      </w:tr>
      <w:tr w:rsidR="00432EEF" w:rsidRPr="00432EEF" w14:paraId="794CFD8E" w14:textId="77777777" w:rsidTr="00432EEF">
        <w:trPr>
          <w:trHeight w:val="408"/>
        </w:trPr>
        <w:tc>
          <w:tcPr>
            <w:tcW w:w="6232" w:type="dxa"/>
            <w:hideMark/>
          </w:tcPr>
          <w:p w14:paraId="03CD606C" w14:textId="77777777" w:rsidR="00432EEF" w:rsidRPr="00432EEF" w:rsidRDefault="00432EEF" w:rsidP="00432EEF">
            <w:pPr>
              <w:widowControl/>
              <w:jc w:val="left"/>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Aonuma. Jpn J Ophthalmol. 1999;53(5):815-818.</w:t>
            </w:r>
          </w:p>
        </w:tc>
        <w:tc>
          <w:tcPr>
            <w:tcW w:w="2262" w:type="dxa"/>
            <w:hideMark/>
          </w:tcPr>
          <w:p w14:paraId="78F8BBE3"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Non-English</w:t>
            </w:r>
          </w:p>
        </w:tc>
      </w:tr>
      <w:tr w:rsidR="00432EEF" w:rsidRPr="00432EEF" w14:paraId="4E9F3A77" w14:textId="77777777" w:rsidTr="00432EEF">
        <w:trPr>
          <w:trHeight w:val="408"/>
        </w:trPr>
        <w:tc>
          <w:tcPr>
            <w:tcW w:w="6232" w:type="dxa"/>
            <w:hideMark/>
          </w:tcPr>
          <w:p w14:paraId="19A827CD"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Apt. Br J Ophthalmol. 1994;78(12):948-949.</w:t>
            </w:r>
          </w:p>
        </w:tc>
        <w:tc>
          <w:tcPr>
            <w:tcW w:w="2262" w:type="dxa"/>
            <w:hideMark/>
          </w:tcPr>
          <w:p w14:paraId="630B96A6"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Review/Comment</w:t>
            </w:r>
          </w:p>
        </w:tc>
      </w:tr>
      <w:tr w:rsidR="00432EEF" w:rsidRPr="00432EEF" w14:paraId="2BE2F29C" w14:textId="77777777" w:rsidTr="00432EEF">
        <w:trPr>
          <w:trHeight w:val="408"/>
        </w:trPr>
        <w:tc>
          <w:tcPr>
            <w:tcW w:w="6232" w:type="dxa"/>
            <w:hideMark/>
          </w:tcPr>
          <w:p w14:paraId="4D92D11B" w14:textId="77777777" w:rsidR="00432EEF" w:rsidRPr="00432EEF" w:rsidRDefault="00432EEF" w:rsidP="00432EEF">
            <w:pPr>
              <w:widowControl/>
              <w:jc w:val="left"/>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Arshinoff. J Cataract Refract Surg. 2008;34(12):2006-2008.</w:t>
            </w:r>
          </w:p>
        </w:tc>
        <w:tc>
          <w:tcPr>
            <w:tcW w:w="2262" w:type="dxa"/>
            <w:hideMark/>
          </w:tcPr>
          <w:p w14:paraId="146CC58A"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Review/Comment</w:t>
            </w:r>
          </w:p>
        </w:tc>
      </w:tr>
      <w:tr w:rsidR="00432EEF" w:rsidRPr="00432EEF" w14:paraId="45B9D8A6" w14:textId="77777777" w:rsidTr="00432EEF">
        <w:trPr>
          <w:trHeight w:val="408"/>
        </w:trPr>
        <w:tc>
          <w:tcPr>
            <w:tcW w:w="6232" w:type="dxa"/>
            <w:hideMark/>
          </w:tcPr>
          <w:p w14:paraId="3C821C58" w14:textId="77777777" w:rsidR="00432EEF" w:rsidRPr="00432EEF" w:rsidRDefault="00432EEF" w:rsidP="00432EEF">
            <w:pPr>
              <w:widowControl/>
              <w:jc w:val="left"/>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Arshinoff. J Cataract Refract Surg. 2011;37(12):2105-2114.</w:t>
            </w:r>
          </w:p>
        </w:tc>
        <w:tc>
          <w:tcPr>
            <w:tcW w:w="2262" w:type="dxa"/>
            <w:hideMark/>
          </w:tcPr>
          <w:p w14:paraId="6686355B"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Review/Comment</w:t>
            </w:r>
          </w:p>
        </w:tc>
      </w:tr>
      <w:tr w:rsidR="00432EEF" w:rsidRPr="00432EEF" w14:paraId="3527797B" w14:textId="77777777" w:rsidTr="00432EEF">
        <w:trPr>
          <w:trHeight w:val="408"/>
        </w:trPr>
        <w:tc>
          <w:tcPr>
            <w:tcW w:w="6232" w:type="dxa"/>
            <w:hideMark/>
          </w:tcPr>
          <w:p w14:paraId="05B92410" w14:textId="77777777" w:rsidR="00432EEF" w:rsidRPr="00432EEF" w:rsidRDefault="00432EEF" w:rsidP="00432EEF">
            <w:pPr>
              <w:widowControl/>
              <w:jc w:val="left"/>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Barry. J Cataract Refract Surg. 2006;32(3):407-410.</w:t>
            </w:r>
          </w:p>
        </w:tc>
        <w:tc>
          <w:tcPr>
            <w:tcW w:w="2262" w:type="dxa"/>
            <w:hideMark/>
          </w:tcPr>
          <w:p w14:paraId="2AA91F6E"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Duplicate date use</w:t>
            </w:r>
          </w:p>
        </w:tc>
      </w:tr>
      <w:tr w:rsidR="00432EEF" w:rsidRPr="00432EEF" w14:paraId="79AF6AD8" w14:textId="77777777" w:rsidTr="00432EEF">
        <w:trPr>
          <w:trHeight w:val="408"/>
        </w:trPr>
        <w:tc>
          <w:tcPr>
            <w:tcW w:w="6232" w:type="dxa"/>
            <w:hideMark/>
          </w:tcPr>
          <w:p w14:paraId="466C3834" w14:textId="77777777" w:rsidR="00432EEF" w:rsidRPr="00432EEF" w:rsidRDefault="00432EEF" w:rsidP="00432EEF">
            <w:pPr>
              <w:widowControl/>
              <w:jc w:val="left"/>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Barry. J Cataract Refract Surg. 2014;40(1):138-142.</w:t>
            </w:r>
          </w:p>
        </w:tc>
        <w:tc>
          <w:tcPr>
            <w:tcW w:w="2262" w:type="dxa"/>
            <w:hideMark/>
          </w:tcPr>
          <w:p w14:paraId="40B4F889"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Insufficient data</w:t>
            </w:r>
          </w:p>
        </w:tc>
      </w:tr>
      <w:tr w:rsidR="00432EEF" w:rsidRPr="00432EEF" w14:paraId="4F79A392" w14:textId="77777777" w:rsidTr="00432EEF">
        <w:trPr>
          <w:trHeight w:val="408"/>
        </w:trPr>
        <w:tc>
          <w:tcPr>
            <w:tcW w:w="6232" w:type="dxa"/>
            <w:hideMark/>
          </w:tcPr>
          <w:p w14:paraId="59A2E0D2"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Bellini.</w:t>
            </w:r>
            <w:r w:rsidRPr="00432EEF">
              <w:rPr>
                <w:rFonts w:ascii="游明朝" w:eastAsia="游明朝" w:hAnsi="游明朝" w:cs="Times New Roman" w:hint="eastAsia"/>
                <w:color w:val="000000"/>
                <w:kern w:val="0"/>
                <w:szCs w:val="21"/>
              </w:rPr>
              <w:t xml:space="preserve"> </w:t>
            </w:r>
            <w:r w:rsidRPr="00432EEF">
              <w:rPr>
                <w:rFonts w:ascii="Times New Roman" w:eastAsia="游ゴシック" w:hAnsi="Times New Roman" w:cs="Times New Roman"/>
                <w:color w:val="000000"/>
                <w:kern w:val="0"/>
                <w:szCs w:val="21"/>
              </w:rPr>
              <w:t>Br J Ophthalmol. 2011;95(6):892-893.</w:t>
            </w:r>
          </w:p>
        </w:tc>
        <w:tc>
          <w:tcPr>
            <w:tcW w:w="2262" w:type="dxa"/>
            <w:hideMark/>
          </w:tcPr>
          <w:p w14:paraId="5897B7F9"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One study arm</w:t>
            </w:r>
          </w:p>
        </w:tc>
      </w:tr>
      <w:tr w:rsidR="00432EEF" w:rsidRPr="00432EEF" w14:paraId="6E79A16B" w14:textId="77777777" w:rsidTr="00432EEF">
        <w:trPr>
          <w:trHeight w:val="408"/>
        </w:trPr>
        <w:tc>
          <w:tcPr>
            <w:tcW w:w="6232" w:type="dxa"/>
            <w:hideMark/>
          </w:tcPr>
          <w:p w14:paraId="08850942"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Camesasca. Eur J Ophthalmol. 2008;18(3).</w:t>
            </w:r>
          </w:p>
        </w:tc>
        <w:tc>
          <w:tcPr>
            <w:tcW w:w="2262" w:type="dxa"/>
            <w:hideMark/>
          </w:tcPr>
          <w:p w14:paraId="72C0EE0F"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Erratum/Retracted</w:t>
            </w:r>
          </w:p>
        </w:tc>
      </w:tr>
      <w:tr w:rsidR="00432EEF" w:rsidRPr="00432EEF" w14:paraId="14E9F2E1" w14:textId="77777777" w:rsidTr="00432EEF">
        <w:trPr>
          <w:trHeight w:val="408"/>
        </w:trPr>
        <w:tc>
          <w:tcPr>
            <w:tcW w:w="6232" w:type="dxa"/>
            <w:hideMark/>
          </w:tcPr>
          <w:p w14:paraId="4B327C55"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Cao. PLoS ONE. 2013;8(8).</w:t>
            </w:r>
          </w:p>
        </w:tc>
        <w:tc>
          <w:tcPr>
            <w:tcW w:w="2262" w:type="dxa"/>
            <w:hideMark/>
          </w:tcPr>
          <w:p w14:paraId="6AD8A976"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Review/Comment</w:t>
            </w:r>
          </w:p>
        </w:tc>
      </w:tr>
      <w:tr w:rsidR="00432EEF" w:rsidRPr="00432EEF" w14:paraId="4C34E647" w14:textId="77777777" w:rsidTr="00432EEF">
        <w:trPr>
          <w:trHeight w:val="408"/>
        </w:trPr>
        <w:tc>
          <w:tcPr>
            <w:tcW w:w="6232" w:type="dxa"/>
            <w:hideMark/>
          </w:tcPr>
          <w:p w14:paraId="6E176180" w14:textId="77777777" w:rsidR="00432EEF" w:rsidRPr="00432EEF" w:rsidRDefault="00432EEF" w:rsidP="00432EEF">
            <w:pPr>
              <w:widowControl/>
              <w:jc w:val="left"/>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Cetinkaya. Int Eye Science. 2015;15(10):1680-1683.</w:t>
            </w:r>
          </w:p>
        </w:tc>
        <w:tc>
          <w:tcPr>
            <w:tcW w:w="2262" w:type="dxa"/>
            <w:hideMark/>
          </w:tcPr>
          <w:p w14:paraId="12045B72" w14:textId="77777777" w:rsidR="00432EEF" w:rsidRPr="00432EEF" w:rsidRDefault="00432EEF" w:rsidP="00432EEF">
            <w:pPr>
              <w:widowControl/>
              <w:jc w:val="left"/>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 xml:space="preserve">Not for frequency </w:t>
            </w:r>
          </w:p>
        </w:tc>
      </w:tr>
      <w:tr w:rsidR="00432EEF" w:rsidRPr="00432EEF" w14:paraId="3607B9FC" w14:textId="77777777" w:rsidTr="00432EEF">
        <w:trPr>
          <w:trHeight w:val="408"/>
        </w:trPr>
        <w:tc>
          <w:tcPr>
            <w:tcW w:w="6232" w:type="dxa"/>
            <w:hideMark/>
          </w:tcPr>
          <w:p w14:paraId="2472FEAC" w14:textId="77777777" w:rsidR="00432EEF" w:rsidRPr="00432EEF" w:rsidRDefault="00432EEF" w:rsidP="00432EEF">
            <w:pPr>
              <w:widowControl/>
              <w:jc w:val="left"/>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Chen. Eye. 2011;25(4):530-531.</w:t>
            </w:r>
          </w:p>
        </w:tc>
        <w:tc>
          <w:tcPr>
            <w:tcW w:w="2262" w:type="dxa"/>
            <w:hideMark/>
          </w:tcPr>
          <w:p w14:paraId="6AA0CDE5"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Review/Comment</w:t>
            </w:r>
          </w:p>
        </w:tc>
      </w:tr>
      <w:tr w:rsidR="00432EEF" w:rsidRPr="00432EEF" w14:paraId="35697B2B" w14:textId="77777777" w:rsidTr="00432EEF">
        <w:trPr>
          <w:trHeight w:val="408"/>
        </w:trPr>
        <w:tc>
          <w:tcPr>
            <w:tcW w:w="6232" w:type="dxa"/>
            <w:hideMark/>
          </w:tcPr>
          <w:p w14:paraId="6176D2AF"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Clinicalrials.gov.Identifiler: NCT00136344. 2005</w:t>
            </w:r>
          </w:p>
        </w:tc>
        <w:tc>
          <w:tcPr>
            <w:tcW w:w="2262" w:type="dxa"/>
            <w:hideMark/>
          </w:tcPr>
          <w:p w14:paraId="267D711F"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Protocol</w:t>
            </w:r>
          </w:p>
        </w:tc>
      </w:tr>
      <w:tr w:rsidR="00432EEF" w:rsidRPr="00432EEF" w14:paraId="1EC07A49" w14:textId="77777777" w:rsidTr="00432EEF">
        <w:trPr>
          <w:trHeight w:val="408"/>
        </w:trPr>
        <w:tc>
          <w:tcPr>
            <w:tcW w:w="6232" w:type="dxa"/>
            <w:hideMark/>
          </w:tcPr>
          <w:p w14:paraId="2AA6F059" w14:textId="77777777" w:rsidR="00432EEF" w:rsidRPr="00432EEF" w:rsidRDefault="00432EEF" w:rsidP="00432EEF">
            <w:pPr>
              <w:widowControl/>
              <w:jc w:val="left"/>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Creuzot-Garcher. Ophthalmology. 2016;123(7):1414-1420.</w:t>
            </w:r>
          </w:p>
        </w:tc>
        <w:tc>
          <w:tcPr>
            <w:tcW w:w="2262" w:type="dxa"/>
            <w:hideMark/>
          </w:tcPr>
          <w:p w14:paraId="615F43FF"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Insufficient data</w:t>
            </w:r>
          </w:p>
        </w:tc>
      </w:tr>
      <w:tr w:rsidR="00432EEF" w:rsidRPr="00432EEF" w14:paraId="7E2733E0" w14:textId="77777777" w:rsidTr="00432EEF">
        <w:trPr>
          <w:trHeight w:val="408"/>
        </w:trPr>
        <w:tc>
          <w:tcPr>
            <w:tcW w:w="6232" w:type="dxa"/>
            <w:hideMark/>
          </w:tcPr>
          <w:p w14:paraId="59200488" w14:textId="77777777" w:rsidR="00432EEF" w:rsidRPr="00432EEF" w:rsidRDefault="00432EEF" w:rsidP="00432EEF">
            <w:pPr>
              <w:widowControl/>
              <w:jc w:val="left"/>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Daien. Invest Ophthalmol Vis Sci. 2016;57(12):1990.</w:t>
            </w:r>
          </w:p>
        </w:tc>
        <w:tc>
          <w:tcPr>
            <w:tcW w:w="2262" w:type="dxa"/>
            <w:hideMark/>
          </w:tcPr>
          <w:p w14:paraId="3C5AB038" w14:textId="77777777" w:rsidR="00432EEF" w:rsidRPr="00432EEF" w:rsidRDefault="00432EEF" w:rsidP="00432EEF">
            <w:pPr>
              <w:widowControl/>
              <w:jc w:val="left"/>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Duplicate date use</w:t>
            </w:r>
          </w:p>
        </w:tc>
      </w:tr>
      <w:tr w:rsidR="00432EEF" w:rsidRPr="00432EEF" w14:paraId="287069AC" w14:textId="77777777" w:rsidTr="00432EEF">
        <w:trPr>
          <w:trHeight w:val="408"/>
        </w:trPr>
        <w:tc>
          <w:tcPr>
            <w:tcW w:w="6232" w:type="dxa"/>
            <w:hideMark/>
          </w:tcPr>
          <w:p w14:paraId="40FE08EB" w14:textId="1B50C0DB"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de Geus. Ophthalmol Retina. 2020.</w:t>
            </w:r>
          </w:p>
        </w:tc>
        <w:tc>
          <w:tcPr>
            <w:tcW w:w="2262" w:type="dxa"/>
            <w:hideMark/>
          </w:tcPr>
          <w:p w14:paraId="6CA8F29D"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Not for prophylaxis</w:t>
            </w:r>
          </w:p>
        </w:tc>
      </w:tr>
      <w:tr w:rsidR="00432EEF" w:rsidRPr="00432EEF" w14:paraId="398F493E" w14:textId="77777777" w:rsidTr="00432EEF">
        <w:trPr>
          <w:trHeight w:val="408"/>
        </w:trPr>
        <w:tc>
          <w:tcPr>
            <w:tcW w:w="6232" w:type="dxa"/>
            <w:hideMark/>
          </w:tcPr>
          <w:p w14:paraId="7B92B00A"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Ding. Infection. 2011;39(5):451-460.</w:t>
            </w:r>
          </w:p>
        </w:tc>
        <w:tc>
          <w:tcPr>
            <w:tcW w:w="2262" w:type="dxa"/>
            <w:hideMark/>
          </w:tcPr>
          <w:p w14:paraId="4578778E"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One arm study</w:t>
            </w:r>
          </w:p>
        </w:tc>
      </w:tr>
      <w:tr w:rsidR="00432EEF" w:rsidRPr="00432EEF" w14:paraId="73B5FDD1" w14:textId="77777777" w:rsidTr="00432EEF">
        <w:trPr>
          <w:trHeight w:val="408"/>
        </w:trPr>
        <w:tc>
          <w:tcPr>
            <w:tcW w:w="6232" w:type="dxa"/>
            <w:hideMark/>
          </w:tcPr>
          <w:p w14:paraId="48F9B460" w14:textId="77777777" w:rsidR="00432EEF" w:rsidRPr="00432EEF" w:rsidRDefault="00432EEF" w:rsidP="00432EEF">
            <w:pPr>
              <w:widowControl/>
              <w:jc w:val="left"/>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Diwan. Invest Ophthalmol Vis Sci. 2010;51(13).</w:t>
            </w:r>
          </w:p>
        </w:tc>
        <w:tc>
          <w:tcPr>
            <w:tcW w:w="2262" w:type="dxa"/>
            <w:hideMark/>
          </w:tcPr>
          <w:p w14:paraId="2E89B373" w14:textId="77777777" w:rsidR="00432EEF" w:rsidRPr="00432EEF" w:rsidRDefault="00432EEF" w:rsidP="00432EEF">
            <w:pPr>
              <w:widowControl/>
              <w:jc w:val="left"/>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Could not identify</w:t>
            </w:r>
          </w:p>
        </w:tc>
      </w:tr>
      <w:tr w:rsidR="00432EEF" w:rsidRPr="00432EEF" w14:paraId="11CF5739" w14:textId="77777777" w:rsidTr="00432EEF">
        <w:trPr>
          <w:trHeight w:val="408"/>
        </w:trPr>
        <w:tc>
          <w:tcPr>
            <w:tcW w:w="6232" w:type="dxa"/>
            <w:hideMark/>
          </w:tcPr>
          <w:p w14:paraId="27D7403A"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Egger. Spektrum Der Augenheilkunde. 2007;21(2):104-106.</w:t>
            </w:r>
          </w:p>
        </w:tc>
        <w:tc>
          <w:tcPr>
            <w:tcW w:w="2262" w:type="dxa"/>
            <w:hideMark/>
          </w:tcPr>
          <w:p w14:paraId="07C7A9F2"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Non-English</w:t>
            </w:r>
          </w:p>
        </w:tc>
      </w:tr>
      <w:tr w:rsidR="00432EEF" w:rsidRPr="00432EEF" w14:paraId="22428B91" w14:textId="77777777" w:rsidTr="00432EEF">
        <w:trPr>
          <w:trHeight w:val="408"/>
        </w:trPr>
        <w:tc>
          <w:tcPr>
            <w:tcW w:w="6232" w:type="dxa"/>
            <w:hideMark/>
          </w:tcPr>
          <w:p w14:paraId="5A51E2EC" w14:textId="77777777" w:rsidR="00432EEF" w:rsidRPr="00432EEF" w:rsidRDefault="00432EEF" w:rsidP="00432EEF">
            <w:pPr>
              <w:widowControl/>
              <w:jc w:val="left"/>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Egger. Spektrum Der Augenheilkunde. 2016;30(4-5):166-168.</w:t>
            </w:r>
          </w:p>
        </w:tc>
        <w:tc>
          <w:tcPr>
            <w:tcW w:w="2262" w:type="dxa"/>
            <w:hideMark/>
          </w:tcPr>
          <w:p w14:paraId="127B60F0"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 xml:space="preserve">Review/Comment </w:t>
            </w:r>
          </w:p>
        </w:tc>
      </w:tr>
      <w:tr w:rsidR="00432EEF" w:rsidRPr="00432EEF" w14:paraId="6780836D" w14:textId="77777777" w:rsidTr="00432EEF">
        <w:trPr>
          <w:trHeight w:val="408"/>
        </w:trPr>
        <w:tc>
          <w:tcPr>
            <w:tcW w:w="6232" w:type="dxa"/>
            <w:hideMark/>
          </w:tcPr>
          <w:p w14:paraId="6DF0EBE0" w14:textId="77777777" w:rsidR="00432EEF" w:rsidRPr="00432EEF" w:rsidRDefault="00432EEF" w:rsidP="00432EEF">
            <w:pPr>
              <w:widowControl/>
              <w:jc w:val="left"/>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Euctr. http://wwwwhoint/trialsearch/Trial2aspx?TrialID=EUCTR2009-014054-14-GB. 2010.</w:t>
            </w:r>
          </w:p>
        </w:tc>
        <w:tc>
          <w:tcPr>
            <w:tcW w:w="2262" w:type="dxa"/>
            <w:hideMark/>
          </w:tcPr>
          <w:p w14:paraId="4E95E50A"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Protocol</w:t>
            </w:r>
          </w:p>
        </w:tc>
      </w:tr>
      <w:tr w:rsidR="00432EEF" w:rsidRPr="00432EEF" w14:paraId="5F9404E7" w14:textId="77777777" w:rsidTr="00432EEF">
        <w:trPr>
          <w:trHeight w:val="408"/>
        </w:trPr>
        <w:tc>
          <w:tcPr>
            <w:tcW w:w="6232" w:type="dxa"/>
            <w:hideMark/>
          </w:tcPr>
          <w:p w14:paraId="483EE1C9" w14:textId="77777777" w:rsidR="00432EEF" w:rsidRPr="00432EEF" w:rsidRDefault="00432EEF" w:rsidP="00432EEF">
            <w:pPr>
              <w:widowControl/>
              <w:jc w:val="left"/>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Fernandez Lopez. Eur J Hosp Pharm. 2014;21:A126.</w:t>
            </w:r>
          </w:p>
        </w:tc>
        <w:tc>
          <w:tcPr>
            <w:tcW w:w="2262" w:type="dxa"/>
            <w:hideMark/>
          </w:tcPr>
          <w:p w14:paraId="2F68B928"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Review/Comment</w:t>
            </w:r>
          </w:p>
        </w:tc>
      </w:tr>
      <w:tr w:rsidR="00432EEF" w:rsidRPr="00432EEF" w14:paraId="63214F8B" w14:textId="77777777" w:rsidTr="00432EEF">
        <w:trPr>
          <w:trHeight w:val="408"/>
        </w:trPr>
        <w:tc>
          <w:tcPr>
            <w:tcW w:w="6232" w:type="dxa"/>
            <w:hideMark/>
          </w:tcPr>
          <w:p w14:paraId="4C8CF5CC"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Friling. J Cataract Refract Surg. 2013;39(1):15-21.</w:t>
            </w:r>
          </w:p>
        </w:tc>
        <w:tc>
          <w:tcPr>
            <w:tcW w:w="2262" w:type="dxa"/>
            <w:hideMark/>
          </w:tcPr>
          <w:p w14:paraId="56BE71D1"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Duplicate date use</w:t>
            </w:r>
          </w:p>
        </w:tc>
      </w:tr>
      <w:tr w:rsidR="00432EEF" w:rsidRPr="00432EEF" w14:paraId="1E57B512" w14:textId="77777777" w:rsidTr="00432EEF">
        <w:trPr>
          <w:trHeight w:val="408"/>
        </w:trPr>
        <w:tc>
          <w:tcPr>
            <w:tcW w:w="6232" w:type="dxa"/>
            <w:hideMark/>
          </w:tcPr>
          <w:p w14:paraId="0FF56190" w14:textId="77777777" w:rsidR="00432EEF" w:rsidRPr="00432EEF" w:rsidRDefault="00432EEF" w:rsidP="00432EEF">
            <w:pPr>
              <w:widowControl/>
              <w:jc w:val="left"/>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Garat. J Cataract Refract Surg. 2005;31(11):2230-2234.</w:t>
            </w:r>
          </w:p>
        </w:tc>
        <w:tc>
          <w:tcPr>
            <w:tcW w:w="2262" w:type="dxa"/>
            <w:hideMark/>
          </w:tcPr>
          <w:p w14:paraId="53AC9186" w14:textId="77777777" w:rsidR="00432EEF" w:rsidRPr="00432EEF" w:rsidRDefault="00432EEF" w:rsidP="00432EEF">
            <w:pPr>
              <w:widowControl/>
              <w:jc w:val="left"/>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Duplicate date use</w:t>
            </w:r>
          </w:p>
        </w:tc>
      </w:tr>
      <w:tr w:rsidR="00432EEF" w:rsidRPr="00432EEF" w14:paraId="2EA90258" w14:textId="77777777" w:rsidTr="00432EEF">
        <w:trPr>
          <w:trHeight w:val="408"/>
        </w:trPr>
        <w:tc>
          <w:tcPr>
            <w:tcW w:w="6232" w:type="dxa"/>
            <w:hideMark/>
          </w:tcPr>
          <w:p w14:paraId="25CA42E4" w14:textId="77777777" w:rsidR="00432EEF" w:rsidRPr="00432EEF" w:rsidRDefault="00432EEF" w:rsidP="00432EEF">
            <w:pPr>
              <w:widowControl/>
              <w:jc w:val="left"/>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García-Sáenz. Arch Soc Esp Oftalmol. 2010;85(8):263-267.</w:t>
            </w:r>
          </w:p>
        </w:tc>
        <w:tc>
          <w:tcPr>
            <w:tcW w:w="2262" w:type="dxa"/>
            <w:hideMark/>
          </w:tcPr>
          <w:p w14:paraId="5B74E604" w14:textId="77777777" w:rsidR="00432EEF" w:rsidRPr="00432EEF" w:rsidRDefault="00432EEF" w:rsidP="00432EEF">
            <w:pPr>
              <w:widowControl/>
              <w:jc w:val="left"/>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Duplicate date use</w:t>
            </w:r>
          </w:p>
        </w:tc>
      </w:tr>
      <w:tr w:rsidR="00432EEF" w:rsidRPr="00432EEF" w14:paraId="0B7A3CE8" w14:textId="77777777" w:rsidTr="00432EEF">
        <w:trPr>
          <w:trHeight w:val="408"/>
        </w:trPr>
        <w:tc>
          <w:tcPr>
            <w:tcW w:w="6232" w:type="dxa"/>
            <w:hideMark/>
          </w:tcPr>
          <w:p w14:paraId="24CBAA1C"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lastRenderedPageBreak/>
              <w:t>Ghosh. Clin Exp Ophthalmol. 2014;42:32.</w:t>
            </w:r>
          </w:p>
        </w:tc>
        <w:tc>
          <w:tcPr>
            <w:tcW w:w="2262" w:type="dxa"/>
            <w:hideMark/>
          </w:tcPr>
          <w:p w14:paraId="3449BA3B" w14:textId="77777777" w:rsidR="00432EEF" w:rsidRPr="00432EEF" w:rsidRDefault="00432EEF" w:rsidP="00432EEF">
            <w:pPr>
              <w:widowControl/>
              <w:jc w:val="left"/>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 xml:space="preserve">Not for frequency </w:t>
            </w:r>
          </w:p>
        </w:tc>
      </w:tr>
      <w:tr w:rsidR="00432EEF" w:rsidRPr="00432EEF" w14:paraId="367A9ABC" w14:textId="77777777" w:rsidTr="00432EEF">
        <w:trPr>
          <w:trHeight w:val="408"/>
        </w:trPr>
        <w:tc>
          <w:tcPr>
            <w:tcW w:w="6232" w:type="dxa"/>
            <w:hideMark/>
          </w:tcPr>
          <w:p w14:paraId="6B7F5118" w14:textId="77777777" w:rsidR="00432EEF" w:rsidRPr="00432EEF" w:rsidRDefault="00432EEF" w:rsidP="00432EEF">
            <w:pPr>
              <w:widowControl/>
              <w:jc w:val="left"/>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Gimbel. Eur J Implant Refract Surg. 1994;6(5):280-285.</w:t>
            </w:r>
          </w:p>
        </w:tc>
        <w:tc>
          <w:tcPr>
            <w:tcW w:w="2262" w:type="dxa"/>
            <w:hideMark/>
          </w:tcPr>
          <w:p w14:paraId="0E56E422"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One arm study</w:t>
            </w:r>
          </w:p>
        </w:tc>
      </w:tr>
      <w:tr w:rsidR="00432EEF" w:rsidRPr="00432EEF" w14:paraId="7EE6ACF3" w14:textId="77777777" w:rsidTr="00432EEF">
        <w:trPr>
          <w:trHeight w:val="408"/>
        </w:trPr>
        <w:tc>
          <w:tcPr>
            <w:tcW w:w="6232" w:type="dxa"/>
            <w:hideMark/>
          </w:tcPr>
          <w:p w14:paraId="188EE27C"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Grasso. Evidence-Based Ophthalmology. 2008;9(2):118-119.</w:t>
            </w:r>
          </w:p>
        </w:tc>
        <w:tc>
          <w:tcPr>
            <w:tcW w:w="2262" w:type="dxa"/>
            <w:hideMark/>
          </w:tcPr>
          <w:p w14:paraId="3C936DC3"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Duplicate date use</w:t>
            </w:r>
          </w:p>
        </w:tc>
      </w:tr>
      <w:tr w:rsidR="00432EEF" w:rsidRPr="00432EEF" w14:paraId="674CB964" w14:textId="77777777" w:rsidTr="00432EEF">
        <w:trPr>
          <w:trHeight w:val="408"/>
        </w:trPr>
        <w:tc>
          <w:tcPr>
            <w:tcW w:w="6232" w:type="dxa"/>
            <w:hideMark/>
          </w:tcPr>
          <w:p w14:paraId="7285E1AE" w14:textId="77777777" w:rsidR="00432EEF" w:rsidRPr="00432EEF" w:rsidRDefault="00432EEF" w:rsidP="00432EEF">
            <w:pPr>
              <w:widowControl/>
              <w:jc w:val="left"/>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Grzybowski. Curr Pharm Des. 2017;23(4):565-573.</w:t>
            </w:r>
          </w:p>
        </w:tc>
        <w:tc>
          <w:tcPr>
            <w:tcW w:w="2262" w:type="dxa"/>
            <w:hideMark/>
          </w:tcPr>
          <w:p w14:paraId="152FD6B6"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Review/Comment</w:t>
            </w:r>
          </w:p>
        </w:tc>
      </w:tr>
      <w:tr w:rsidR="00432EEF" w:rsidRPr="00432EEF" w14:paraId="0B8B1670" w14:textId="77777777" w:rsidTr="00432EEF">
        <w:trPr>
          <w:trHeight w:val="408"/>
        </w:trPr>
        <w:tc>
          <w:tcPr>
            <w:tcW w:w="6232" w:type="dxa"/>
            <w:hideMark/>
          </w:tcPr>
          <w:p w14:paraId="057110CA"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Gualino. J Francais d'Ophtalmologie. 2010;33(8):551-555.</w:t>
            </w:r>
          </w:p>
        </w:tc>
        <w:tc>
          <w:tcPr>
            <w:tcW w:w="2262" w:type="dxa"/>
            <w:hideMark/>
          </w:tcPr>
          <w:p w14:paraId="5D9DD898"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Non-English</w:t>
            </w:r>
          </w:p>
        </w:tc>
      </w:tr>
      <w:tr w:rsidR="00432EEF" w:rsidRPr="00432EEF" w14:paraId="236679F3" w14:textId="77777777" w:rsidTr="00432EEF">
        <w:trPr>
          <w:trHeight w:val="408"/>
        </w:trPr>
        <w:tc>
          <w:tcPr>
            <w:tcW w:w="6232" w:type="dxa"/>
            <w:hideMark/>
          </w:tcPr>
          <w:p w14:paraId="71E88AA5" w14:textId="77777777" w:rsidR="00432EEF" w:rsidRPr="00432EEF" w:rsidRDefault="00432EEF" w:rsidP="00432EEF">
            <w:pPr>
              <w:widowControl/>
              <w:jc w:val="left"/>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Han. Clin Exp Ophthalmol. 2020;48(4):539-540.</w:t>
            </w:r>
          </w:p>
        </w:tc>
        <w:tc>
          <w:tcPr>
            <w:tcW w:w="2262" w:type="dxa"/>
            <w:hideMark/>
          </w:tcPr>
          <w:p w14:paraId="011BD27B"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Review/Comment</w:t>
            </w:r>
          </w:p>
        </w:tc>
      </w:tr>
      <w:tr w:rsidR="00432EEF" w:rsidRPr="00432EEF" w14:paraId="7E0B41DB" w14:textId="77777777" w:rsidTr="00432EEF">
        <w:trPr>
          <w:trHeight w:val="408"/>
        </w:trPr>
        <w:tc>
          <w:tcPr>
            <w:tcW w:w="6232" w:type="dxa"/>
            <w:hideMark/>
          </w:tcPr>
          <w:p w14:paraId="2D611AC6"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Haripriya. Asia Pac J Ophthalmol (Phila). 2017;6(4):324-329.</w:t>
            </w:r>
          </w:p>
        </w:tc>
        <w:tc>
          <w:tcPr>
            <w:tcW w:w="2262" w:type="dxa"/>
            <w:hideMark/>
          </w:tcPr>
          <w:p w14:paraId="014CE574"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Review/Comment</w:t>
            </w:r>
          </w:p>
        </w:tc>
      </w:tr>
      <w:tr w:rsidR="00432EEF" w:rsidRPr="00432EEF" w14:paraId="281663F6" w14:textId="77777777" w:rsidTr="00432EEF">
        <w:trPr>
          <w:trHeight w:val="408"/>
        </w:trPr>
        <w:tc>
          <w:tcPr>
            <w:tcW w:w="6232" w:type="dxa"/>
            <w:hideMark/>
          </w:tcPr>
          <w:p w14:paraId="10EA6549"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Jabbarvand. Ophthalmology. 2016;123(2):295-301.</w:t>
            </w:r>
          </w:p>
        </w:tc>
        <w:tc>
          <w:tcPr>
            <w:tcW w:w="2262" w:type="dxa"/>
            <w:hideMark/>
          </w:tcPr>
          <w:p w14:paraId="0B3C6C60"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Erratum/Retracted</w:t>
            </w:r>
          </w:p>
        </w:tc>
      </w:tr>
      <w:tr w:rsidR="00432EEF" w:rsidRPr="00432EEF" w14:paraId="2E2EC702" w14:textId="77777777" w:rsidTr="00432EEF">
        <w:trPr>
          <w:trHeight w:val="408"/>
        </w:trPr>
        <w:tc>
          <w:tcPr>
            <w:tcW w:w="6232" w:type="dxa"/>
            <w:hideMark/>
          </w:tcPr>
          <w:p w14:paraId="7E0599F9" w14:textId="77777777" w:rsidR="00432EEF" w:rsidRPr="00432EEF" w:rsidRDefault="00432EEF" w:rsidP="00432EEF">
            <w:pPr>
              <w:widowControl/>
              <w:jc w:val="left"/>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Kohnen. J Cataract Refract Surg. 2009;35(4):609.</w:t>
            </w:r>
          </w:p>
        </w:tc>
        <w:tc>
          <w:tcPr>
            <w:tcW w:w="2262" w:type="dxa"/>
            <w:hideMark/>
          </w:tcPr>
          <w:p w14:paraId="37F0DBD8"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Review/Comment</w:t>
            </w:r>
          </w:p>
        </w:tc>
      </w:tr>
      <w:tr w:rsidR="00432EEF" w:rsidRPr="00432EEF" w14:paraId="35B89755" w14:textId="77777777" w:rsidTr="00432EEF">
        <w:trPr>
          <w:trHeight w:val="408"/>
        </w:trPr>
        <w:tc>
          <w:tcPr>
            <w:tcW w:w="6232" w:type="dxa"/>
            <w:hideMark/>
          </w:tcPr>
          <w:p w14:paraId="539573E3" w14:textId="77777777" w:rsidR="00432EEF" w:rsidRPr="00432EEF" w:rsidRDefault="00432EEF" w:rsidP="00432EEF">
            <w:pPr>
              <w:widowControl/>
              <w:jc w:val="left"/>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Krummenauer. Pharmacoepidemiol Drug Saf. 2006;15(9):662-666.</w:t>
            </w:r>
          </w:p>
        </w:tc>
        <w:tc>
          <w:tcPr>
            <w:tcW w:w="2262" w:type="dxa"/>
            <w:hideMark/>
          </w:tcPr>
          <w:p w14:paraId="278BB557"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Erratum/Retracted</w:t>
            </w:r>
          </w:p>
        </w:tc>
      </w:tr>
      <w:tr w:rsidR="00432EEF" w:rsidRPr="00432EEF" w14:paraId="440CAE58" w14:textId="77777777" w:rsidTr="00432EEF">
        <w:trPr>
          <w:trHeight w:val="408"/>
        </w:trPr>
        <w:tc>
          <w:tcPr>
            <w:tcW w:w="6232" w:type="dxa"/>
            <w:hideMark/>
          </w:tcPr>
          <w:p w14:paraId="059271B9" w14:textId="77777777" w:rsidR="00432EEF" w:rsidRPr="00432EEF" w:rsidRDefault="00432EEF" w:rsidP="00432EEF">
            <w:pPr>
              <w:widowControl/>
              <w:jc w:val="left"/>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Leung. Int Ophthalmol Clinics. 2020;60(4):113-126.</w:t>
            </w:r>
          </w:p>
        </w:tc>
        <w:tc>
          <w:tcPr>
            <w:tcW w:w="2262" w:type="dxa"/>
            <w:hideMark/>
          </w:tcPr>
          <w:p w14:paraId="5E217184"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Review/Comment</w:t>
            </w:r>
          </w:p>
        </w:tc>
      </w:tr>
      <w:tr w:rsidR="00432EEF" w:rsidRPr="00432EEF" w14:paraId="14825C5A" w14:textId="77777777" w:rsidTr="00432EEF">
        <w:trPr>
          <w:trHeight w:val="408"/>
        </w:trPr>
        <w:tc>
          <w:tcPr>
            <w:tcW w:w="6232" w:type="dxa"/>
            <w:hideMark/>
          </w:tcPr>
          <w:p w14:paraId="35893432" w14:textId="77777777" w:rsidR="00432EEF" w:rsidRPr="00432EEF" w:rsidRDefault="00432EEF" w:rsidP="00432EEF">
            <w:pPr>
              <w:widowControl/>
              <w:jc w:val="left"/>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Leyngold. Cochrane Database of Systematic Reviews. 2007(1).</w:t>
            </w:r>
          </w:p>
        </w:tc>
        <w:tc>
          <w:tcPr>
            <w:tcW w:w="2262" w:type="dxa"/>
            <w:hideMark/>
          </w:tcPr>
          <w:p w14:paraId="6BA42DEA"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Review/Comment</w:t>
            </w:r>
          </w:p>
        </w:tc>
      </w:tr>
      <w:tr w:rsidR="00432EEF" w:rsidRPr="00432EEF" w14:paraId="2C9C5CED" w14:textId="77777777" w:rsidTr="00432EEF">
        <w:trPr>
          <w:trHeight w:val="408"/>
        </w:trPr>
        <w:tc>
          <w:tcPr>
            <w:tcW w:w="6232" w:type="dxa"/>
            <w:hideMark/>
          </w:tcPr>
          <w:p w14:paraId="681DA35D" w14:textId="77777777" w:rsidR="00432EEF" w:rsidRPr="00432EEF" w:rsidRDefault="00432EEF" w:rsidP="00432EEF">
            <w:pPr>
              <w:widowControl/>
              <w:jc w:val="left"/>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Li. Eye contact lens. 2020;46(2):126-126.</w:t>
            </w:r>
          </w:p>
        </w:tc>
        <w:tc>
          <w:tcPr>
            <w:tcW w:w="2262" w:type="dxa"/>
            <w:hideMark/>
          </w:tcPr>
          <w:p w14:paraId="5411093D"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Erratum/Retracted</w:t>
            </w:r>
          </w:p>
        </w:tc>
      </w:tr>
      <w:tr w:rsidR="00432EEF" w:rsidRPr="00432EEF" w14:paraId="77B6F0C1" w14:textId="77777777" w:rsidTr="00432EEF">
        <w:trPr>
          <w:trHeight w:val="408"/>
        </w:trPr>
        <w:tc>
          <w:tcPr>
            <w:tcW w:w="6232" w:type="dxa"/>
            <w:hideMark/>
          </w:tcPr>
          <w:p w14:paraId="05A5BBEE"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Lloyd. Can J Ophthalmol. 2009;44(3):288-292.</w:t>
            </w:r>
          </w:p>
        </w:tc>
        <w:tc>
          <w:tcPr>
            <w:tcW w:w="2262" w:type="dxa"/>
            <w:hideMark/>
          </w:tcPr>
          <w:p w14:paraId="4227460B"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Insufficient data</w:t>
            </w:r>
          </w:p>
        </w:tc>
      </w:tr>
      <w:tr w:rsidR="00432EEF" w:rsidRPr="00432EEF" w14:paraId="2694288F" w14:textId="77777777" w:rsidTr="00432EEF">
        <w:trPr>
          <w:trHeight w:val="408"/>
        </w:trPr>
        <w:tc>
          <w:tcPr>
            <w:tcW w:w="6232" w:type="dxa"/>
            <w:hideMark/>
          </w:tcPr>
          <w:p w14:paraId="403F175F" w14:textId="77777777" w:rsidR="00432EEF" w:rsidRPr="00432EEF" w:rsidRDefault="00432EEF" w:rsidP="00432EEF">
            <w:pPr>
              <w:widowControl/>
              <w:jc w:val="left"/>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Lundström. J Cataract Refract Surg. 2015;41(11):2410-2416.</w:t>
            </w:r>
          </w:p>
        </w:tc>
        <w:tc>
          <w:tcPr>
            <w:tcW w:w="2262" w:type="dxa"/>
            <w:hideMark/>
          </w:tcPr>
          <w:p w14:paraId="4F7069B5"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Not for prophylaxis</w:t>
            </w:r>
          </w:p>
        </w:tc>
      </w:tr>
      <w:tr w:rsidR="00432EEF" w:rsidRPr="00432EEF" w14:paraId="5CE63F89" w14:textId="77777777" w:rsidTr="00432EEF">
        <w:trPr>
          <w:trHeight w:val="408"/>
        </w:trPr>
        <w:tc>
          <w:tcPr>
            <w:tcW w:w="6232" w:type="dxa"/>
            <w:hideMark/>
          </w:tcPr>
          <w:p w14:paraId="1CE4CDB1"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Ma. Infect Drug Resist. 2020;13:1455-1463.</w:t>
            </w:r>
          </w:p>
        </w:tc>
        <w:tc>
          <w:tcPr>
            <w:tcW w:w="2262" w:type="dxa"/>
            <w:hideMark/>
          </w:tcPr>
          <w:p w14:paraId="10B3CDAE" w14:textId="77777777" w:rsidR="00432EEF" w:rsidRPr="00432EEF" w:rsidRDefault="00432EEF" w:rsidP="00432EEF">
            <w:pPr>
              <w:widowControl/>
              <w:jc w:val="left"/>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Duplicate date use</w:t>
            </w:r>
          </w:p>
        </w:tc>
      </w:tr>
      <w:tr w:rsidR="00432EEF" w:rsidRPr="00432EEF" w14:paraId="3FE559A2" w14:textId="77777777" w:rsidTr="00432EEF">
        <w:trPr>
          <w:trHeight w:val="408"/>
        </w:trPr>
        <w:tc>
          <w:tcPr>
            <w:tcW w:w="6232" w:type="dxa"/>
            <w:hideMark/>
          </w:tcPr>
          <w:p w14:paraId="082054DF" w14:textId="77777777" w:rsidR="00432EEF" w:rsidRPr="00432EEF" w:rsidRDefault="00432EEF" w:rsidP="00432EEF">
            <w:pPr>
              <w:widowControl/>
              <w:jc w:val="left"/>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Melega. J Cataract Refract Surg. 2019;45(3):343-350.</w:t>
            </w:r>
          </w:p>
        </w:tc>
        <w:tc>
          <w:tcPr>
            <w:tcW w:w="2262" w:type="dxa"/>
            <w:hideMark/>
          </w:tcPr>
          <w:p w14:paraId="5B64AA47"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Duplicate date use</w:t>
            </w:r>
          </w:p>
        </w:tc>
      </w:tr>
      <w:tr w:rsidR="00432EEF" w:rsidRPr="00432EEF" w14:paraId="3254C020" w14:textId="77777777" w:rsidTr="00432EEF">
        <w:trPr>
          <w:trHeight w:val="408"/>
        </w:trPr>
        <w:tc>
          <w:tcPr>
            <w:tcW w:w="6232" w:type="dxa"/>
            <w:hideMark/>
          </w:tcPr>
          <w:p w14:paraId="5CAC6EA5" w14:textId="77777777" w:rsidR="00432EEF" w:rsidRPr="00432EEF" w:rsidRDefault="00432EEF" w:rsidP="00432EEF">
            <w:pPr>
              <w:widowControl/>
              <w:jc w:val="left"/>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Meyer. Clin Exp Ophthalmol. 2016;44(7):643-645.</w:t>
            </w:r>
          </w:p>
        </w:tc>
        <w:tc>
          <w:tcPr>
            <w:tcW w:w="2262" w:type="dxa"/>
            <w:hideMark/>
          </w:tcPr>
          <w:p w14:paraId="5E1DA521"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Not for antibiotics</w:t>
            </w:r>
          </w:p>
        </w:tc>
      </w:tr>
      <w:tr w:rsidR="00432EEF" w:rsidRPr="00432EEF" w14:paraId="293454BD" w14:textId="77777777" w:rsidTr="00432EEF">
        <w:trPr>
          <w:trHeight w:val="408"/>
        </w:trPr>
        <w:tc>
          <w:tcPr>
            <w:tcW w:w="6232" w:type="dxa"/>
            <w:hideMark/>
          </w:tcPr>
          <w:p w14:paraId="785B5CFE" w14:textId="77777777" w:rsidR="00432EEF" w:rsidRPr="00432EEF" w:rsidRDefault="00432EEF" w:rsidP="00432EEF">
            <w:pPr>
              <w:widowControl/>
              <w:jc w:val="left"/>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Montan. J Cataract Refract Surg. 2002;28(6):977-981.</w:t>
            </w:r>
          </w:p>
        </w:tc>
        <w:tc>
          <w:tcPr>
            <w:tcW w:w="2262" w:type="dxa"/>
            <w:hideMark/>
          </w:tcPr>
          <w:p w14:paraId="640B8684"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One study arm</w:t>
            </w:r>
          </w:p>
        </w:tc>
      </w:tr>
      <w:tr w:rsidR="00432EEF" w:rsidRPr="00432EEF" w14:paraId="24870FF3" w14:textId="77777777" w:rsidTr="00432EEF">
        <w:trPr>
          <w:trHeight w:val="408"/>
        </w:trPr>
        <w:tc>
          <w:tcPr>
            <w:tcW w:w="6232" w:type="dxa"/>
            <w:hideMark/>
          </w:tcPr>
          <w:p w14:paraId="57A3A7E2"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Montan. Ophthalmology. 1998;105(12):2171-2177.</w:t>
            </w:r>
          </w:p>
        </w:tc>
        <w:tc>
          <w:tcPr>
            <w:tcW w:w="2262" w:type="dxa"/>
            <w:hideMark/>
          </w:tcPr>
          <w:p w14:paraId="3C6C5F0B"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Not for antibiotics</w:t>
            </w:r>
          </w:p>
        </w:tc>
      </w:tr>
      <w:tr w:rsidR="00432EEF" w:rsidRPr="00432EEF" w14:paraId="26944D44" w14:textId="77777777" w:rsidTr="00432EEF">
        <w:trPr>
          <w:trHeight w:val="408"/>
        </w:trPr>
        <w:tc>
          <w:tcPr>
            <w:tcW w:w="6232" w:type="dxa"/>
            <w:hideMark/>
          </w:tcPr>
          <w:p w14:paraId="6C7BA6C8" w14:textId="77777777" w:rsidR="00432EEF" w:rsidRPr="00432EEF" w:rsidRDefault="00432EEF" w:rsidP="00432EEF">
            <w:pPr>
              <w:widowControl/>
              <w:jc w:val="left"/>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Morgan. Can J Ophthalmol. 2000;35(7):378-378.</w:t>
            </w:r>
          </w:p>
        </w:tc>
        <w:tc>
          <w:tcPr>
            <w:tcW w:w="2262" w:type="dxa"/>
            <w:hideMark/>
          </w:tcPr>
          <w:p w14:paraId="5EBA27C3"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 xml:space="preserve">Review/Comment </w:t>
            </w:r>
          </w:p>
        </w:tc>
      </w:tr>
      <w:tr w:rsidR="00432EEF" w:rsidRPr="00432EEF" w14:paraId="13AD8A2D" w14:textId="77777777" w:rsidTr="00432EEF">
        <w:trPr>
          <w:trHeight w:val="408"/>
        </w:trPr>
        <w:tc>
          <w:tcPr>
            <w:tcW w:w="6232" w:type="dxa"/>
            <w:hideMark/>
          </w:tcPr>
          <w:p w14:paraId="2264F2FC" w14:textId="77777777" w:rsidR="00432EEF" w:rsidRPr="00432EEF" w:rsidRDefault="00432EEF" w:rsidP="00432EEF">
            <w:pPr>
              <w:widowControl/>
              <w:jc w:val="left"/>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Moser. Graefes Arch Clin Exp Ophthalmol. 2019;257(10):2185-2191.</w:t>
            </w:r>
          </w:p>
        </w:tc>
        <w:tc>
          <w:tcPr>
            <w:tcW w:w="2262" w:type="dxa"/>
            <w:hideMark/>
          </w:tcPr>
          <w:p w14:paraId="15CA79C0"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Non-English</w:t>
            </w:r>
          </w:p>
        </w:tc>
      </w:tr>
      <w:tr w:rsidR="00432EEF" w:rsidRPr="00432EEF" w14:paraId="16AC8E5E" w14:textId="77777777" w:rsidTr="00432EEF">
        <w:trPr>
          <w:trHeight w:val="408"/>
        </w:trPr>
        <w:tc>
          <w:tcPr>
            <w:tcW w:w="6232" w:type="dxa"/>
            <w:hideMark/>
          </w:tcPr>
          <w:p w14:paraId="039AA882"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Nagar. Cochrane Database Syst Rev. 2007(3).</w:t>
            </w:r>
          </w:p>
        </w:tc>
        <w:tc>
          <w:tcPr>
            <w:tcW w:w="2262" w:type="dxa"/>
            <w:hideMark/>
          </w:tcPr>
          <w:p w14:paraId="5F3F33A1"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Review/Comment</w:t>
            </w:r>
          </w:p>
        </w:tc>
      </w:tr>
      <w:tr w:rsidR="00432EEF" w:rsidRPr="00432EEF" w14:paraId="52AFE599" w14:textId="77777777" w:rsidTr="00432EEF">
        <w:trPr>
          <w:trHeight w:val="408"/>
        </w:trPr>
        <w:tc>
          <w:tcPr>
            <w:tcW w:w="6232" w:type="dxa"/>
            <w:hideMark/>
          </w:tcPr>
          <w:p w14:paraId="74DE6EAF"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Nagar. Cochrane Database Syst Rev. 2013;2013(5).</w:t>
            </w:r>
          </w:p>
        </w:tc>
        <w:tc>
          <w:tcPr>
            <w:tcW w:w="2262" w:type="dxa"/>
            <w:hideMark/>
          </w:tcPr>
          <w:p w14:paraId="144914CE"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Protocol</w:t>
            </w:r>
          </w:p>
        </w:tc>
      </w:tr>
      <w:tr w:rsidR="00432EEF" w:rsidRPr="00432EEF" w14:paraId="57CAD487" w14:textId="77777777" w:rsidTr="00432EEF">
        <w:trPr>
          <w:trHeight w:val="408"/>
        </w:trPr>
        <w:tc>
          <w:tcPr>
            <w:tcW w:w="6232" w:type="dxa"/>
            <w:hideMark/>
          </w:tcPr>
          <w:p w14:paraId="4107F25A" w14:textId="77777777" w:rsidR="00432EEF" w:rsidRPr="00432EEF" w:rsidRDefault="00432EEF" w:rsidP="00432EEF">
            <w:pPr>
              <w:widowControl/>
              <w:jc w:val="left"/>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Ng. J Cataract Refract Surg. 2007;33(2):269-280.</w:t>
            </w:r>
          </w:p>
        </w:tc>
        <w:tc>
          <w:tcPr>
            <w:tcW w:w="2262" w:type="dxa"/>
            <w:hideMark/>
          </w:tcPr>
          <w:p w14:paraId="68E94361"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Not for porophylaxis</w:t>
            </w:r>
          </w:p>
        </w:tc>
      </w:tr>
      <w:tr w:rsidR="00432EEF" w:rsidRPr="00432EEF" w14:paraId="49391591" w14:textId="77777777" w:rsidTr="00432EEF">
        <w:trPr>
          <w:trHeight w:val="408"/>
        </w:trPr>
        <w:tc>
          <w:tcPr>
            <w:tcW w:w="6232" w:type="dxa"/>
            <w:hideMark/>
          </w:tcPr>
          <w:p w14:paraId="1B48154A" w14:textId="77777777" w:rsidR="00432EEF" w:rsidRPr="00432EEF" w:rsidRDefault="00432EEF" w:rsidP="00432EEF">
            <w:pPr>
              <w:widowControl/>
              <w:jc w:val="left"/>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Nguyen. Clin Exp Ophthalmol. 2016;44:82.</w:t>
            </w:r>
          </w:p>
        </w:tc>
        <w:tc>
          <w:tcPr>
            <w:tcW w:w="2262" w:type="dxa"/>
            <w:hideMark/>
          </w:tcPr>
          <w:p w14:paraId="37656DFB"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Review/Comment</w:t>
            </w:r>
          </w:p>
        </w:tc>
      </w:tr>
      <w:tr w:rsidR="00432EEF" w:rsidRPr="00432EEF" w14:paraId="49D06AB9" w14:textId="77777777" w:rsidTr="00432EEF">
        <w:trPr>
          <w:trHeight w:val="408"/>
        </w:trPr>
        <w:tc>
          <w:tcPr>
            <w:tcW w:w="6232" w:type="dxa"/>
            <w:hideMark/>
          </w:tcPr>
          <w:p w14:paraId="2DFD3E48"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Nowak. Int J Environ Res Public Health. 2019;16(12).</w:t>
            </w:r>
          </w:p>
        </w:tc>
        <w:tc>
          <w:tcPr>
            <w:tcW w:w="2262" w:type="dxa"/>
            <w:hideMark/>
          </w:tcPr>
          <w:p w14:paraId="674B2B7E"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Not for antibiotics</w:t>
            </w:r>
          </w:p>
        </w:tc>
      </w:tr>
      <w:tr w:rsidR="00432EEF" w:rsidRPr="00432EEF" w14:paraId="5E880443" w14:textId="77777777" w:rsidTr="00432EEF">
        <w:trPr>
          <w:trHeight w:val="408"/>
        </w:trPr>
        <w:tc>
          <w:tcPr>
            <w:tcW w:w="6232" w:type="dxa"/>
            <w:hideMark/>
          </w:tcPr>
          <w:p w14:paraId="5B9B0EE7"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Pijl. Eye. 2011;25(4):530.</w:t>
            </w:r>
          </w:p>
        </w:tc>
        <w:tc>
          <w:tcPr>
            <w:tcW w:w="2262" w:type="dxa"/>
            <w:hideMark/>
          </w:tcPr>
          <w:p w14:paraId="669789A2"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Review/Comment</w:t>
            </w:r>
          </w:p>
        </w:tc>
      </w:tr>
      <w:tr w:rsidR="00432EEF" w:rsidRPr="00432EEF" w14:paraId="38C9D2C9" w14:textId="77777777" w:rsidTr="00432EEF">
        <w:trPr>
          <w:trHeight w:val="408"/>
        </w:trPr>
        <w:tc>
          <w:tcPr>
            <w:tcW w:w="6232" w:type="dxa"/>
            <w:hideMark/>
          </w:tcPr>
          <w:p w14:paraId="23185436"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Raen. Acta Ophthalmologica. 2013;91(2):118-122.</w:t>
            </w:r>
          </w:p>
        </w:tc>
        <w:tc>
          <w:tcPr>
            <w:tcW w:w="2262" w:type="dxa"/>
            <w:hideMark/>
          </w:tcPr>
          <w:p w14:paraId="7763553C"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Duplicate date use</w:t>
            </w:r>
          </w:p>
        </w:tc>
      </w:tr>
      <w:tr w:rsidR="00432EEF" w:rsidRPr="00432EEF" w14:paraId="5BBF858C" w14:textId="77777777" w:rsidTr="00432EEF">
        <w:trPr>
          <w:trHeight w:val="408"/>
        </w:trPr>
        <w:tc>
          <w:tcPr>
            <w:tcW w:w="6232" w:type="dxa"/>
            <w:hideMark/>
          </w:tcPr>
          <w:p w14:paraId="31A849C1"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Raizman. Archives of Ophthalmology. 2011;129(4):501-502.</w:t>
            </w:r>
          </w:p>
        </w:tc>
        <w:tc>
          <w:tcPr>
            <w:tcW w:w="2262" w:type="dxa"/>
            <w:hideMark/>
          </w:tcPr>
          <w:p w14:paraId="202237B3"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Review/Comment</w:t>
            </w:r>
          </w:p>
        </w:tc>
      </w:tr>
      <w:tr w:rsidR="00432EEF" w:rsidRPr="00432EEF" w14:paraId="39837612" w14:textId="77777777" w:rsidTr="00432EEF">
        <w:trPr>
          <w:trHeight w:val="408"/>
        </w:trPr>
        <w:tc>
          <w:tcPr>
            <w:tcW w:w="6232" w:type="dxa"/>
            <w:hideMark/>
          </w:tcPr>
          <w:p w14:paraId="5D733C8D" w14:textId="77777777" w:rsidR="00432EEF" w:rsidRPr="00432EEF" w:rsidRDefault="00432EEF" w:rsidP="00432EEF">
            <w:pPr>
              <w:widowControl/>
              <w:jc w:val="left"/>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Rana. Clin Exp Ophthalmol. 2021;49(1):25-37.</w:t>
            </w:r>
          </w:p>
        </w:tc>
        <w:tc>
          <w:tcPr>
            <w:tcW w:w="2262" w:type="dxa"/>
            <w:hideMark/>
          </w:tcPr>
          <w:p w14:paraId="28E6CE42"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Review/Comment</w:t>
            </w:r>
          </w:p>
        </w:tc>
      </w:tr>
      <w:tr w:rsidR="00432EEF" w:rsidRPr="00432EEF" w14:paraId="45250630" w14:textId="77777777" w:rsidTr="00432EEF">
        <w:trPr>
          <w:trHeight w:val="408"/>
        </w:trPr>
        <w:tc>
          <w:tcPr>
            <w:tcW w:w="6232" w:type="dxa"/>
            <w:hideMark/>
          </w:tcPr>
          <w:p w14:paraId="03555DF2" w14:textId="77777777" w:rsidR="00432EEF" w:rsidRPr="00432EEF" w:rsidRDefault="00432EEF" w:rsidP="00432EEF">
            <w:pPr>
              <w:widowControl/>
              <w:jc w:val="left"/>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lastRenderedPageBreak/>
              <w:t>Rathi. Invest Ophthalmol Vis Sci. 2019;60(9).</w:t>
            </w:r>
          </w:p>
        </w:tc>
        <w:tc>
          <w:tcPr>
            <w:tcW w:w="2262" w:type="dxa"/>
            <w:hideMark/>
          </w:tcPr>
          <w:p w14:paraId="7D01B260" w14:textId="77777777" w:rsidR="00432EEF" w:rsidRPr="00432EEF" w:rsidRDefault="00432EEF" w:rsidP="00432EEF">
            <w:pPr>
              <w:widowControl/>
              <w:jc w:val="left"/>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Duplicate date use</w:t>
            </w:r>
          </w:p>
        </w:tc>
      </w:tr>
      <w:tr w:rsidR="00432EEF" w:rsidRPr="00432EEF" w14:paraId="689E46C5" w14:textId="77777777" w:rsidTr="00432EEF">
        <w:trPr>
          <w:trHeight w:val="408"/>
        </w:trPr>
        <w:tc>
          <w:tcPr>
            <w:tcW w:w="6232" w:type="dxa"/>
            <w:hideMark/>
          </w:tcPr>
          <w:p w14:paraId="386B2CD7"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Rekas. Value in Health Regional Issues. 2020;22:115-121.</w:t>
            </w:r>
          </w:p>
        </w:tc>
        <w:tc>
          <w:tcPr>
            <w:tcW w:w="2262" w:type="dxa"/>
            <w:hideMark/>
          </w:tcPr>
          <w:p w14:paraId="02A3FFF0"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Insufficient data</w:t>
            </w:r>
          </w:p>
        </w:tc>
      </w:tr>
      <w:tr w:rsidR="00432EEF" w:rsidRPr="00432EEF" w14:paraId="5D153590" w14:textId="77777777" w:rsidTr="00432EEF">
        <w:trPr>
          <w:trHeight w:val="408"/>
        </w:trPr>
        <w:tc>
          <w:tcPr>
            <w:tcW w:w="6232" w:type="dxa"/>
            <w:hideMark/>
          </w:tcPr>
          <w:p w14:paraId="1B0DD055" w14:textId="77777777" w:rsidR="00432EEF" w:rsidRPr="00432EEF" w:rsidRDefault="00432EEF" w:rsidP="00432EEF">
            <w:pPr>
              <w:widowControl/>
              <w:jc w:val="left"/>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Ricardo Suárez. Revista Mexicana de Oftalmologia. 2017;91(2):67-72.</w:t>
            </w:r>
          </w:p>
        </w:tc>
        <w:tc>
          <w:tcPr>
            <w:tcW w:w="2262" w:type="dxa"/>
            <w:hideMark/>
          </w:tcPr>
          <w:p w14:paraId="7BFE1269"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Non-English</w:t>
            </w:r>
          </w:p>
        </w:tc>
      </w:tr>
      <w:tr w:rsidR="00432EEF" w:rsidRPr="00432EEF" w14:paraId="79685FCE" w14:textId="77777777" w:rsidTr="00432EEF">
        <w:trPr>
          <w:trHeight w:val="408"/>
        </w:trPr>
        <w:tc>
          <w:tcPr>
            <w:tcW w:w="6232" w:type="dxa"/>
            <w:hideMark/>
          </w:tcPr>
          <w:p w14:paraId="11B4B30D" w14:textId="77777777" w:rsidR="00432EEF" w:rsidRPr="00432EEF" w:rsidRDefault="00432EEF" w:rsidP="00432EEF">
            <w:pPr>
              <w:widowControl/>
              <w:jc w:val="left"/>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Romero. J Cataract Refract Surg. 2006;32(3):438-441.</w:t>
            </w:r>
          </w:p>
        </w:tc>
        <w:tc>
          <w:tcPr>
            <w:tcW w:w="2262" w:type="dxa"/>
            <w:hideMark/>
          </w:tcPr>
          <w:p w14:paraId="5C45B61D"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Duplicate date use</w:t>
            </w:r>
          </w:p>
        </w:tc>
      </w:tr>
      <w:tr w:rsidR="00432EEF" w:rsidRPr="00432EEF" w14:paraId="1A8A573F" w14:textId="77777777" w:rsidTr="00432EEF">
        <w:trPr>
          <w:trHeight w:val="408"/>
        </w:trPr>
        <w:tc>
          <w:tcPr>
            <w:tcW w:w="6232" w:type="dxa"/>
            <w:hideMark/>
          </w:tcPr>
          <w:p w14:paraId="343069E8" w14:textId="77777777" w:rsidR="00432EEF" w:rsidRPr="00432EEF" w:rsidRDefault="00432EEF" w:rsidP="00432EEF">
            <w:pPr>
              <w:widowControl/>
              <w:jc w:val="left"/>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Romero. J Cataract Refract Surg. 2006;32(3):438-441.</w:t>
            </w:r>
          </w:p>
        </w:tc>
        <w:tc>
          <w:tcPr>
            <w:tcW w:w="2262" w:type="dxa"/>
            <w:hideMark/>
          </w:tcPr>
          <w:p w14:paraId="405BBDBA"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Duplicate date use</w:t>
            </w:r>
          </w:p>
        </w:tc>
      </w:tr>
      <w:tr w:rsidR="00432EEF" w:rsidRPr="00432EEF" w14:paraId="14E38171" w14:textId="77777777" w:rsidTr="00432EEF">
        <w:trPr>
          <w:trHeight w:val="408"/>
        </w:trPr>
        <w:tc>
          <w:tcPr>
            <w:tcW w:w="6232" w:type="dxa"/>
            <w:hideMark/>
          </w:tcPr>
          <w:p w14:paraId="4841DB16"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Romero-Aroca. Bmc Ophthalmology. 2012;12.</w:t>
            </w:r>
          </w:p>
        </w:tc>
        <w:tc>
          <w:tcPr>
            <w:tcW w:w="2262" w:type="dxa"/>
            <w:hideMark/>
          </w:tcPr>
          <w:p w14:paraId="217EB49C"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Duplicate date use</w:t>
            </w:r>
          </w:p>
        </w:tc>
      </w:tr>
      <w:tr w:rsidR="00432EEF" w:rsidRPr="00432EEF" w14:paraId="5CC51D8F" w14:textId="77777777" w:rsidTr="00432EEF">
        <w:trPr>
          <w:trHeight w:val="408"/>
        </w:trPr>
        <w:tc>
          <w:tcPr>
            <w:tcW w:w="6232" w:type="dxa"/>
            <w:hideMark/>
          </w:tcPr>
          <w:p w14:paraId="76E98B70" w14:textId="77777777" w:rsidR="00432EEF" w:rsidRPr="00432EEF" w:rsidRDefault="00432EEF" w:rsidP="00432EEF">
            <w:pPr>
              <w:widowControl/>
              <w:jc w:val="left"/>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Rosha. Clin Exp Ophthalmol. 2006;34(6):535-544.</w:t>
            </w:r>
          </w:p>
        </w:tc>
        <w:tc>
          <w:tcPr>
            <w:tcW w:w="2262" w:type="dxa"/>
            <w:hideMark/>
          </w:tcPr>
          <w:p w14:paraId="78973B26" w14:textId="77777777" w:rsidR="00432EEF" w:rsidRPr="00432EEF" w:rsidRDefault="00432EEF" w:rsidP="00432EEF">
            <w:pPr>
              <w:widowControl/>
              <w:jc w:val="left"/>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 xml:space="preserve">Not for frequency </w:t>
            </w:r>
          </w:p>
        </w:tc>
      </w:tr>
      <w:tr w:rsidR="00432EEF" w:rsidRPr="00432EEF" w14:paraId="4B067134" w14:textId="77777777" w:rsidTr="00432EEF">
        <w:trPr>
          <w:trHeight w:val="408"/>
        </w:trPr>
        <w:tc>
          <w:tcPr>
            <w:tcW w:w="6232" w:type="dxa"/>
            <w:hideMark/>
          </w:tcPr>
          <w:p w14:paraId="110BE16D" w14:textId="77777777" w:rsidR="00432EEF" w:rsidRPr="00432EEF" w:rsidRDefault="00432EEF" w:rsidP="00432EEF">
            <w:pPr>
              <w:widowControl/>
              <w:jc w:val="left"/>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Schmitz. Ophthalmology. 1999;106(10):1869-1877.</w:t>
            </w:r>
          </w:p>
        </w:tc>
        <w:tc>
          <w:tcPr>
            <w:tcW w:w="2262" w:type="dxa"/>
            <w:hideMark/>
          </w:tcPr>
          <w:p w14:paraId="0FD3CA59" w14:textId="77777777" w:rsidR="00432EEF" w:rsidRPr="00432EEF" w:rsidRDefault="00432EEF" w:rsidP="00432EEF">
            <w:pPr>
              <w:widowControl/>
              <w:jc w:val="left"/>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Insufficient data</w:t>
            </w:r>
          </w:p>
        </w:tc>
      </w:tr>
      <w:tr w:rsidR="00432EEF" w:rsidRPr="00432EEF" w14:paraId="4E9A9D3E" w14:textId="77777777" w:rsidTr="00432EEF">
        <w:trPr>
          <w:trHeight w:val="408"/>
        </w:trPr>
        <w:tc>
          <w:tcPr>
            <w:tcW w:w="6232" w:type="dxa"/>
            <w:hideMark/>
          </w:tcPr>
          <w:p w14:paraId="5131AC8F" w14:textId="77777777" w:rsidR="00432EEF" w:rsidRPr="00432EEF" w:rsidRDefault="00432EEF" w:rsidP="00432EEF">
            <w:pPr>
              <w:widowControl/>
              <w:jc w:val="left"/>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Seal. J Cataract Refract Surg. 2006;32(3):396-406.</w:t>
            </w:r>
          </w:p>
        </w:tc>
        <w:tc>
          <w:tcPr>
            <w:tcW w:w="2262" w:type="dxa"/>
            <w:hideMark/>
          </w:tcPr>
          <w:p w14:paraId="79B5CD87"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Duplicate date use</w:t>
            </w:r>
          </w:p>
        </w:tc>
      </w:tr>
      <w:tr w:rsidR="00432EEF" w:rsidRPr="00432EEF" w14:paraId="4B6CCA95" w14:textId="77777777" w:rsidTr="00432EEF">
        <w:trPr>
          <w:trHeight w:val="408"/>
        </w:trPr>
        <w:tc>
          <w:tcPr>
            <w:tcW w:w="6232" w:type="dxa"/>
            <w:hideMark/>
          </w:tcPr>
          <w:p w14:paraId="1C8F2E44" w14:textId="77777777" w:rsidR="00432EEF" w:rsidRPr="00432EEF" w:rsidRDefault="00432EEF" w:rsidP="00432EEF">
            <w:pPr>
              <w:widowControl/>
              <w:jc w:val="left"/>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Seal. J Cataract Refract Surg. 2006;32(3):396-406.</w:t>
            </w:r>
          </w:p>
        </w:tc>
        <w:tc>
          <w:tcPr>
            <w:tcW w:w="2262" w:type="dxa"/>
            <w:hideMark/>
          </w:tcPr>
          <w:p w14:paraId="3BEE98E8"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Duplicate date use</w:t>
            </w:r>
          </w:p>
        </w:tc>
      </w:tr>
      <w:tr w:rsidR="00432EEF" w:rsidRPr="00432EEF" w14:paraId="4A3A62FB" w14:textId="77777777" w:rsidTr="00432EEF">
        <w:trPr>
          <w:trHeight w:val="408"/>
        </w:trPr>
        <w:tc>
          <w:tcPr>
            <w:tcW w:w="6232" w:type="dxa"/>
            <w:hideMark/>
          </w:tcPr>
          <w:p w14:paraId="27A488DA" w14:textId="77777777" w:rsidR="00432EEF" w:rsidRPr="00432EEF" w:rsidRDefault="00432EEF" w:rsidP="00432EEF">
            <w:pPr>
              <w:widowControl/>
              <w:jc w:val="left"/>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Shimizu. Jpn J Ophthalmol. 1997;51(2):211-214.</w:t>
            </w:r>
          </w:p>
        </w:tc>
        <w:tc>
          <w:tcPr>
            <w:tcW w:w="2262" w:type="dxa"/>
            <w:hideMark/>
          </w:tcPr>
          <w:p w14:paraId="6E22DB0D"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Non-English</w:t>
            </w:r>
          </w:p>
        </w:tc>
      </w:tr>
      <w:tr w:rsidR="00432EEF" w:rsidRPr="00432EEF" w14:paraId="3B995D45" w14:textId="77777777" w:rsidTr="00432EEF">
        <w:trPr>
          <w:trHeight w:val="408"/>
        </w:trPr>
        <w:tc>
          <w:tcPr>
            <w:tcW w:w="6232" w:type="dxa"/>
            <w:hideMark/>
          </w:tcPr>
          <w:p w14:paraId="3CF40855"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Simina. Rom J Ophthalmol. 2021;65(1):2-9.</w:t>
            </w:r>
          </w:p>
        </w:tc>
        <w:tc>
          <w:tcPr>
            <w:tcW w:w="2262" w:type="dxa"/>
            <w:hideMark/>
          </w:tcPr>
          <w:p w14:paraId="78F073DA"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Review/Comment</w:t>
            </w:r>
          </w:p>
        </w:tc>
      </w:tr>
      <w:tr w:rsidR="00432EEF" w:rsidRPr="00432EEF" w14:paraId="3FD4384E" w14:textId="77777777" w:rsidTr="00432EEF">
        <w:trPr>
          <w:trHeight w:val="408"/>
        </w:trPr>
        <w:tc>
          <w:tcPr>
            <w:tcW w:w="6232" w:type="dxa"/>
            <w:hideMark/>
          </w:tcPr>
          <w:p w14:paraId="059BE946"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Sun. Infect Drug Resist. 2021;14:1231-1238.</w:t>
            </w:r>
          </w:p>
        </w:tc>
        <w:tc>
          <w:tcPr>
            <w:tcW w:w="2262" w:type="dxa"/>
            <w:hideMark/>
          </w:tcPr>
          <w:p w14:paraId="4950E7AA"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Insufficient data</w:t>
            </w:r>
          </w:p>
        </w:tc>
      </w:tr>
      <w:tr w:rsidR="00432EEF" w:rsidRPr="00432EEF" w14:paraId="154AAB8F" w14:textId="77777777" w:rsidTr="00432EEF">
        <w:trPr>
          <w:trHeight w:val="408"/>
        </w:trPr>
        <w:tc>
          <w:tcPr>
            <w:tcW w:w="6232" w:type="dxa"/>
            <w:hideMark/>
          </w:tcPr>
          <w:p w14:paraId="4B80D01E"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Surgeons. J Cataract Refract Surg. 2007;33(6):978-988.</w:t>
            </w:r>
          </w:p>
        </w:tc>
        <w:tc>
          <w:tcPr>
            <w:tcW w:w="2262" w:type="dxa"/>
            <w:hideMark/>
          </w:tcPr>
          <w:p w14:paraId="27BCE930"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Duplicate date use</w:t>
            </w:r>
          </w:p>
        </w:tc>
      </w:tr>
      <w:tr w:rsidR="00432EEF" w:rsidRPr="00432EEF" w14:paraId="6917685C" w14:textId="77777777" w:rsidTr="00432EEF">
        <w:trPr>
          <w:trHeight w:val="408"/>
        </w:trPr>
        <w:tc>
          <w:tcPr>
            <w:tcW w:w="6232" w:type="dxa"/>
            <w:hideMark/>
          </w:tcPr>
          <w:p w14:paraId="6CA44D9C" w14:textId="77777777" w:rsidR="00432EEF" w:rsidRPr="00432EEF" w:rsidRDefault="00432EEF" w:rsidP="00432EEF">
            <w:pPr>
              <w:widowControl/>
              <w:jc w:val="left"/>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Tan. Graefes Arch Clin Exp Ophthalmol. 2016;254(7):1437-1438.</w:t>
            </w:r>
          </w:p>
        </w:tc>
        <w:tc>
          <w:tcPr>
            <w:tcW w:w="2262" w:type="dxa"/>
            <w:hideMark/>
          </w:tcPr>
          <w:p w14:paraId="76425081"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Review/Comment</w:t>
            </w:r>
          </w:p>
        </w:tc>
      </w:tr>
      <w:tr w:rsidR="00432EEF" w:rsidRPr="00432EEF" w14:paraId="42FEAFBF" w14:textId="77777777" w:rsidTr="00432EEF">
        <w:trPr>
          <w:trHeight w:val="408"/>
        </w:trPr>
        <w:tc>
          <w:tcPr>
            <w:tcW w:w="6232" w:type="dxa"/>
            <w:hideMark/>
          </w:tcPr>
          <w:p w14:paraId="420B893B" w14:textId="77777777" w:rsidR="00432EEF" w:rsidRPr="00432EEF" w:rsidRDefault="00432EEF" w:rsidP="00432EEF">
            <w:pPr>
              <w:widowControl/>
              <w:jc w:val="left"/>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Tan. J Cataract Refract Surg. 2015;41(5):1125-1126.</w:t>
            </w:r>
          </w:p>
        </w:tc>
        <w:tc>
          <w:tcPr>
            <w:tcW w:w="2262" w:type="dxa"/>
            <w:hideMark/>
          </w:tcPr>
          <w:p w14:paraId="4F9C8748"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Review/Comment</w:t>
            </w:r>
          </w:p>
        </w:tc>
      </w:tr>
      <w:tr w:rsidR="00432EEF" w:rsidRPr="00432EEF" w14:paraId="6F06009B" w14:textId="77777777" w:rsidTr="00432EEF">
        <w:trPr>
          <w:trHeight w:val="408"/>
        </w:trPr>
        <w:tc>
          <w:tcPr>
            <w:tcW w:w="6232" w:type="dxa"/>
            <w:hideMark/>
          </w:tcPr>
          <w:p w14:paraId="3FA8FD04"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Titiyal. Indian J Ophthalmol. 2020;68(5):688-691.</w:t>
            </w:r>
          </w:p>
        </w:tc>
        <w:tc>
          <w:tcPr>
            <w:tcW w:w="2262" w:type="dxa"/>
            <w:hideMark/>
          </w:tcPr>
          <w:p w14:paraId="50FF58FF"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Review/Comment</w:t>
            </w:r>
          </w:p>
        </w:tc>
      </w:tr>
      <w:tr w:rsidR="00432EEF" w:rsidRPr="00432EEF" w14:paraId="122EB091" w14:textId="77777777" w:rsidTr="00432EEF">
        <w:trPr>
          <w:trHeight w:val="408"/>
        </w:trPr>
        <w:tc>
          <w:tcPr>
            <w:tcW w:w="6232" w:type="dxa"/>
            <w:hideMark/>
          </w:tcPr>
          <w:p w14:paraId="54522F92"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Verstappen. J Francais D Ophtalmologie. 2017;40(3):E103-E104.</w:t>
            </w:r>
          </w:p>
        </w:tc>
        <w:tc>
          <w:tcPr>
            <w:tcW w:w="2262" w:type="dxa"/>
            <w:hideMark/>
          </w:tcPr>
          <w:p w14:paraId="6FF7D837"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Non-English</w:t>
            </w:r>
          </w:p>
        </w:tc>
      </w:tr>
      <w:tr w:rsidR="00432EEF" w:rsidRPr="00432EEF" w14:paraId="14CD0350" w14:textId="77777777" w:rsidTr="00432EEF">
        <w:trPr>
          <w:trHeight w:val="408"/>
        </w:trPr>
        <w:tc>
          <w:tcPr>
            <w:tcW w:w="6232" w:type="dxa"/>
            <w:hideMark/>
          </w:tcPr>
          <w:p w14:paraId="24386473"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Wang. J Ophthalmol. 2020;2020.</w:t>
            </w:r>
          </w:p>
        </w:tc>
        <w:tc>
          <w:tcPr>
            <w:tcW w:w="2262" w:type="dxa"/>
            <w:hideMark/>
          </w:tcPr>
          <w:p w14:paraId="227244FB"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Review/Comment</w:t>
            </w:r>
          </w:p>
        </w:tc>
      </w:tr>
      <w:tr w:rsidR="00432EEF" w:rsidRPr="00432EEF" w14:paraId="71BFB740" w14:textId="77777777" w:rsidTr="00432EEF">
        <w:trPr>
          <w:trHeight w:val="408"/>
        </w:trPr>
        <w:tc>
          <w:tcPr>
            <w:tcW w:w="6232" w:type="dxa"/>
            <w:hideMark/>
          </w:tcPr>
          <w:p w14:paraId="1804DB66"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Wani. JK Practitioner. 2004;11(2):130-132.</w:t>
            </w:r>
          </w:p>
        </w:tc>
        <w:tc>
          <w:tcPr>
            <w:tcW w:w="2262" w:type="dxa"/>
            <w:hideMark/>
          </w:tcPr>
          <w:p w14:paraId="0D618889"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Review/Comment</w:t>
            </w:r>
          </w:p>
        </w:tc>
      </w:tr>
      <w:tr w:rsidR="00432EEF" w:rsidRPr="00432EEF" w14:paraId="37FC29D7" w14:textId="77777777" w:rsidTr="00432EEF">
        <w:trPr>
          <w:trHeight w:val="408"/>
        </w:trPr>
        <w:tc>
          <w:tcPr>
            <w:tcW w:w="6232" w:type="dxa"/>
            <w:hideMark/>
          </w:tcPr>
          <w:p w14:paraId="62E5F707"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Wejde. J Hosp Infect. 2005;61(3):251-256.</w:t>
            </w:r>
          </w:p>
        </w:tc>
        <w:tc>
          <w:tcPr>
            <w:tcW w:w="2262" w:type="dxa"/>
            <w:hideMark/>
          </w:tcPr>
          <w:p w14:paraId="2B42AD39" w14:textId="77777777" w:rsidR="00432EEF" w:rsidRPr="00432EEF" w:rsidRDefault="00432EEF" w:rsidP="00432EEF">
            <w:pPr>
              <w:widowControl/>
              <w:jc w:val="left"/>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 xml:space="preserve">Not for frequency </w:t>
            </w:r>
          </w:p>
        </w:tc>
      </w:tr>
      <w:tr w:rsidR="00432EEF" w:rsidRPr="00432EEF" w14:paraId="652D6A01" w14:textId="77777777" w:rsidTr="00432EEF">
        <w:trPr>
          <w:trHeight w:val="408"/>
        </w:trPr>
        <w:tc>
          <w:tcPr>
            <w:tcW w:w="6232" w:type="dxa"/>
            <w:hideMark/>
          </w:tcPr>
          <w:p w14:paraId="5FDDF78B" w14:textId="77777777" w:rsidR="00432EEF" w:rsidRPr="00432EEF" w:rsidRDefault="00432EEF" w:rsidP="00432EEF">
            <w:pPr>
              <w:widowControl/>
              <w:jc w:val="left"/>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Williamson. Adv Ophthalmol Optom. 2018;3(1):407-421.</w:t>
            </w:r>
          </w:p>
        </w:tc>
        <w:tc>
          <w:tcPr>
            <w:tcW w:w="2262" w:type="dxa"/>
            <w:hideMark/>
          </w:tcPr>
          <w:p w14:paraId="616E728D"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Review/Comment</w:t>
            </w:r>
          </w:p>
        </w:tc>
      </w:tr>
      <w:tr w:rsidR="00432EEF" w:rsidRPr="00432EEF" w14:paraId="2CE1624C" w14:textId="77777777" w:rsidTr="00432EEF">
        <w:trPr>
          <w:trHeight w:val="408"/>
        </w:trPr>
        <w:tc>
          <w:tcPr>
            <w:tcW w:w="6232" w:type="dxa"/>
            <w:hideMark/>
          </w:tcPr>
          <w:p w14:paraId="1A489FF4" w14:textId="77777777" w:rsidR="00432EEF" w:rsidRPr="00432EEF" w:rsidRDefault="00432EEF" w:rsidP="00432EEF">
            <w:pPr>
              <w:widowControl/>
              <w:jc w:val="left"/>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Wu. International Eye Science. 2015;15(10):1753-1756.</w:t>
            </w:r>
          </w:p>
        </w:tc>
        <w:tc>
          <w:tcPr>
            <w:tcW w:w="2262" w:type="dxa"/>
            <w:hideMark/>
          </w:tcPr>
          <w:p w14:paraId="6F2D0338"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Review/Comment</w:t>
            </w:r>
          </w:p>
        </w:tc>
      </w:tr>
      <w:tr w:rsidR="00432EEF" w:rsidRPr="00432EEF" w14:paraId="489544C9" w14:textId="77777777" w:rsidTr="00432EEF">
        <w:trPr>
          <w:trHeight w:val="408"/>
        </w:trPr>
        <w:tc>
          <w:tcPr>
            <w:tcW w:w="6232" w:type="dxa"/>
            <w:hideMark/>
          </w:tcPr>
          <w:p w14:paraId="5D84C743"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Zagaria. Us Pharmacist. 2016;41(4):8-+.</w:t>
            </w:r>
          </w:p>
        </w:tc>
        <w:tc>
          <w:tcPr>
            <w:tcW w:w="2262" w:type="dxa"/>
            <w:hideMark/>
          </w:tcPr>
          <w:p w14:paraId="49DD4462"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Review/Comment</w:t>
            </w:r>
          </w:p>
        </w:tc>
      </w:tr>
      <w:tr w:rsidR="00432EEF" w:rsidRPr="00432EEF" w14:paraId="0C716AAF" w14:textId="77777777" w:rsidTr="00432EEF">
        <w:trPr>
          <w:trHeight w:val="408"/>
        </w:trPr>
        <w:tc>
          <w:tcPr>
            <w:tcW w:w="6232" w:type="dxa"/>
            <w:hideMark/>
          </w:tcPr>
          <w:p w14:paraId="217C9D0D"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Zhu. Scientific Reports. 2017;7.</w:t>
            </w:r>
          </w:p>
        </w:tc>
        <w:tc>
          <w:tcPr>
            <w:tcW w:w="2262" w:type="dxa"/>
            <w:hideMark/>
          </w:tcPr>
          <w:p w14:paraId="44A1C0E2"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Insufficient date</w:t>
            </w:r>
          </w:p>
        </w:tc>
      </w:tr>
      <w:tr w:rsidR="00432EEF" w:rsidRPr="00432EEF" w14:paraId="19F8676C" w14:textId="77777777" w:rsidTr="00432EEF">
        <w:trPr>
          <w:trHeight w:val="408"/>
        </w:trPr>
        <w:tc>
          <w:tcPr>
            <w:tcW w:w="6232" w:type="dxa"/>
            <w:hideMark/>
          </w:tcPr>
          <w:p w14:paraId="7616611C"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References from manual searching</w:t>
            </w:r>
          </w:p>
        </w:tc>
        <w:tc>
          <w:tcPr>
            <w:tcW w:w="2262" w:type="dxa"/>
            <w:hideMark/>
          </w:tcPr>
          <w:p w14:paraId="53986F73"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Reason</w:t>
            </w:r>
          </w:p>
        </w:tc>
      </w:tr>
      <w:tr w:rsidR="00432EEF" w:rsidRPr="00432EEF" w14:paraId="5737B371" w14:textId="77777777" w:rsidTr="00432EEF">
        <w:trPr>
          <w:trHeight w:val="408"/>
        </w:trPr>
        <w:tc>
          <w:tcPr>
            <w:tcW w:w="6232" w:type="dxa"/>
            <w:hideMark/>
          </w:tcPr>
          <w:p w14:paraId="69A44923"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Al-Mezaine. J Cataract Refract Surg. 2009;35(4):643-649.</w:t>
            </w:r>
          </w:p>
        </w:tc>
        <w:tc>
          <w:tcPr>
            <w:tcW w:w="2262" w:type="dxa"/>
            <w:hideMark/>
          </w:tcPr>
          <w:p w14:paraId="5E96B8AD"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Not for prophylaxis</w:t>
            </w:r>
          </w:p>
        </w:tc>
      </w:tr>
      <w:tr w:rsidR="00432EEF" w:rsidRPr="00432EEF" w14:paraId="1ADF9D35" w14:textId="77777777" w:rsidTr="00432EEF">
        <w:trPr>
          <w:trHeight w:val="408"/>
        </w:trPr>
        <w:tc>
          <w:tcPr>
            <w:tcW w:w="6232" w:type="dxa"/>
            <w:hideMark/>
          </w:tcPr>
          <w:p w14:paraId="0EEBD3CA" w14:textId="77777777" w:rsidR="00432EEF" w:rsidRPr="00432EEF" w:rsidRDefault="00432EEF" w:rsidP="00432EEF">
            <w:pPr>
              <w:widowControl/>
              <w:jc w:val="left"/>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Anijeet. Clin Ophthalmol. 2010;4:321-326.</w:t>
            </w:r>
          </w:p>
        </w:tc>
        <w:tc>
          <w:tcPr>
            <w:tcW w:w="2262" w:type="dxa"/>
            <w:hideMark/>
          </w:tcPr>
          <w:p w14:paraId="0828A8C7"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Duplicate date use</w:t>
            </w:r>
          </w:p>
        </w:tc>
      </w:tr>
      <w:tr w:rsidR="00432EEF" w:rsidRPr="00432EEF" w14:paraId="40147238" w14:textId="77777777" w:rsidTr="00432EEF">
        <w:trPr>
          <w:trHeight w:val="408"/>
        </w:trPr>
        <w:tc>
          <w:tcPr>
            <w:tcW w:w="6232" w:type="dxa"/>
            <w:hideMark/>
          </w:tcPr>
          <w:p w14:paraId="0F9EB59A"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Bainbridge. Br J Ophthalmol. 1998;82(11):1312-1315.</w:t>
            </w:r>
          </w:p>
        </w:tc>
        <w:tc>
          <w:tcPr>
            <w:tcW w:w="2262" w:type="dxa"/>
            <w:hideMark/>
          </w:tcPr>
          <w:p w14:paraId="56A98306"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 xml:space="preserve">Not for antibiotics </w:t>
            </w:r>
          </w:p>
        </w:tc>
      </w:tr>
      <w:tr w:rsidR="00432EEF" w:rsidRPr="00432EEF" w14:paraId="1CE3904E" w14:textId="77777777" w:rsidTr="00432EEF">
        <w:trPr>
          <w:trHeight w:val="408"/>
        </w:trPr>
        <w:tc>
          <w:tcPr>
            <w:tcW w:w="6232" w:type="dxa"/>
            <w:hideMark/>
          </w:tcPr>
          <w:p w14:paraId="6B6E9D8A"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Balent. Ophthalmic Surg Lasers. 2001;32:446-455.</w:t>
            </w:r>
          </w:p>
        </w:tc>
        <w:tc>
          <w:tcPr>
            <w:tcW w:w="2262" w:type="dxa"/>
            <w:hideMark/>
          </w:tcPr>
          <w:p w14:paraId="0D9EB71D"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 xml:space="preserve">Not for antibiotics </w:t>
            </w:r>
          </w:p>
        </w:tc>
      </w:tr>
      <w:tr w:rsidR="00432EEF" w:rsidRPr="00432EEF" w14:paraId="2C890FCE" w14:textId="77777777" w:rsidTr="00432EEF">
        <w:trPr>
          <w:trHeight w:val="408"/>
        </w:trPr>
        <w:tc>
          <w:tcPr>
            <w:tcW w:w="6232" w:type="dxa"/>
            <w:hideMark/>
          </w:tcPr>
          <w:p w14:paraId="6123BFB9"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Barreau. J Cataract Refract Surg. 2012;38(8):1370-1375.</w:t>
            </w:r>
          </w:p>
        </w:tc>
        <w:tc>
          <w:tcPr>
            <w:tcW w:w="2262" w:type="dxa"/>
            <w:hideMark/>
          </w:tcPr>
          <w:p w14:paraId="337F0FAC"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Duplicate date use</w:t>
            </w:r>
          </w:p>
        </w:tc>
      </w:tr>
      <w:tr w:rsidR="00432EEF" w:rsidRPr="00432EEF" w14:paraId="0259BAB2" w14:textId="77777777" w:rsidTr="00432EEF">
        <w:trPr>
          <w:trHeight w:val="408"/>
        </w:trPr>
        <w:tc>
          <w:tcPr>
            <w:tcW w:w="6232" w:type="dxa"/>
            <w:hideMark/>
          </w:tcPr>
          <w:p w14:paraId="21300EE8"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lastRenderedPageBreak/>
              <w:t>Barry. J Cataract Refract Surg. 2006;32(3):407-410.</w:t>
            </w:r>
          </w:p>
        </w:tc>
        <w:tc>
          <w:tcPr>
            <w:tcW w:w="2262" w:type="dxa"/>
            <w:hideMark/>
          </w:tcPr>
          <w:p w14:paraId="4BB88F2E"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Duplicate date use</w:t>
            </w:r>
          </w:p>
        </w:tc>
      </w:tr>
      <w:tr w:rsidR="00432EEF" w:rsidRPr="00432EEF" w14:paraId="7A392B17" w14:textId="77777777" w:rsidTr="00432EEF">
        <w:trPr>
          <w:trHeight w:val="408"/>
        </w:trPr>
        <w:tc>
          <w:tcPr>
            <w:tcW w:w="6232" w:type="dxa"/>
            <w:hideMark/>
          </w:tcPr>
          <w:p w14:paraId="475BF01E"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Barry. J Cataract Refract Surg. 2006;32(3):407-410.</w:t>
            </w:r>
          </w:p>
        </w:tc>
        <w:tc>
          <w:tcPr>
            <w:tcW w:w="2262" w:type="dxa"/>
            <w:hideMark/>
          </w:tcPr>
          <w:p w14:paraId="2D17843F"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Duplicate date use</w:t>
            </w:r>
          </w:p>
        </w:tc>
      </w:tr>
      <w:tr w:rsidR="00432EEF" w:rsidRPr="00432EEF" w14:paraId="7D80B02E" w14:textId="77777777" w:rsidTr="00432EEF">
        <w:trPr>
          <w:trHeight w:val="408"/>
        </w:trPr>
        <w:tc>
          <w:tcPr>
            <w:tcW w:w="6232" w:type="dxa"/>
            <w:hideMark/>
          </w:tcPr>
          <w:p w14:paraId="7E37191F"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Benoist d'Azy. PLoS One. 2016;11(6):e0156431.</w:t>
            </w:r>
          </w:p>
        </w:tc>
        <w:tc>
          <w:tcPr>
            <w:tcW w:w="2262" w:type="dxa"/>
            <w:hideMark/>
          </w:tcPr>
          <w:p w14:paraId="22CBBF90"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 xml:space="preserve">Not for cataract </w:t>
            </w:r>
          </w:p>
        </w:tc>
      </w:tr>
      <w:tr w:rsidR="00432EEF" w:rsidRPr="00432EEF" w14:paraId="7918AFE2" w14:textId="77777777" w:rsidTr="00432EEF">
        <w:trPr>
          <w:trHeight w:val="408"/>
        </w:trPr>
        <w:tc>
          <w:tcPr>
            <w:tcW w:w="6232" w:type="dxa"/>
            <w:hideMark/>
          </w:tcPr>
          <w:p w14:paraId="4CF3CFBE"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Cao. PLoS One. 2013;8(8):e71731.</w:t>
            </w:r>
          </w:p>
        </w:tc>
        <w:tc>
          <w:tcPr>
            <w:tcW w:w="2262" w:type="dxa"/>
            <w:hideMark/>
          </w:tcPr>
          <w:p w14:paraId="40758FC1"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 xml:space="preserve">Review/Comment </w:t>
            </w:r>
          </w:p>
        </w:tc>
      </w:tr>
      <w:tr w:rsidR="00432EEF" w:rsidRPr="00432EEF" w14:paraId="56346FB3" w14:textId="77777777" w:rsidTr="00432EEF">
        <w:trPr>
          <w:trHeight w:val="408"/>
        </w:trPr>
        <w:tc>
          <w:tcPr>
            <w:tcW w:w="6232" w:type="dxa"/>
            <w:hideMark/>
          </w:tcPr>
          <w:p w14:paraId="432069F6"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Cataract Management Guideline Panel.US Department of Health and Human Services Agency for Health Care Policy and Research. AHCPR Publication. 1993;93-0541:</w:t>
            </w:r>
          </w:p>
        </w:tc>
        <w:tc>
          <w:tcPr>
            <w:tcW w:w="2262" w:type="dxa"/>
            <w:hideMark/>
          </w:tcPr>
          <w:p w14:paraId="4D8DDBC2"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Protocol</w:t>
            </w:r>
          </w:p>
        </w:tc>
      </w:tr>
      <w:tr w:rsidR="00432EEF" w:rsidRPr="00432EEF" w14:paraId="76195CC0" w14:textId="77777777" w:rsidTr="00432EEF">
        <w:trPr>
          <w:trHeight w:val="408"/>
        </w:trPr>
        <w:tc>
          <w:tcPr>
            <w:tcW w:w="6232" w:type="dxa"/>
            <w:hideMark/>
          </w:tcPr>
          <w:p w14:paraId="34AE1825"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Cetinkay. International Eye Science. 2015;15:1680-1683.</w:t>
            </w:r>
          </w:p>
        </w:tc>
        <w:tc>
          <w:tcPr>
            <w:tcW w:w="2262" w:type="dxa"/>
            <w:hideMark/>
          </w:tcPr>
          <w:p w14:paraId="15E10F6C"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Duplicate date use</w:t>
            </w:r>
          </w:p>
        </w:tc>
      </w:tr>
      <w:tr w:rsidR="00432EEF" w:rsidRPr="00432EEF" w14:paraId="52A98B37" w14:textId="77777777" w:rsidTr="00432EEF">
        <w:trPr>
          <w:trHeight w:val="408"/>
        </w:trPr>
        <w:tc>
          <w:tcPr>
            <w:tcW w:w="6232" w:type="dxa"/>
            <w:hideMark/>
          </w:tcPr>
          <w:p w14:paraId="46082CA2"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Chalmers. BMJ. 1992;305:786-8.</w:t>
            </w:r>
          </w:p>
        </w:tc>
        <w:tc>
          <w:tcPr>
            <w:tcW w:w="2262" w:type="dxa"/>
            <w:hideMark/>
          </w:tcPr>
          <w:p w14:paraId="42A5187F"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Not for prophylaxis</w:t>
            </w:r>
          </w:p>
        </w:tc>
      </w:tr>
      <w:tr w:rsidR="00432EEF" w:rsidRPr="00432EEF" w14:paraId="0B1CD58B" w14:textId="77777777" w:rsidTr="00432EEF">
        <w:trPr>
          <w:trHeight w:val="408"/>
        </w:trPr>
        <w:tc>
          <w:tcPr>
            <w:tcW w:w="6232" w:type="dxa"/>
            <w:hideMark/>
          </w:tcPr>
          <w:p w14:paraId="4D4E96F8"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Colleaux. Can J Ophthalmol. 2000;35(7):373-378.</w:t>
            </w:r>
          </w:p>
        </w:tc>
        <w:tc>
          <w:tcPr>
            <w:tcW w:w="2262" w:type="dxa"/>
            <w:hideMark/>
          </w:tcPr>
          <w:p w14:paraId="5B0287B3"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Duplicate date use</w:t>
            </w:r>
          </w:p>
        </w:tc>
      </w:tr>
      <w:tr w:rsidR="00432EEF" w:rsidRPr="00432EEF" w14:paraId="0B68534F" w14:textId="77777777" w:rsidTr="00432EEF">
        <w:trPr>
          <w:trHeight w:val="408"/>
        </w:trPr>
        <w:tc>
          <w:tcPr>
            <w:tcW w:w="6232" w:type="dxa"/>
            <w:hideMark/>
          </w:tcPr>
          <w:p w14:paraId="6C38DE1B"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Colleaux. Can J Ophthalmol. 2000;35(7):373-378.</w:t>
            </w:r>
          </w:p>
        </w:tc>
        <w:tc>
          <w:tcPr>
            <w:tcW w:w="2262" w:type="dxa"/>
            <w:hideMark/>
          </w:tcPr>
          <w:p w14:paraId="5CAD9CE1"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Duplicate date use</w:t>
            </w:r>
          </w:p>
        </w:tc>
      </w:tr>
      <w:tr w:rsidR="00432EEF" w:rsidRPr="00432EEF" w14:paraId="6CC0EA4A" w14:textId="77777777" w:rsidTr="00432EEF">
        <w:trPr>
          <w:trHeight w:val="408"/>
        </w:trPr>
        <w:tc>
          <w:tcPr>
            <w:tcW w:w="6232" w:type="dxa"/>
            <w:hideMark/>
          </w:tcPr>
          <w:p w14:paraId="3C50C2EF"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Cooper. Am J Ophthalmol. 2003;136(2):300-305.</w:t>
            </w:r>
          </w:p>
        </w:tc>
        <w:tc>
          <w:tcPr>
            <w:tcW w:w="2262" w:type="dxa"/>
            <w:hideMark/>
          </w:tcPr>
          <w:p w14:paraId="01531E60"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 xml:space="preserve">Not for antibiotics </w:t>
            </w:r>
          </w:p>
        </w:tc>
      </w:tr>
      <w:tr w:rsidR="00432EEF" w:rsidRPr="00432EEF" w14:paraId="582C8472" w14:textId="77777777" w:rsidTr="00432EEF">
        <w:trPr>
          <w:trHeight w:val="408"/>
        </w:trPr>
        <w:tc>
          <w:tcPr>
            <w:tcW w:w="6232" w:type="dxa"/>
            <w:hideMark/>
          </w:tcPr>
          <w:p w14:paraId="3FE91989"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Coskun. J Ocul Pharmacol Ther. 2011;27:589-592.</w:t>
            </w:r>
          </w:p>
        </w:tc>
        <w:tc>
          <w:tcPr>
            <w:tcW w:w="2262" w:type="dxa"/>
            <w:hideMark/>
          </w:tcPr>
          <w:p w14:paraId="6C857D80"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Not for POE</w:t>
            </w:r>
          </w:p>
        </w:tc>
      </w:tr>
      <w:tr w:rsidR="00432EEF" w:rsidRPr="00432EEF" w14:paraId="6BDD21C9" w14:textId="77777777" w:rsidTr="00432EEF">
        <w:trPr>
          <w:trHeight w:val="408"/>
        </w:trPr>
        <w:tc>
          <w:tcPr>
            <w:tcW w:w="6232" w:type="dxa"/>
            <w:hideMark/>
          </w:tcPr>
          <w:p w14:paraId="3EE1E773"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Das. Ophthalmol. 2012;298459</w:t>
            </w:r>
          </w:p>
        </w:tc>
        <w:tc>
          <w:tcPr>
            <w:tcW w:w="2262" w:type="dxa"/>
            <w:hideMark/>
          </w:tcPr>
          <w:p w14:paraId="7B78FF0A"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Not for prophylaxis</w:t>
            </w:r>
          </w:p>
        </w:tc>
      </w:tr>
      <w:tr w:rsidR="00432EEF" w:rsidRPr="00432EEF" w14:paraId="333500B4" w14:textId="77777777" w:rsidTr="00432EEF">
        <w:trPr>
          <w:trHeight w:val="408"/>
        </w:trPr>
        <w:tc>
          <w:tcPr>
            <w:tcW w:w="6232" w:type="dxa"/>
            <w:hideMark/>
          </w:tcPr>
          <w:p w14:paraId="1D65FF4D"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Deng. J Cataract Refract Surg. 2013;39:497-500.</w:t>
            </w:r>
          </w:p>
        </w:tc>
        <w:tc>
          <w:tcPr>
            <w:tcW w:w="2262" w:type="dxa"/>
            <w:hideMark/>
          </w:tcPr>
          <w:p w14:paraId="6CFFFA5F"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 xml:space="preserve">Not for antibiotics </w:t>
            </w:r>
          </w:p>
        </w:tc>
      </w:tr>
      <w:tr w:rsidR="00432EEF" w:rsidRPr="00432EEF" w14:paraId="15CBE743" w14:textId="77777777" w:rsidTr="00432EEF">
        <w:trPr>
          <w:trHeight w:val="408"/>
        </w:trPr>
        <w:tc>
          <w:tcPr>
            <w:tcW w:w="6232" w:type="dxa"/>
            <w:hideMark/>
          </w:tcPr>
          <w:p w14:paraId="1368CC57"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Doft.Arch Ophthalmo. 2001;119(5):650-656.</w:t>
            </w:r>
          </w:p>
        </w:tc>
        <w:tc>
          <w:tcPr>
            <w:tcW w:w="2262" w:type="dxa"/>
            <w:hideMark/>
          </w:tcPr>
          <w:p w14:paraId="3673DC01"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Not for prophylaxis</w:t>
            </w:r>
          </w:p>
        </w:tc>
      </w:tr>
      <w:tr w:rsidR="00432EEF" w:rsidRPr="00432EEF" w14:paraId="58E0CB3B" w14:textId="77777777" w:rsidTr="00432EEF">
        <w:trPr>
          <w:trHeight w:val="408"/>
        </w:trPr>
        <w:tc>
          <w:tcPr>
            <w:tcW w:w="6232" w:type="dxa"/>
            <w:hideMark/>
          </w:tcPr>
          <w:p w14:paraId="4A73A119"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Ellis. Clin Experiment Ophthalmol. 2003;31(2):125-128.</w:t>
            </w:r>
          </w:p>
        </w:tc>
        <w:tc>
          <w:tcPr>
            <w:tcW w:w="2262" w:type="dxa"/>
            <w:hideMark/>
          </w:tcPr>
          <w:p w14:paraId="50F818EB"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Not for antibiotics</w:t>
            </w:r>
          </w:p>
        </w:tc>
      </w:tr>
      <w:tr w:rsidR="00432EEF" w:rsidRPr="00432EEF" w14:paraId="6851CF21" w14:textId="77777777" w:rsidTr="00432EEF">
        <w:trPr>
          <w:trHeight w:val="408"/>
        </w:trPr>
        <w:tc>
          <w:tcPr>
            <w:tcW w:w="6232" w:type="dxa"/>
            <w:hideMark/>
          </w:tcPr>
          <w:p w14:paraId="42E18ACC" w14:textId="77777777" w:rsidR="00432EEF" w:rsidRPr="00432EEF" w:rsidRDefault="00432EEF" w:rsidP="00432EEF">
            <w:pPr>
              <w:widowControl/>
              <w:jc w:val="left"/>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Endophthalmitis Study Group. J Cataract Refract Surg. 2007;33:978-988.</w:t>
            </w:r>
          </w:p>
        </w:tc>
        <w:tc>
          <w:tcPr>
            <w:tcW w:w="2262" w:type="dxa"/>
            <w:hideMark/>
          </w:tcPr>
          <w:p w14:paraId="61969152"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Duplicate date use</w:t>
            </w:r>
          </w:p>
        </w:tc>
      </w:tr>
      <w:tr w:rsidR="00432EEF" w:rsidRPr="00432EEF" w14:paraId="0980D2B1" w14:textId="77777777" w:rsidTr="00432EEF">
        <w:trPr>
          <w:trHeight w:val="408"/>
        </w:trPr>
        <w:tc>
          <w:tcPr>
            <w:tcW w:w="6232" w:type="dxa"/>
            <w:hideMark/>
          </w:tcPr>
          <w:p w14:paraId="258404C0" w14:textId="77777777" w:rsidR="00432EEF" w:rsidRPr="00432EEF" w:rsidRDefault="00432EEF" w:rsidP="00432EEF">
            <w:pPr>
              <w:widowControl/>
              <w:jc w:val="left"/>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Endophthalmitis Study Group. J Cataract Refract Surg. 2007;33:978-988.</w:t>
            </w:r>
          </w:p>
        </w:tc>
        <w:tc>
          <w:tcPr>
            <w:tcW w:w="2262" w:type="dxa"/>
            <w:hideMark/>
          </w:tcPr>
          <w:p w14:paraId="54B6F278"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Duplicate date use</w:t>
            </w:r>
          </w:p>
        </w:tc>
      </w:tr>
      <w:tr w:rsidR="00432EEF" w:rsidRPr="00432EEF" w14:paraId="675934E1" w14:textId="77777777" w:rsidTr="00432EEF">
        <w:trPr>
          <w:trHeight w:val="408"/>
        </w:trPr>
        <w:tc>
          <w:tcPr>
            <w:tcW w:w="6232" w:type="dxa"/>
            <w:hideMark/>
          </w:tcPr>
          <w:p w14:paraId="2E1F95C3"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ESCRS. J Cataract Refract Surg. 2007;3:978-988.</w:t>
            </w:r>
          </w:p>
        </w:tc>
        <w:tc>
          <w:tcPr>
            <w:tcW w:w="2262" w:type="dxa"/>
            <w:hideMark/>
          </w:tcPr>
          <w:p w14:paraId="0CC11BEE"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Duplicate date use</w:t>
            </w:r>
          </w:p>
        </w:tc>
      </w:tr>
      <w:tr w:rsidR="00432EEF" w:rsidRPr="00432EEF" w14:paraId="2D6FD1C8" w14:textId="77777777" w:rsidTr="00432EEF">
        <w:trPr>
          <w:trHeight w:val="408"/>
        </w:trPr>
        <w:tc>
          <w:tcPr>
            <w:tcW w:w="6232" w:type="dxa"/>
            <w:hideMark/>
          </w:tcPr>
          <w:p w14:paraId="644E7726" w14:textId="77777777" w:rsidR="00432EEF" w:rsidRPr="00432EEF" w:rsidRDefault="00432EEF" w:rsidP="00432EEF">
            <w:pPr>
              <w:widowControl/>
              <w:jc w:val="left"/>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Evidence-Based Medicine Working Group. JAMA. 1992;268: 2420-5.</w:t>
            </w:r>
          </w:p>
        </w:tc>
        <w:tc>
          <w:tcPr>
            <w:tcW w:w="2262" w:type="dxa"/>
            <w:hideMark/>
          </w:tcPr>
          <w:p w14:paraId="313DDDB9"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Not for prophylaxis</w:t>
            </w:r>
          </w:p>
        </w:tc>
      </w:tr>
      <w:tr w:rsidR="00432EEF" w:rsidRPr="00432EEF" w14:paraId="4752FC0E" w14:textId="77777777" w:rsidTr="00432EEF">
        <w:trPr>
          <w:trHeight w:val="408"/>
        </w:trPr>
        <w:tc>
          <w:tcPr>
            <w:tcW w:w="6232" w:type="dxa"/>
            <w:hideMark/>
          </w:tcPr>
          <w:p w14:paraId="35CFBBC0" w14:textId="77777777" w:rsidR="00432EEF" w:rsidRPr="00432EEF" w:rsidRDefault="00432EEF" w:rsidP="00432EEF">
            <w:pPr>
              <w:widowControl/>
              <w:jc w:val="left"/>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Fileta. Ophthalmic Surg Lasers Imaging Retina. 2014;8(8):e71731.</w:t>
            </w:r>
          </w:p>
        </w:tc>
        <w:tc>
          <w:tcPr>
            <w:tcW w:w="2262" w:type="dxa"/>
            <w:hideMark/>
          </w:tcPr>
          <w:p w14:paraId="7D628345"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 xml:space="preserve">Not for cataract </w:t>
            </w:r>
          </w:p>
        </w:tc>
      </w:tr>
      <w:tr w:rsidR="00432EEF" w:rsidRPr="00432EEF" w14:paraId="70F0DA25" w14:textId="77777777" w:rsidTr="00432EEF">
        <w:trPr>
          <w:trHeight w:val="408"/>
        </w:trPr>
        <w:tc>
          <w:tcPr>
            <w:tcW w:w="6232" w:type="dxa"/>
            <w:hideMark/>
          </w:tcPr>
          <w:p w14:paraId="559C8704"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Freeman. Arch Ophthalmol. 2010;128(2):230-234.</w:t>
            </w:r>
          </w:p>
        </w:tc>
        <w:tc>
          <w:tcPr>
            <w:tcW w:w="2262" w:type="dxa"/>
            <w:hideMark/>
          </w:tcPr>
          <w:p w14:paraId="70F48DCD"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Not for antibiotics</w:t>
            </w:r>
          </w:p>
        </w:tc>
      </w:tr>
      <w:tr w:rsidR="00432EEF" w:rsidRPr="00432EEF" w14:paraId="77F70612" w14:textId="77777777" w:rsidTr="00432EEF">
        <w:trPr>
          <w:trHeight w:val="408"/>
        </w:trPr>
        <w:tc>
          <w:tcPr>
            <w:tcW w:w="6232" w:type="dxa"/>
            <w:hideMark/>
          </w:tcPr>
          <w:p w14:paraId="62EDB433"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Friling. J Cataract Refract Surg. 2013;39:15-21.</w:t>
            </w:r>
          </w:p>
        </w:tc>
        <w:tc>
          <w:tcPr>
            <w:tcW w:w="2262" w:type="dxa"/>
            <w:hideMark/>
          </w:tcPr>
          <w:p w14:paraId="542704FB"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Duplicate date use</w:t>
            </w:r>
          </w:p>
        </w:tc>
      </w:tr>
      <w:tr w:rsidR="00432EEF" w:rsidRPr="00432EEF" w14:paraId="3A2E7BCA" w14:textId="77777777" w:rsidTr="00432EEF">
        <w:trPr>
          <w:trHeight w:val="408"/>
        </w:trPr>
        <w:tc>
          <w:tcPr>
            <w:tcW w:w="6232" w:type="dxa"/>
            <w:hideMark/>
          </w:tcPr>
          <w:p w14:paraId="5AB0C82A"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Garat. J Cataract Refract Surg. 2009;35(4):637-642.</w:t>
            </w:r>
          </w:p>
        </w:tc>
        <w:tc>
          <w:tcPr>
            <w:tcW w:w="2262" w:type="dxa"/>
            <w:hideMark/>
          </w:tcPr>
          <w:p w14:paraId="4AFBD530"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Duplicate date use</w:t>
            </w:r>
          </w:p>
        </w:tc>
      </w:tr>
      <w:tr w:rsidR="00432EEF" w:rsidRPr="00432EEF" w14:paraId="7AE6AAF5" w14:textId="77777777" w:rsidTr="00432EEF">
        <w:trPr>
          <w:trHeight w:val="408"/>
        </w:trPr>
        <w:tc>
          <w:tcPr>
            <w:tcW w:w="6232" w:type="dxa"/>
            <w:hideMark/>
          </w:tcPr>
          <w:p w14:paraId="244FB6B2"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García Collado. Aten Farm. 2008;10(1):44-47.</w:t>
            </w:r>
          </w:p>
        </w:tc>
        <w:tc>
          <w:tcPr>
            <w:tcW w:w="2262" w:type="dxa"/>
            <w:hideMark/>
          </w:tcPr>
          <w:p w14:paraId="21209AFD"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Non-English</w:t>
            </w:r>
          </w:p>
        </w:tc>
      </w:tr>
      <w:tr w:rsidR="00432EEF" w:rsidRPr="00432EEF" w14:paraId="6D056AF7" w14:textId="77777777" w:rsidTr="00432EEF">
        <w:trPr>
          <w:trHeight w:val="408"/>
        </w:trPr>
        <w:tc>
          <w:tcPr>
            <w:tcW w:w="6232" w:type="dxa"/>
            <w:hideMark/>
          </w:tcPr>
          <w:p w14:paraId="7E396B0B"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Garcia-Arumi. J Cataract Refract Surg. 2007;33(6):989-992.</w:t>
            </w:r>
          </w:p>
        </w:tc>
        <w:tc>
          <w:tcPr>
            <w:tcW w:w="2262" w:type="dxa"/>
            <w:hideMark/>
          </w:tcPr>
          <w:p w14:paraId="7BCC7084"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 xml:space="preserve">Not for prophylaxis </w:t>
            </w:r>
          </w:p>
        </w:tc>
      </w:tr>
      <w:tr w:rsidR="00432EEF" w:rsidRPr="00432EEF" w14:paraId="4FF1FA75" w14:textId="77777777" w:rsidTr="00432EEF">
        <w:trPr>
          <w:trHeight w:val="408"/>
        </w:trPr>
        <w:tc>
          <w:tcPr>
            <w:tcW w:w="6232" w:type="dxa"/>
            <w:hideMark/>
          </w:tcPr>
          <w:p w14:paraId="03E57F0B"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García-Sáenz. Arch Soc Esp Oftalmol. 2010;85(8):263-267.</w:t>
            </w:r>
          </w:p>
        </w:tc>
        <w:tc>
          <w:tcPr>
            <w:tcW w:w="2262" w:type="dxa"/>
            <w:hideMark/>
          </w:tcPr>
          <w:p w14:paraId="16477F79"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Non-English</w:t>
            </w:r>
          </w:p>
        </w:tc>
      </w:tr>
      <w:tr w:rsidR="00432EEF" w:rsidRPr="00432EEF" w14:paraId="4087433E" w14:textId="77777777" w:rsidTr="00432EEF">
        <w:trPr>
          <w:trHeight w:val="408"/>
        </w:trPr>
        <w:tc>
          <w:tcPr>
            <w:tcW w:w="6232" w:type="dxa"/>
            <w:hideMark/>
          </w:tcPr>
          <w:p w14:paraId="11222882"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García-Sáenz. J Cataract Refract Surg. 2010;36:203-207.</w:t>
            </w:r>
          </w:p>
        </w:tc>
        <w:tc>
          <w:tcPr>
            <w:tcW w:w="2262" w:type="dxa"/>
            <w:hideMark/>
          </w:tcPr>
          <w:p w14:paraId="6678BA12"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Duplicate date use</w:t>
            </w:r>
          </w:p>
        </w:tc>
      </w:tr>
      <w:tr w:rsidR="00432EEF" w:rsidRPr="00432EEF" w14:paraId="1529BF42" w14:textId="77777777" w:rsidTr="00432EEF">
        <w:trPr>
          <w:trHeight w:val="408"/>
        </w:trPr>
        <w:tc>
          <w:tcPr>
            <w:tcW w:w="6232" w:type="dxa"/>
            <w:hideMark/>
          </w:tcPr>
          <w:p w14:paraId="202B8149"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Halachmi-Eyal. J Cataract Refract Surg. 2009;35:2109-2114.</w:t>
            </w:r>
          </w:p>
        </w:tc>
        <w:tc>
          <w:tcPr>
            <w:tcW w:w="2262" w:type="dxa"/>
            <w:hideMark/>
          </w:tcPr>
          <w:p w14:paraId="400B863E"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Not for POE</w:t>
            </w:r>
          </w:p>
        </w:tc>
      </w:tr>
      <w:tr w:rsidR="00432EEF" w:rsidRPr="00432EEF" w14:paraId="61FA1BDC" w14:textId="77777777" w:rsidTr="00432EEF">
        <w:trPr>
          <w:trHeight w:val="408"/>
        </w:trPr>
        <w:tc>
          <w:tcPr>
            <w:tcW w:w="6232" w:type="dxa"/>
            <w:hideMark/>
          </w:tcPr>
          <w:p w14:paraId="7D9B0C6F"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lastRenderedPageBreak/>
              <w:t>Haripriya. J Cataract Refract Surg. 2012;38:1360-1369.</w:t>
            </w:r>
          </w:p>
        </w:tc>
        <w:tc>
          <w:tcPr>
            <w:tcW w:w="2262" w:type="dxa"/>
            <w:hideMark/>
          </w:tcPr>
          <w:p w14:paraId="4038E6C6"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 xml:space="preserve">Not for antibiotics </w:t>
            </w:r>
          </w:p>
        </w:tc>
      </w:tr>
      <w:tr w:rsidR="00432EEF" w:rsidRPr="00432EEF" w14:paraId="0B125C5A" w14:textId="77777777" w:rsidTr="00432EEF">
        <w:trPr>
          <w:trHeight w:val="408"/>
        </w:trPr>
        <w:tc>
          <w:tcPr>
            <w:tcW w:w="6232" w:type="dxa"/>
            <w:hideMark/>
          </w:tcPr>
          <w:p w14:paraId="530BB045"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Haripriya. J Cataract Refract Surg. 2019;45:1226-1233.</w:t>
            </w:r>
          </w:p>
        </w:tc>
        <w:tc>
          <w:tcPr>
            <w:tcW w:w="2262" w:type="dxa"/>
            <w:hideMark/>
          </w:tcPr>
          <w:p w14:paraId="02762FBF"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Duplicate date use</w:t>
            </w:r>
          </w:p>
        </w:tc>
      </w:tr>
      <w:tr w:rsidR="00432EEF" w:rsidRPr="00432EEF" w14:paraId="1EDB3374" w14:textId="77777777" w:rsidTr="00432EEF">
        <w:trPr>
          <w:trHeight w:val="408"/>
        </w:trPr>
        <w:tc>
          <w:tcPr>
            <w:tcW w:w="6232" w:type="dxa"/>
            <w:hideMark/>
          </w:tcPr>
          <w:p w14:paraId="5A6D9162"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Haripriya. Ophthalmology.2016;123:302-308.</w:t>
            </w:r>
          </w:p>
        </w:tc>
        <w:tc>
          <w:tcPr>
            <w:tcW w:w="2262" w:type="dxa"/>
            <w:hideMark/>
          </w:tcPr>
          <w:p w14:paraId="386F3F46"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Duplicate date use</w:t>
            </w:r>
          </w:p>
        </w:tc>
      </w:tr>
      <w:tr w:rsidR="00432EEF" w:rsidRPr="00432EEF" w14:paraId="4CB9C47F" w14:textId="77777777" w:rsidTr="00432EEF">
        <w:trPr>
          <w:trHeight w:val="408"/>
        </w:trPr>
        <w:tc>
          <w:tcPr>
            <w:tcW w:w="6232" w:type="dxa"/>
            <w:hideMark/>
          </w:tcPr>
          <w:p w14:paraId="5A51A681"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Hatch. Ophthalmology. 2009;116(3):425-430.</w:t>
            </w:r>
          </w:p>
        </w:tc>
        <w:tc>
          <w:tcPr>
            <w:tcW w:w="2262" w:type="dxa"/>
            <w:hideMark/>
          </w:tcPr>
          <w:p w14:paraId="096D9A01"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Not for prophylaxis</w:t>
            </w:r>
          </w:p>
        </w:tc>
      </w:tr>
      <w:tr w:rsidR="00432EEF" w:rsidRPr="00432EEF" w14:paraId="500C7AED" w14:textId="77777777" w:rsidTr="00432EEF">
        <w:trPr>
          <w:trHeight w:val="408"/>
        </w:trPr>
        <w:tc>
          <w:tcPr>
            <w:tcW w:w="6232" w:type="dxa"/>
            <w:hideMark/>
          </w:tcPr>
          <w:p w14:paraId="0DB41574"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He. J Ocul Pharmacol Ther. 2009;25:373-378.</w:t>
            </w:r>
          </w:p>
        </w:tc>
        <w:tc>
          <w:tcPr>
            <w:tcW w:w="2262" w:type="dxa"/>
            <w:hideMark/>
          </w:tcPr>
          <w:p w14:paraId="50A7CA66"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Not for POE</w:t>
            </w:r>
          </w:p>
        </w:tc>
      </w:tr>
      <w:tr w:rsidR="00432EEF" w:rsidRPr="00432EEF" w14:paraId="3C58111B" w14:textId="77777777" w:rsidTr="00432EEF">
        <w:trPr>
          <w:trHeight w:val="408"/>
        </w:trPr>
        <w:tc>
          <w:tcPr>
            <w:tcW w:w="6232" w:type="dxa"/>
            <w:hideMark/>
          </w:tcPr>
          <w:p w14:paraId="09D4C811"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Hennig. Br J Ophthalmol. 2003;87:266-270.</w:t>
            </w:r>
          </w:p>
        </w:tc>
        <w:tc>
          <w:tcPr>
            <w:tcW w:w="2262" w:type="dxa"/>
            <w:hideMark/>
          </w:tcPr>
          <w:p w14:paraId="430BF237"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 xml:space="preserve">Not for antibiotics </w:t>
            </w:r>
          </w:p>
        </w:tc>
      </w:tr>
      <w:tr w:rsidR="00432EEF" w:rsidRPr="00432EEF" w14:paraId="3E373E11" w14:textId="77777777" w:rsidTr="00432EEF">
        <w:trPr>
          <w:trHeight w:val="408"/>
        </w:trPr>
        <w:tc>
          <w:tcPr>
            <w:tcW w:w="6232" w:type="dxa"/>
            <w:hideMark/>
          </w:tcPr>
          <w:p w14:paraId="19950C95"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Huang. PLoS One. 2016;11(11):e0166141.</w:t>
            </w:r>
          </w:p>
        </w:tc>
        <w:tc>
          <w:tcPr>
            <w:tcW w:w="2262" w:type="dxa"/>
            <w:hideMark/>
          </w:tcPr>
          <w:p w14:paraId="06106675"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 xml:space="preserve">Review/Comment </w:t>
            </w:r>
          </w:p>
        </w:tc>
      </w:tr>
      <w:tr w:rsidR="00432EEF" w:rsidRPr="00432EEF" w14:paraId="7088F543" w14:textId="77777777" w:rsidTr="00432EEF">
        <w:trPr>
          <w:trHeight w:val="408"/>
        </w:trPr>
        <w:tc>
          <w:tcPr>
            <w:tcW w:w="6232" w:type="dxa"/>
            <w:hideMark/>
          </w:tcPr>
          <w:p w14:paraId="6854E86B"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Hughes. Br J Ophthalmol. 1994;78:227-32.</w:t>
            </w:r>
          </w:p>
        </w:tc>
        <w:tc>
          <w:tcPr>
            <w:tcW w:w="2262" w:type="dxa"/>
            <w:hideMark/>
          </w:tcPr>
          <w:p w14:paraId="1C652D56"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 xml:space="preserve">Review/Comment </w:t>
            </w:r>
          </w:p>
        </w:tc>
      </w:tr>
      <w:tr w:rsidR="00432EEF" w:rsidRPr="00432EEF" w14:paraId="2CD8D933" w14:textId="77777777" w:rsidTr="00432EEF">
        <w:trPr>
          <w:trHeight w:val="408"/>
        </w:trPr>
        <w:tc>
          <w:tcPr>
            <w:tcW w:w="6232" w:type="dxa"/>
            <w:hideMark/>
          </w:tcPr>
          <w:p w14:paraId="5135EDF2"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Inoue. Jpn J Ophthalmol. 2008;52:151-161.</w:t>
            </w:r>
          </w:p>
        </w:tc>
        <w:tc>
          <w:tcPr>
            <w:tcW w:w="2262" w:type="dxa"/>
            <w:hideMark/>
          </w:tcPr>
          <w:p w14:paraId="1CF63841"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Not for POE</w:t>
            </w:r>
          </w:p>
        </w:tc>
      </w:tr>
      <w:tr w:rsidR="00432EEF" w:rsidRPr="00432EEF" w14:paraId="2A8F7CA5" w14:textId="77777777" w:rsidTr="00432EEF">
        <w:trPr>
          <w:trHeight w:val="408"/>
        </w:trPr>
        <w:tc>
          <w:tcPr>
            <w:tcW w:w="6232" w:type="dxa"/>
            <w:hideMark/>
          </w:tcPr>
          <w:p w14:paraId="16114D3A"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Jabbarvand. Ophthalmology. 2016;123:295-301.</w:t>
            </w:r>
          </w:p>
        </w:tc>
        <w:tc>
          <w:tcPr>
            <w:tcW w:w="2262" w:type="dxa"/>
            <w:hideMark/>
          </w:tcPr>
          <w:p w14:paraId="30CC596D"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Duplicate date use</w:t>
            </w:r>
          </w:p>
        </w:tc>
      </w:tr>
      <w:tr w:rsidR="00432EEF" w:rsidRPr="00432EEF" w14:paraId="5BC1BCB3" w14:textId="77777777" w:rsidTr="00432EEF">
        <w:trPr>
          <w:trHeight w:val="408"/>
        </w:trPr>
        <w:tc>
          <w:tcPr>
            <w:tcW w:w="6232" w:type="dxa"/>
            <w:hideMark/>
          </w:tcPr>
          <w:p w14:paraId="5DAD9BCF"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Javitt. Arch Ophthalmol. 1991;109(8):1085-1089.</w:t>
            </w:r>
          </w:p>
        </w:tc>
        <w:tc>
          <w:tcPr>
            <w:tcW w:w="2262" w:type="dxa"/>
            <w:hideMark/>
          </w:tcPr>
          <w:p w14:paraId="683F342E"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Duplicate date use</w:t>
            </w:r>
          </w:p>
        </w:tc>
      </w:tr>
      <w:tr w:rsidR="00432EEF" w:rsidRPr="00432EEF" w14:paraId="7D33E71E" w14:textId="77777777" w:rsidTr="00432EEF">
        <w:trPr>
          <w:trHeight w:val="408"/>
        </w:trPr>
        <w:tc>
          <w:tcPr>
            <w:tcW w:w="6232" w:type="dxa"/>
            <w:hideMark/>
          </w:tcPr>
          <w:p w14:paraId="3270FFC3"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Javitt. Arch Ophthalmol. 1991;109(8):1085-1089.</w:t>
            </w:r>
          </w:p>
        </w:tc>
        <w:tc>
          <w:tcPr>
            <w:tcW w:w="2262" w:type="dxa"/>
            <w:hideMark/>
          </w:tcPr>
          <w:p w14:paraId="3410A26C"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Duplicate date use</w:t>
            </w:r>
          </w:p>
        </w:tc>
      </w:tr>
      <w:tr w:rsidR="00432EEF" w:rsidRPr="00432EEF" w14:paraId="10596DED" w14:textId="77777777" w:rsidTr="00432EEF">
        <w:trPr>
          <w:trHeight w:val="408"/>
        </w:trPr>
        <w:tc>
          <w:tcPr>
            <w:tcW w:w="6232" w:type="dxa"/>
            <w:hideMark/>
          </w:tcPr>
          <w:p w14:paraId="4B365A97"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Javitt. Ophthalmology. 1994;100:100-6.</w:t>
            </w:r>
          </w:p>
        </w:tc>
        <w:tc>
          <w:tcPr>
            <w:tcW w:w="2262" w:type="dxa"/>
            <w:hideMark/>
          </w:tcPr>
          <w:p w14:paraId="7F3E33E2"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Not for prophylaxis</w:t>
            </w:r>
          </w:p>
        </w:tc>
      </w:tr>
      <w:tr w:rsidR="00432EEF" w:rsidRPr="00432EEF" w14:paraId="7E300138" w14:textId="77777777" w:rsidTr="00432EEF">
        <w:trPr>
          <w:trHeight w:val="408"/>
        </w:trPr>
        <w:tc>
          <w:tcPr>
            <w:tcW w:w="6232" w:type="dxa"/>
            <w:hideMark/>
          </w:tcPr>
          <w:p w14:paraId="51DAC449"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Kalpadakis. Eur J Ophthalmol. 2002;12(5):395-400.</w:t>
            </w:r>
          </w:p>
        </w:tc>
        <w:tc>
          <w:tcPr>
            <w:tcW w:w="2262" w:type="dxa"/>
            <w:hideMark/>
          </w:tcPr>
          <w:p w14:paraId="50A8FE48"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Not for antibiotics</w:t>
            </w:r>
          </w:p>
        </w:tc>
      </w:tr>
      <w:tr w:rsidR="00432EEF" w:rsidRPr="00432EEF" w14:paraId="0B822471" w14:textId="77777777" w:rsidTr="00432EEF">
        <w:trPr>
          <w:trHeight w:val="408"/>
        </w:trPr>
        <w:tc>
          <w:tcPr>
            <w:tcW w:w="6232" w:type="dxa"/>
            <w:hideMark/>
          </w:tcPr>
          <w:p w14:paraId="12ABC538"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Kamalarajah. Eye (Lond). 2007;21(5):580-586.</w:t>
            </w:r>
          </w:p>
        </w:tc>
        <w:tc>
          <w:tcPr>
            <w:tcW w:w="2262" w:type="dxa"/>
            <w:hideMark/>
          </w:tcPr>
          <w:p w14:paraId="62B9C331"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Not for antibiotics</w:t>
            </w:r>
          </w:p>
        </w:tc>
      </w:tr>
      <w:tr w:rsidR="00432EEF" w:rsidRPr="00432EEF" w14:paraId="3D3BC208" w14:textId="77777777" w:rsidTr="00432EEF">
        <w:trPr>
          <w:trHeight w:val="408"/>
        </w:trPr>
        <w:tc>
          <w:tcPr>
            <w:tcW w:w="6232" w:type="dxa"/>
            <w:hideMark/>
          </w:tcPr>
          <w:p w14:paraId="1ABCBD46"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Keay. Ophthalmology. 2012;119(5):914-922.</w:t>
            </w:r>
          </w:p>
        </w:tc>
        <w:tc>
          <w:tcPr>
            <w:tcW w:w="2262" w:type="dxa"/>
            <w:hideMark/>
          </w:tcPr>
          <w:p w14:paraId="55B5DF13"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Not for antbiotics</w:t>
            </w:r>
          </w:p>
        </w:tc>
      </w:tr>
      <w:tr w:rsidR="00432EEF" w:rsidRPr="00432EEF" w14:paraId="7ED19990" w14:textId="77777777" w:rsidTr="00432EEF">
        <w:trPr>
          <w:trHeight w:val="408"/>
        </w:trPr>
        <w:tc>
          <w:tcPr>
            <w:tcW w:w="6232" w:type="dxa"/>
            <w:hideMark/>
          </w:tcPr>
          <w:p w14:paraId="388F767D"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Khanna. BMJ Open. 2012;2:e001035.</w:t>
            </w:r>
          </w:p>
        </w:tc>
        <w:tc>
          <w:tcPr>
            <w:tcW w:w="2262" w:type="dxa"/>
            <w:hideMark/>
          </w:tcPr>
          <w:p w14:paraId="72C15B1F"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 xml:space="preserve">Not for antibiotics </w:t>
            </w:r>
          </w:p>
        </w:tc>
      </w:tr>
      <w:tr w:rsidR="00432EEF" w:rsidRPr="00432EEF" w14:paraId="57562100" w14:textId="77777777" w:rsidTr="00432EEF">
        <w:trPr>
          <w:trHeight w:val="408"/>
        </w:trPr>
        <w:tc>
          <w:tcPr>
            <w:tcW w:w="6232" w:type="dxa"/>
            <w:hideMark/>
          </w:tcPr>
          <w:p w14:paraId="49FD1954"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Lalitha. Ophthalmology. 2005;112(11):1884-1889.</w:t>
            </w:r>
          </w:p>
        </w:tc>
        <w:tc>
          <w:tcPr>
            <w:tcW w:w="2262" w:type="dxa"/>
            <w:hideMark/>
          </w:tcPr>
          <w:p w14:paraId="0DC19AA3"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Not for antibiotics</w:t>
            </w:r>
          </w:p>
        </w:tc>
      </w:tr>
      <w:tr w:rsidR="00432EEF" w:rsidRPr="00432EEF" w14:paraId="7348B7C8" w14:textId="77777777" w:rsidTr="00432EEF">
        <w:trPr>
          <w:trHeight w:val="408"/>
        </w:trPr>
        <w:tc>
          <w:tcPr>
            <w:tcW w:w="6232" w:type="dxa"/>
            <w:hideMark/>
          </w:tcPr>
          <w:p w14:paraId="1E3CE946" w14:textId="77777777" w:rsidR="00432EEF" w:rsidRPr="00432EEF" w:rsidRDefault="00432EEF" w:rsidP="00432EEF">
            <w:pPr>
              <w:widowControl/>
              <w:jc w:val="left"/>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Lane. J Cataract Refract Surg . 2008;34(9):1451-1459.</w:t>
            </w:r>
          </w:p>
        </w:tc>
        <w:tc>
          <w:tcPr>
            <w:tcW w:w="2262" w:type="dxa"/>
            <w:hideMark/>
          </w:tcPr>
          <w:p w14:paraId="21CDE7F7"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Not for POE</w:t>
            </w:r>
          </w:p>
        </w:tc>
      </w:tr>
      <w:tr w:rsidR="00432EEF" w:rsidRPr="00432EEF" w14:paraId="38E0C8C6" w14:textId="77777777" w:rsidTr="00432EEF">
        <w:trPr>
          <w:trHeight w:val="408"/>
        </w:trPr>
        <w:tc>
          <w:tcPr>
            <w:tcW w:w="6232" w:type="dxa"/>
            <w:hideMark/>
          </w:tcPr>
          <w:p w14:paraId="47BF77AE"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Lertsumitkul. Ophthalmol. 2001;29(6):400-405.</w:t>
            </w:r>
          </w:p>
        </w:tc>
        <w:tc>
          <w:tcPr>
            <w:tcW w:w="2262" w:type="dxa"/>
            <w:hideMark/>
          </w:tcPr>
          <w:p w14:paraId="175F2A27"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Not for antibiotics</w:t>
            </w:r>
          </w:p>
        </w:tc>
      </w:tr>
      <w:tr w:rsidR="00432EEF" w:rsidRPr="00432EEF" w14:paraId="77D8CAA4" w14:textId="77777777" w:rsidTr="00432EEF">
        <w:trPr>
          <w:trHeight w:val="408"/>
        </w:trPr>
        <w:tc>
          <w:tcPr>
            <w:tcW w:w="6232" w:type="dxa"/>
            <w:hideMark/>
          </w:tcPr>
          <w:p w14:paraId="22832D06"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Li. Invest Ophthalmol Vis Sci. 2004;45(5):1321-1328.</w:t>
            </w:r>
          </w:p>
        </w:tc>
        <w:tc>
          <w:tcPr>
            <w:tcW w:w="2262" w:type="dxa"/>
            <w:hideMark/>
          </w:tcPr>
          <w:p w14:paraId="1D62F189"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 xml:space="preserve">Not for antibiotics </w:t>
            </w:r>
          </w:p>
        </w:tc>
      </w:tr>
      <w:tr w:rsidR="00432EEF" w:rsidRPr="00432EEF" w14:paraId="7357230F" w14:textId="77777777" w:rsidTr="00432EEF">
        <w:trPr>
          <w:trHeight w:val="408"/>
        </w:trPr>
        <w:tc>
          <w:tcPr>
            <w:tcW w:w="6232" w:type="dxa"/>
            <w:hideMark/>
          </w:tcPr>
          <w:p w14:paraId="52E2E66B"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Li. J Cataract Refract Surg. 2015;41:724-731.</w:t>
            </w:r>
          </w:p>
        </w:tc>
        <w:tc>
          <w:tcPr>
            <w:tcW w:w="2262" w:type="dxa"/>
            <w:hideMark/>
          </w:tcPr>
          <w:p w14:paraId="65AE85FD"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Not for POE</w:t>
            </w:r>
          </w:p>
        </w:tc>
      </w:tr>
      <w:tr w:rsidR="00432EEF" w:rsidRPr="00432EEF" w14:paraId="2F495A07" w14:textId="77777777" w:rsidTr="00432EEF">
        <w:trPr>
          <w:trHeight w:val="408"/>
        </w:trPr>
        <w:tc>
          <w:tcPr>
            <w:tcW w:w="6232" w:type="dxa"/>
            <w:hideMark/>
          </w:tcPr>
          <w:p w14:paraId="70E8E2B8"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Linertová. Clin Ophthalmol. 2014;14(8):1515-22.</w:t>
            </w:r>
          </w:p>
        </w:tc>
        <w:tc>
          <w:tcPr>
            <w:tcW w:w="2262" w:type="dxa"/>
            <w:hideMark/>
          </w:tcPr>
          <w:p w14:paraId="314E98D1"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 xml:space="preserve">Review/Comment </w:t>
            </w:r>
          </w:p>
        </w:tc>
      </w:tr>
      <w:tr w:rsidR="00432EEF" w:rsidRPr="00432EEF" w14:paraId="56589411" w14:textId="77777777" w:rsidTr="00432EEF">
        <w:trPr>
          <w:trHeight w:val="408"/>
        </w:trPr>
        <w:tc>
          <w:tcPr>
            <w:tcW w:w="6232" w:type="dxa"/>
            <w:hideMark/>
          </w:tcPr>
          <w:p w14:paraId="2C0F78B0"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Lloyd. Can J Ophthalmol. 2009;44(3):288-292.</w:t>
            </w:r>
          </w:p>
        </w:tc>
        <w:tc>
          <w:tcPr>
            <w:tcW w:w="2262" w:type="dxa"/>
            <w:hideMark/>
          </w:tcPr>
          <w:p w14:paraId="6895CFFA"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Duplicate date use</w:t>
            </w:r>
          </w:p>
        </w:tc>
      </w:tr>
      <w:tr w:rsidR="00432EEF" w:rsidRPr="00432EEF" w14:paraId="6F57724E" w14:textId="77777777" w:rsidTr="00432EEF">
        <w:trPr>
          <w:trHeight w:val="408"/>
        </w:trPr>
        <w:tc>
          <w:tcPr>
            <w:tcW w:w="6232" w:type="dxa"/>
            <w:hideMark/>
          </w:tcPr>
          <w:p w14:paraId="1F353FBF"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Lundström. Ophthalmology. 2007;114(5):866-870.</w:t>
            </w:r>
          </w:p>
        </w:tc>
        <w:tc>
          <w:tcPr>
            <w:tcW w:w="2262" w:type="dxa"/>
            <w:hideMark/>
          </w:tcPr>
          <w:p w14:paraId="58DB479F"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Duplicate date use</w:t>
            </w:r>
          </w:p>
        </w:tc>
      </w:tr>
      <w:tr w:rsidR="00432EEF" w:rsidRPr="00432EEF" w14:paraId="63045551" w14:textId="77777777" w:rsidTr="00432EEF">
        <w:trPr>
          <w:trHeight w:val="408"/>
        </w:trPr>
        <w:tc>
          <w:tcPr>
            <w:tcW w:w="6232" w:type="dxa"/>
            <w:hideMark/>
          </w:tcPr>
          <w:p w14:paraId="08C9087C" w14:textId="77777777" w:rsidR="00432EEF" w:rsidRPr="00432EEF" w:rsidRDefault="00432EEF" w:rsidP="00432EEF">
            <w:pPr>
              <w:widowControl/>
              <w:jc w:val="left"/>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Matsuura. J Cataract Refract Surg . 2013;39(11):1702-1706.</w:t>
            </w:r>
          </w:p>
        </w:tc>
        <w:tc>
          <w:tcPr>
            <w:tcW w:w="2262" w:type="dxa"/>
            <w:hideMark/>
          </w:tcPr>
          <w:p w14:paraId="23573120"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Duplicate date use</w:t>
            </w:r>
          </w:p>
        </w:tc>
      </w:tr>
      <w:tr w:rsidR="00432EEF" w:rsidRPr="00432EEF" w14:paraId="27CF910D" w14:textId="77777777" w:rsidTr="00432EEF">
        <w:trPr>
          <w:trHeight w:val="408"/>
        </w:trPr>
        <w:tc>
          <w:tcPr>
            <w:tcW w:w="6232" w:type="dxa"/>
            <w:hideMark/>
          </w:tcPr>
          <w:p w14:paraId="3849E336" w14:textId="77777777" w:rsidR="00432EEF" w:rsidRPr="00432EEF" w:rsidRDefault="00432EEF" w:rsidP="00432EEF">
            <w:pPr>
              <w:widowControl/>
              <w:jc w:val="left"/>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Matsuura. J Ocul Pharmacol Ther. 2014;30(9):771-776.</w:t>
            </w:r>
          </w:p>
        </w:tc>
        <w:tc>
          <w:tcPr>
            <w:tcW w:w="2262" w:type="dxa"/>
            <w:hideMark/>
          </w:tcPr>
          <w:p w14:paraId="059E5FD8"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Not for POE</w:t>
            </w:r>
          </w:p>
        </w:tc>
      </w:tr>
      <w:tr w:rsidR="00432EEF" w:rsidRPr="00432EEF" w14:paraId="398DE9C9" w14:textId="77777777" w:rsidTr="00432EEF">
        <w:trPr>
          <w:trHeight w:val="408"/>
        </w:trPr>
        <w:tc>
          <w:tcPr>
            <w:tcW w:w="6232" w:type="dxa"/>
            <w:hideMark/>
          </w:tcPr>
          <w:p w14:paraId="60FC604F"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Mayer. Br J Ophthalmol. 2003;87(7):867-869.</w:t>
            </w:r>
          </w:p>
        </w:tc>
        <w:tc>
          <w:tcPr>
            <w:tcW w:w="2262" w:type="dxa"/>
            <w:hideMark/>
          </w:tcPr>
          <w:p w14:paraId="4D07A691"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 xml:space="preserve">Not for antibiotics </w:t>
            </w:r>
          </w:p>
        </w:tc>
      </w:tr>
      <w:tr w:rsidR="00432EEF" w:rsidRPr="00432EEF" w14:paraId="71A02BD8" w14:textId="77777777" w:rsidTr="00432EEF">
        <w:trPr>
          <w:trHeight w:val="408"/>
        </w:trPr>
        <w:tc>
          <w:tcPr>
            <w:tcW w:w="6232" w:type="dxa"/>
            <w:hideMark/>
          </w:tcPr>
          <w:p w14:paraId="144E8715"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McCannel. Retina. 2011;31(4):654-61.</w:t>
            </w:r>
          </w:p>
        </w:tc>
        <w:tc>
          <w:tcPr>
            <w:tcW w:w="2262" w:type="dxa"/>
            <w:hideMark/>
          </w:tcPr>
          <w:p w14:paraId="23A0F9E9"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 xml:space="preserve">Not for cataract </w:t>
            </w:r>
          </w:p>
        </w:tc>
      </w:tr>
      <w:tr w:rsidR="00432EEF" w:rsidRPr="00432EEF" w14:paraId="142A361F" w14:textId="77777777" w:rsidTr="00432EEF">
        <w:trPr>
          <w:trHeight w:val="408"/>
        </w:trPr>
        <w:tc>
          <w:tcPr>
            <w:tcW w:w="6232" w:type="dxa"/>
            <w:hideMark/>
          </w:tcPr>
          <w:p w14:paraId="28BEF342"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McCarty. Br J Ophthalmol. 1997;81(2): 97-8.</w:t>
            </w:r>
          </w:p>
        </w:tc>
        <w:tc>
          <w:tcPr>
            <w:tcW w:w="2262" w:type="dxa"/>
            <w:hideMark/>
          </w:tcPr>
          <w:p w14:paraId="4086F322"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 xml:space="preserve">Review/Comment </w:t>
            </w:r>
          </w:p>
        </w:tc>
      </w:tr>
      <w:tr w:rsidR="00432EEF" w:rsidRPr="00432EEF" w14:paraId="1FD8C93F" w14:textId="77777777" w:rsidTr="00432EEF">
        <w:trPr>
          <w:trHeight w:val="408"/>
        </w:trPr>
        <w:tc>
          <w:tcPr>
            <w:tcW w:w="6232" w:type="dxa"/>
            <w:hideMark/>
          </w:tcPr>
          <w:p w14:paraId="326B03C7" w14:textId="77777777" w:rsidR="00432EEF" w:rsidRPr="00432EEF" w:rsidRDefault="00432EEF" w:rsidP="00432EEF">
            <w:pPr>
              <w:widowControl/>
              <w:jc w:val="left"/>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Melega. J Cataract Refract Surg. 2019;45(3):343-350.</w:t>
            </w:r>
          </w:p>
        </w:tc>
        <w:tc>
          <w:tcPr>
            <w:tcW w:w="2262" w:type="dxa"/>
            <w:hideMark/>
          </w:tcPr>
          <w:p w14:paraId="4E7CABD4"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Duplicate date use</w:t>
            </w:r>
          </w:p>
        </w:tc>
      </w:tr>
      <w:tr w:rsidR="00432EEF" w:rsidRPr="00432EEF" w14:paraId="7E8CA7B2" w14:textId="77777777" w:rsidTr="00432EEF">
        <w:trPr>
          <w:trHeight w:val="408"/>
        </w:trPr>
        <w:tc>
          <w:tcPr>
            <w:tcW w:w="6232" w:type="dxa"/>
            <w:hideMark/>
          </w:tcPr>
          <w:p w14:paraId="5AAD3892"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lastRenderedPageBreak/>
              <w:t>Menchini. Eye (Lond). 2018;32(9):1423-1431.</w:t>
            </w:r>
          </w:p>
        </w:tc>
        <w:tc>
          <w:tcPr>
            <w:tcW w:w="2262" w:type="dxa"/>
            <w:hideMark/>
          </w:tcPr>
          <w:p w14:paraId="42602C34"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 xml:space="preserve">Review/Comment </w:t>
            </w:r>
          </w:p>
        </w:tc>
      </w:tr>
      <w:tr w:rsidR="00432EEF" w:rsidRPr="00432EEF" w14:paraId="1D5B7A0F" w14:textId="77777777" w:rsidTr="00432EEF">
        <w:trPr>
          <w:trHeight w:val="408"/>
        </w:trPr>
        <w:tc>
          <w:tcPr>
            <w:tcW w:w="6232" w:type="dxa"/>
            <w:hideMark/>
          </w:tcPr>
          <w:p w14:paraId="750A4B93"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Miño de Kaspar. Am J Ophthalmol. 2008;145:136-142.</w:t>
            </w:r>
          </w:p>
        </w:tc>
        <w:tc>
          <w:tcPr>
            <w:tcW w:w="2262" w:type="dxa"/>
            <w:hideMark/>
          </w:tcPr>
          <w:p w14:paraId="2702469B"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Not for POE</w:t>
            </w:r>
          </w:p>
        </w:tc>
      </w:tr>
      <w:tr w:rsidR="00432EEF" w:rsidRPr="00432EEF" w14:paraId="0FC4A072" w14:textId="77777777" w:rsidTr="00432EEF">
        <w:trPr>
          <w:trHeight w:val="408"/>
        </w:trPr>
        <w:tc>
          <w:tcPr>
            <w:tcW w:w="6232" w:type="dxa"/>
            <w:hideMark/>
          </w:tcPr>
          <w:p w14:paraId="59664B71"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Mohan. Indian J Ophthalmol. 2017;65:1477-1482.</w:t>
            </w:r>
          </w:p>
        </w:tc>
        <w:tc>
          <w:tcPr>
            <w:tcW w:w="2262" w:type="dxa"/>
            <w:hideMark/>
          </w:tcPr>
          <w:p w14:paraId="44691E85"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 xml:space="preserve">Not for antibiotics </w:t>
            </w:r>
          </w:p>
        </w:tc>
      </w:tr>
      <w:tr w:rsidR="00432EEF" w:rsidRPr="00432EEF" w14:paraId="5C7E8D46" w14:textId="77777777" w:rsidTr="00432EEF">
        <w:trPr>
          <w:trHeight w:val="408"/>
        </w:trPr>
        <w:tc>
          <w:tcPr>
            <w:tcW w:w="6232" w:type="dxa"/>
            <w:hideMark/>
          </w:tcPr>
          <w:p w14:paraId="054BFDE0"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Montan. Acta Ophthalmol Scand. 2002;80(3):258-261.</w:t>
            </w:r>
          </w:p>
        </w:tc>
        <w:tc>
          <w:tcPr>
            <w:tcW w:w="2262" w:type="dxa"/>
            <w:hideMark/>
          </w:tcPr>
          <w:p w14:paraId="4F57204A"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Duplicate date use</w:t>
            </w:r>
          </w:p>
        </w:tc>
      </w:tr>
      <w:tr w:rsidR="00432EEF" w:rsidRPr="00432EEF" w14:paraId="627B2DF6" w14:textId="77777777" w:rsidTr="00432EEF">
        <w:trPr>
          <w:trHeight w:val="408"/>
        </w:trPr>
        <w:tc>
          <w:tcPr>
            <w:tcW w:w="6232" w:type="dxa"/>
            <w:hideMark/>
          </w:tcPr>
          <w:p w14:paraId="7DFEA0D3"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Montan. J Cataract Refract Surg. 2002;28:977-981.</w:t>
            </w:r>
          </w:p>
        </w:tc>
        <w:tc>
          <w:tcPr>
            <w:tcW w:w="2262" w:type="dxa"/>
            <w:hideMark/>
          </w:tcPr>
          <w:p w14:paraId="2C6CBC29"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 xml:space="preserve">Not for frequency </w:t>
            </w:r>
          </w:p>
        </w:tc>
      </w:tr>
      <w:tr w:rsidR="00432EEF" w:rsidRPr="00432EEF" w14:paraId="0B74436A" w14:textId="77777777" w:rsidTr="00432EEF">
        <w:trPr>
          <w:trHeight w:val="408"/>
        </w:trPr>
        <w:tc>
          <w:tcPr>
            <w:tcW w:w="6232" w:type="dxa"/>
            <w:hideMark/>
          </w:tcPr>
          <w:p w14:paraId="2A9F11A2"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Moss. Ophthalmol. 2008;115:2013-2016.</w:t>
            </w:r>
          </w:p>
        </w:tc>
        <w:tc>
          <w:tcPr>
            <w:tcW w:w="2262" w:type="dxa"/>
            <w:hideMark/>
          </w:tcPr>
          <w:p w14:paraId="33743078"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Not for POE</w:t>
            </w:r>
          </w:p>
        </w:tc>
      </w:tr>
      <w:tr w:rsidR="00432EEF" w:rsidRPr="00432EEF" w14:paraId="7B21D94A" w14:textId="77777777" w:rsidTr="00432EEF">
        <w:trPr>
          <w:trHeight w:val="408"/>
        </w:trPr>
        <w:tc>
          <w:tcPr>
            <w:tcW w:w="6232" w:type="dxa"/>
            <w:hideMark/>
          </w:tcPr>
          <w:p w14:paraId="064AE87E"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Nagaki. J Cataract Refract Surg. 2003;29(1):20-26.</w:t>
            </w:r>
          </w:p>
        </w:tc>
        <w:tc>
          <w:tcPr>
            <w:tcW w:w="2262" w:type="dxa"/>
            <w:hideMark/>
          </w:tcPr>
          <w:p w14:paraId="02C5D8FB"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Not for antibiotics</w:t>
            </w:r>
          </w:p>
        </w:tc>
      </w:tr>
      <w:tr w:rsidR="00432EEF" w:rsidRPr="00432EEF" w14:paraId="51881415" w14:textId="77777777" w:rsidTr="00432EEF">
        <w:trPr>
          <w:trHeight w:val="408"/>
        </w:trPr>
        <w:tc>
          <w:tcPr>
            <w:tcW w:w="6232" w:type="dxa"/>
            <w:hideMark/>
          </w:tcPr>
          <w:p w14:paraId="5C99F05B"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Ng. J Cataract Refract Surg. 2007;33(2):269-280.</w:t>
            </w:r>
          </w:p>
        </w:tc>
        <w:tc>
          <w:tcPr>
            <w:tcW w:w="2262" w:type="dxa"/>
            <w:hideMark/>
          </w:tcPr>
          <w:p w14:paraId="18A6C960"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Duplicate date use</w:t>
            </w:r>
          </w:p>
        </w:tc>
      </w:tr>
      <w:tr w:rsidR="00432EEF" w:rsidRPr="00432EEF" w14:paraId="4677B0B1" w14:textId="77777777" w:rsidTr="00432EEF">
        <w:trPr>
          <w:trHeight w:val="408"/>
        </w:trPr>
        <w:tc>
          <w:tcPr>
            <w:tcW w:w="6232" w:type="dxa"/>
            <w:hideMark/>
          </w:tcPr>
          <w:p w14:paraId="6C7749E9"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Norregaard. Br J Ophthalmol. 1997;81(2):102-106.</w:t>
            </w:r>
          </w:p>
        </w:tc>
        <w:tc>
          <w:tcPr>
            <w:tcW w:w="2262" w:type="dxa"/>
            <w:hideMark/>
          </w:tcPr>
          <w:p w14:paraId="375B5925"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Not for antibiotics</w:t>
            </w:r>
          </w:p>
        </w:tc>
      </w:tr>
      <w:tr w:rsidR="00432EEF" w:rsidRPr="00432EEF" w14:paraId="033C0522" w14:textId="77777777" w:rsidTr="00432EEF">
        <w:trPr>
          <w:trHeight w:val="408"/>
        </w:trPr>
        <w:tc>
          <w:tcPr>
            <w:tcW w:w="6232" w:type="dxa"/>
            <w:hideMark/>
          </w:tcPr>
          <w:p w14:paraId="78C23E61"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Park. J Cataract Refract Surg. 2021;48(1):100-112.</w:t>
            </w:r>
          </w:p>
        </w:tc>
        <w:tc>
          <w:tcPr>
            <w:tcW w:w="2262" w:type="dxa"/>
            <w:hideMark/>
          </w:tcPr>
          <w:p w14:paraId="4EE00566"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 xml:space="preserve">Review/Comment </w:t>
            </w:r>
          </w:p>
        </w:tc>
      </w:tr>
      <w:tr w:rsidR="00432EEF" w:rsidRPr="00432EEF" w14:paraId="75330CB6" w14:textId="77777777" w:rsidTr="00432EEF">
        <w:trPr>
          <w:trHeight w:val="408"/>
        </w:trPr>
        <w:tc>
          <w:tcPr>
            <w:tcW w:w="6232" w:type="dxa"/>
            <w:hideMark/>
          </w:tcPr>
          <w:p w14:paraId="309D8C1F"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Pleyer. Klin Monbl Augenheilkd. 2008;225(11):934-940.</w:t>
            </w:r>
          </w:p>
        </w:tc>
        <w:tc>
          <w:tcPr>
            <w:tcW w:w="2262" w:type="dxa"/>
            <w:hideMark/>
          </w:tcPr>
          <w:p w14:paraId="27153F88"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Review/Comment</w:t>
            </w:r>
          </w:p>
        </w:tc>
      </w:tr>
      <w:tr w:rsidR="00432EEF" w:rsidRPr="00432EEF" w14:paraId="6DF9BB61" w14:textId="77777777" w:rsidTr="00432EEF">
        <w:trPr>
          <w:trHeight w:val="408"/>
        </w:trPr>
        <w:tc>
          <w:tcPr>
            <w:tcW w:w="6232" w:type="dxa"/>
            <w:hideMark/>
          </w:tcPr>
          <w:p w14:paraId="427B86D2"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Rana. Clin Exp Ophthalmol. 2021;49:25-37.</w:t>
            </w:r>
          </w:p>
        </w:tc>
        <w:tc>
          <w:tcPr>
            <w:tcW w:w="2262" w:type="dxa"/>
            <w:hideMark/>
          </w:tcPr>
          <w:p w14:paraId="17F004ED"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Duplicate date use</w:t>
            </w:r>
          </w:p>
        </w:tc>
      </w:tr>
      <w:tr w:rsidR="00432EEF" w:rsidRPr="00432EEF" w14:paraId="102A6821" w14:textId="77777777" w:rsidTr="00432EEF">
        <w:trPr>
          <w:trHeight w:val="408"/>
        </w:trPr>
        <w:tc>
          <w:tcPr>
            <w:tcW w:w="6232" w:type="dxa"/>
            <w:hideMark/>
          </w:tcPr>
          <w:p w14:paraId="20967CCA"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Ravindran. J Cataract Refract Surg. 2009;35:629-636.</w:t>
            </w:r>
          </w:p>
        </w:tc>
        <w:tc>
          <w:tcPr>
            <w:tcW w:w="2262" w:type="dxa"/>
            <w:hideMark/>
          </w:tcPr>
          <w:p w14:paraId="483E114C"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 xml:space="preserve">Not for antibiotics </w:t>
            </w:r>
          </w:p>
        </w:tc>
      </w:tr>
      <w:tr w:rsidR="00432EEF" w:rsidRPr="00432EEF" w14:paraId="04B67190" w14:textId="77777777" w:rsidTr="00432EEF">
        <w:trPr>
          <w:trHeight w:val="408"/>
        </w:trPr>
        <w:tc>
          <w:tcPr>
            <w:tcW w:w="6232" w:type="dxa"/>
            <w:hideMark/>
          </w:tcPr>
          <w:p w14:paraId="45E97375"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Romero-Aroca. BMC Ophthalmol. 2012;12:2.</w:t>
            </w:r>
          </w:p>
        </w:tc>
        <w:tc>
          <w:tcPr>
            <w:tcW w:w="2262" w:type="dxa"/>
            <w:hideMark/>
          </w:tcPr>
          <w:p w14:paraId="27FF358F"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Duplicate date use</w:t>
            </w:r>
          </w:p>
        </w:tc>
      </w:tr>
      <w:tr w:rsidR="00432EEF" w:rsidRPr="00432EEF" w14:paraId="40B098B0" w14:textId="77777777" w:rsidTr="00432EEF">
        <w:trPr>
          <w:trHeight w:val="408"/>
        </w:trPr>
        <w:tc>
          <w:tcPr>
            <w:tcW w:w="6232" w:type="dxa"/>
            <w:hideMark/>
          </w:tcPr>
          <w:p w14:paraId="662F6725"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Rudnisky. Ophthalmology. 2014;121(4):835-841.</w:t>
            </w:r>
          </w:p>
        </w:tc>
        <w:tc>
          <w:tcPr>
            <w:tcW w:w="2262" w:type="dxa"/>
            <w:hideMark/>
          </w:tcPr>
          <w:p w14:paraId="4394DB5F"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Duplicate date use</w:t>
            </w:r>
          </w:p>
        </w:tc>
      </w:tr>
      <w:tr w:rsidR="00432EEF" w:rsidRPr="00432EEF" w14:paraId="6E9BD417" w14:textId="77777777" w:rsidTr="00432EEF">
        <w:trPr>
          <w:trHeight w:val="408"/>
        </w:trPr>
        <w:tc>
          <w:tcPr>
            <w:tcW w:w="6232" w:type="dxa"/>
            <w:hideMark/>
          </w:tcPr>
          <w:p w14:paraId="51DE7539"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Rudnisky. Ophthalmology. 2014;121(4):835-841.</w:t>
            </w:r>
          </w:p>
        </w:tc>
        <w:tc>
          <w:tcPr>
            <w:tcW w:w="2262" w:type="dxa"/>
            <w:hideMark/>
          </w:tcPr>
          <w:p w14:paraId="5E43EB04"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Duplicate date use</w:t>
            </w:r>
          </w:p>
        </w:tc>
      </w:tr>
      <w:tr w:rsidR="00432EEF" w:rsidRPr="00432EEF" w14:paraId="628133BF" w14:textId="77777777" w:rsidTr="00432EEF">
        <w:trPr>
          <w:trHeight w:val="408"/>
        </w:trPr>
        <w:tc>
          <w:tcPr>
            <w:tcW w:w="6232" w:type="dxa"/>
            <w:hideMark/>
          </w:tcPr>
          <w:p w14:paraId="6B2455D0"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Schmitz. Ophthalmology. 1999;106(10):1869-1877.</w:t>
            </w:r>
          </w:p>
        </w:tc>
        <w:tc>
          <w:tcPr>
            <w:tcW w:w="2262" w:type="dxa"/>
            <w:hideMark/>
          </w:tcPr>
          <w:p w14:paraId="6BFCF649"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Duplicate date use</w:t>
            </w:r>
          </w:p>
        </w:tc>
      </w:tr>
      <w:tr w:rsidR="00432EEF" w:rsidRPr="00432EEF" w14:paraId="21A4EE1C" w14:textId="77777777" w:rsidTr="00432EEF">
        <w:trPr>
          <w:trHeight w:val="408"/>
        </w:trPr>
        <w:tc>
          <w:tcPr>
            <w:tcW w:w="6232" w:type="dxa"/>
            <w:hideMark/>
          </w:tcPr>
          <w:p w14:paraId="11AB0F84"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Sharifi. Ophthalmology. 2009;116:1887-1896.</w:t>
            </w:r>
          </w:p>
        </w:tc>
        <w:tc>
          <w:tcPr>
            <w:tcW w:w="2262" w:type="dxa"/>
            <w:hideMark/>
          </w:tcPr>
          <w:p w14:paraId="6A7EE85B" w14:textId="77777777" w:rsidR="00432EEF" w:rsidRPr="00432EEF" w:rsidRDefault="00432EEF" w:rsidP="00432EEF">
            <w:pPr>
              <w:widowControl/>
              <w:jc w:val="left"/>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 xml:space="preserve">Review/Comment </w:t>
            </w:r>
          </w:p>
        </w:tc>
      </w:tr>
      <w:tr w:rsidR="00432EEF" w:rsidRPr="00432EEF" w14:paraId="5FBF139D" w14:textId="77777777" w:rsidTr="00432EEF">
        <w:trPr>
          <w:trHeight w:val="408"/>
        </w:trPr>
        <w:tc>
          <w:tcPr>
            <w:tcW w:w="6232" w:type="dxa"/>
            <w:hideMark/>
          </w:tcPr>
          <w:p w14:paraId="4F4F7619"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Shorstein. J Cataract Refract Surg. 2013;39(2):313.</w:t>
            </w:r>
          </w:p>
        </w:tc>
        <w:tc>
          <w:tcPr>
            <w:tcW w:w="2262" w:type="dxa"/>
            <w:hideMark/>
          </w:tcPr>
          <w:p w14:paraId="36727353"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 xml:space="preserve">Review/Comment </w:t>
            </w:r>
          </w:p>
        </w:tc>
      </w:tr>
      <w:tr w:rsidR="00432EEF" w:rsidRPr="00432EEF" w14:paraId="56F7F7A8" w14:textId="77777777" w:rsidTr="00432EEF">
        <w:trPr>
          <w:trHeight w:val="408"/>
        </w:trPr>
        <w:tc>
          <w:tcPr>
            <w:tcW w:w="6232" w:type="dxa"/>
            <w:hideMark/>
          </w:tcPr>
          <w:p w14:paraId="40604D6B"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Shorstein. J Cataract Refract Surg. 2013;39: 8-14.</w:t>
            </w:r>
          </w:p>
        </w:tc>
        <w:tc>
          <w:tcPr>
            <w:tcW w:w="2262" w:type="dxa"/>
            <w:hideMark/>
          </w:tcPr>
          <w:p w14:paraId="4986E47A"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Duplicate date use</w:t>
            </w:r>
          </w:p>
        </w:tc>
      </w:tr>
      <w:tr w:rsidR="00432EEF" w:rsidRPr="00432EEF" w14:paraId="53165675" w14:textId="77777777" w:rsidTr="00432EEF">
        <w:trPr>
          <w:trHeight w:val="408"/>
        </w:trPr>
        <w:tc>
          <w:tcPr>
            <w:tcW w:w="6232" w:type="dxa"/>
            <w:hideMark/>
          </w:tcPr>
          <w:p w14:paraId="01E4D1FC"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Steinberg. Health Serv Res. 1990;25:727-31.</w:t>
            </w:r>
          </w:p>
        </w:tc>
        <w:tc>
          <w:tcPr>
            <w:tcW w:w="2262" w:type="dxa"/>
            <w:hideMark/>
          </w:tcPr>
          <w:p w14:paraId="42585DE1"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Not for cataract</w:t>
            </w:r>
          </w:p>
        </w:tc>
      </w:tr>
      <w:tr w:rsidR="00432EEF" w:rsidRPr="00432EEF" w14:paraId="0D6861C7" w14:textId="77777777" w:rsidTr="00432EEF">
        <w:trPr>
          <w:trHeight w:val="408"/>
        </w:trPr>
        <w:tc>
          <w:tcPr>
            <w:tcW w:w="6232" w:type="dxa"/>
            <w:hideMark/>
          </w:tcPr>
          <w:p w14:paraId="1AFFAF8E"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Swaddiwudhipong. J Med Assoc Thai. 2000;83(8):902-907.</w:t>
            </w:r>
          </w:p>
        </w:tc>
        <w:tc>
          <w:tcPr>
            <w:tcW w:w="2262" w:type="dxa"/>
            <w:hideMark/>
          </w:tcPr>
          <w:p w14:paraId="5DFEA763"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Not for antibiotics</w:t>
            </w:r>
          </w:p>
        </w:tc>
      </w:tr>
      <w:tr w:rsidR="00432EEF" w:rsidRPr="00432EEF" w14:paraId="52AB14A1" w14:textId="77777777" w:rsidTr="00432EEF">
        <w:trPr>
          <w:trHeight w:val="408"/>
        </w:trPr>
        <w:tc>
          <w:tcPr>
            <w:tcW w:w="6232" w:type="dxa"/>
            <w:hideMark/>
          </w:tcPr>
          <w:p w14:paraId="787BB67A"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Ta. Eur J Ophthalmol. 2007;17:689-695.</w:t>
            </w:r>
          </w:p>
        </w:tc>
        <w:tc>
          <w:tcPr>
            <w:tcW w:w="2262" w:type="dxa"/>
            <w:hideMark/>
          </w:tcPr>
          <w:p w14:paraId="3D146673"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Not for POE</w:t>
            </w:r>
          </w:p>
        </w:tc>
      </w:tr>
      <w:tr w:rsidR="00432EEF" w:rsidRPr="00432EEF" w14:paraId="56F3B522" w14:textId="77777777" w:rsidTr="00432EEF">
        <w:trPr>
          <w:trHeight w:val="408"/>
        </w:trPr>
        <w:tc>
          <w:tcPr>
            <w:tcW w:w="6232" w:type="dxa"/>
            <w:hideMark/>
          </w:tcPr>
          <w:p w14:paraId="08434FF0"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Ta. J Ocul Pharmacol Ther. 2008;24:427-431.</w:t>
            </w:r>
          </w:p>
        </w:tc>
        <w:tc>
          <w:tcPr>
            <w:tcW w:w="2262" w:type="dxa"/>
            <w:hideMark/>
          </w:tcPr>
          <w:p w14:paraId="195E6FCC"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Not for POE</w:t>
            </w:r>
          </w:p>
        </w:tc>
      </w:tr>
      <w:tr w:rsidR="00432EEF" w:rsidRPr="00432EEF" w14:paraId="0C59C3CA" w14:textId="77777777" w:rsidTr="00432EEF">
        <w:trPr>
          <w:trHeight w:val="408"/>
        </w:trPr>
        <w:tc>
          <w:tcPr>
            <w:tcW w:w="6232" w:type="dxa"/>
            <w:hideMark/>
          </w:tcPr>
          <w:p w14:paraId="5E78B2E4"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Ta. Ophthalmol. 2002;109:2036-2040.</w:t>
            </w:r>
          </w:p>
        </w:tc>
        <w:tc>
          <w:tcPr>
            <w:tcW w:w="2262" w:type="dxa"/>
            <w:hideMark/>
          </w:tcPr>
          <w:p w14:paraId="5773B0FD"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Not for POE</w:t>
            </w:r>
          </w:p>
        </w:tc>
      </w:tr>
      <w:tr w:rsidR="00432EEF" w:rsidRPr="00432EEF" w14:paraId="1166C9BF" w14:textId="77777777" w:rsidTr="00432EEF">
        <w:trPr>
          <w:trHeight w:val="408"/>
        </w:trPr>
        <w:tc>
          <w:tcPr>
            <w:tcW w:w="6232" w:type="dxa"/>
            <w:hideMark/>
          </w:tcPr>
          <w:p w14:paraId="6AB8C2BE" w14:textId="77777777" w:rsidR="00432EEF" w:rsidRPr="00432EEF" w:rsidRDefault="00432EEF" w:rsidP="00432EEF">
            <w:pPr>
              <w:widowControl/>
              <w:jc w:val="left"/>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Taban. Arch Ophthalmol. 2005;123(5):613-20.</w:t>
            </w:r>
          </w:p>
        </w:tc>
        <w:tc>
          <w:tcPr>
            <w:tcW w:w="2262" w:type="dxa"/>
            <w:hideMark/>
          </w:tcPr>
          <w:p w14:paraId="4D13F33A"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 xml:space="preserve">Review/Comment </w:t>
            </w:r>
          </w:p>
        </w:tc>
      </w:tr>
      <w:tr w:rsidR="00432EEF" w:rsidRPr="00432EEF" w14:paraId="08BA370E" w14:textId="77777777" w:rsidTr="00432EEF">
        <w:trPr>
          <w:trHeight w:val="408"/>
        </w:trPr>
        <w:tc>
          <w:tcPr>
            <w:tcW w:w="6232" w:type="dxa"/>
            <w:hideMark/>
          </w:tcPr>
          <w:p w14:paraId="2F56576A"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Tan. J Cataract Refract Surg. 2012;38:425-430.</w:t>
            </w:r>
          </w:p>
        </w:tc>
        <w:tc>
          <w:tcPr>
            <w:tcW w:w="2262" w:type="dxa"/>
            <w:hideMark/>
          </w:tcPr>
          <w:p w14:paraId="1E644BBC"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Duplicate date use</w:t>
            </w:r>
          </w:p>
        </w:tc>
      </w:tr>
      <w:tr w:rsidR="00432EEF" w:rsidRPr="00432EEF" w14:paraId="3BA2073D" w14:textId="77777777" w:rsidTr="00432EEF">
        <w:trPr>
          <w:trHeight w:val="408"/>
        </w:trPr>
        <w:tc>
          <w:tcPr>
            <w:tcW w:w="6232" w:type="dxa"/>
            <w:hideMark/>
          </w:tcPr>
          <w:p w14:paraId="6ADEB9B3"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Venkatesh. Br J Ophthalmol. 2005;89:1079-1083.</w:t>
            </w:r>
          </w:p>
        </w:tc>
        <w:tc>
          <w:tcPr>
            <w:tcW w:w="2262" w:type="dxa"/>
            <w:hideMark/>
          </w:tcPr>
          <w:p w14:paraId="7D86E8E8"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 xml:space="preserve">Not for antibiotics </w:t>
            </w:r>
          </w:p>
        </w:tc>
      </w:tr>
      <w:tr w:rsidR="00432EEF" w:rsidRPr="00432EEF" w14:paraId="3BB4D5B8" w14:textId="77777777" w:rsidTr="00432EEF">
        <w:trPr>
          <w:trHeight w:val="408"/>
        </w:trPr>
        <w:tc>
          <w:tcPr>
            <w:tcW w:w="6232" w:type="dxa"/>
            <w:hideMark/>
          </w:tcPr>
          <w:p w14:paraId="51FC8BD8" w14:textId="77777777" w:rsidR="00432EEF" w:rsidRPr="00432EEF" w:rsidRDefault="00432EEF" w:rsidP="00432EEF">
            <w:pPr>
              <w:widowControl/>
              <w:jc w:val="left"/>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Vieira. Arquivos brasileiros de oftalmologia. 2017;80:165-167.</w:t>
            </w:r>
          </w:p>
        </w:tc>
        <w:tc>
          <w:tcPr>
            <w:tcW w:w="2262" w:type="dxa"/>
            <w:hideMark/>
          </w:tcPr>
          <w:p w14:paraId="608DD1C1"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Duplicate date use</w:t>
            </w:r>
          </w:p>
        </w:tc>
      </w:tr>
      <w:tr w:rsidR="00432EEF" w:rsidRPr="00432EEF" w14:paraId="15F0B874" w14:textId="77777777" w:rsidTr="00432EEF">
        <w:trPr>
          <w:trHeight w:val="408"/>
        </w:trPr>
        <w:tc>
          <w:tcPr>
            <w:tcW w:w="6232" w:type="dxa"/>
            <w:hideMark/>
          </w:tcPr>
          <w:p w14:paraId="2377D04F"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Virgilio. Ophthalmology and Eye Diseases. 2014;6: 1-4.</w:t>
            </w:r>
          </w:p>
        </w:tc>
        <w:tc>
          <w:tcPr>
            <w:tcW w:w="2262" w:type="dxa"/>
            <w:hideMark/>
          </w:tcPr>
          <w:p w14:paraId="467F1FB8"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Duplicate date use</w:t>
            </w:r>
          </w:p>
        </w:tc>
      </w:tr>
      <w:tr w:rsidR="00432EEF" w:rsidRPr="00432EEF" w14:paraId="503F09BE" w14:textId="77777777" w:rsidTr="00432EEF">
        <w:trPr>
          <w:trHeight w:val="408"/>
        </w:trPr>
        <w:tc>
          <w:tcPr>
            <w:tcW w:w="6232" w:type="dxa"/>
            <w:hideMark/>
          </w:tcPr>
          <w:p w14:paraId="4EE0EF1D"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Wallin. J Cataract Refract Surg. 2005;31(4):735-741.</w:t>
            </w:r>
          </w:p>
        </w:tc>
        <w:tc>
          <w:tcPr>
            <w:tcW w:w="2262" w:type="dxa"/>
            <w:hideMark/>
          </w:tcPr>
          <w:p w14:paraId="2642157C"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Not for prophylaxis</w:t>
            </w:r>
          </w:p>
        </w:tc>
      </w:tr>
      <w:tr w:rsidR="00432EEF" w:rsidRPr="00432EEF" w14:paraId="59793268" w14:textId="77777777" w:rsidTr="00432EEF">
        <w:trPr>
          <w:trHeight w:val="408"/>
        </w:trPr>
        <w:tc>
          <w:tcPr>
            <w:tcW w:w="6232" w:type="dxa"/>
            <w:hideMark/>
          </w:tcPr>
          <w:p w14:paraId="1D6593BE" w14:textId="77777777" w:rsidR="00432EEF" w:rsidRPr="00432EEF" w:rsidRDefault="00432EEF" w:rsidP="00432EEF">
            <w:pPr>
              <w:widowControl/>
              <w:jc w:val="left"/>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lastRenderedPageBreak/>
              <w:t>Wang. Ophthalmol. 2020;Article ID:7242969.</w:t>
            </w:r>
          </w:p>
        </w:tc>
        <w:tc>
          <w:tcPr>
            <w:tcW w:w="2262" w:type="dxa"/>
            <w:hideMark/>
          </w:tcPr>
          <w:p w14:paraId="5CE1B212"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 xml:space="preserve">Review/Comment </w:t>
            </w:r>
          </w:p>
        </w:tc>
      </w:tr>
      <w:tr w:rsidR="00432EEF" w:rsidRPr="00432EEF" w14:paraId="772D78BF" w14:textId="77777777" w:rsidTr="00432EEF">
        <w:trPr>
          <w:trHeight w:val="408"/>
        </w:trPr>
        <w:tc>
          <w:tcPr>
            <w:tcW w:w="6232" w:type="dxa"/>
            <w:hideMark/>
          </w:tcPr>
          <w:p w14:paraId="198F9FC4"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Wejde. Acta Ophthalmol Scand. 2005;83(1): 7-10.</w:t>
            </w:r>
          </w:p>
        </w:tc>
        <w:tc>
          <w:tcPr>
            <w:tcW w:w="2262" w:type="dxa"/>
            <w:hideMark/>
          </w:tcPr>
          <w:p w14:paraId="35F0EFD4"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 xml:space="preserve">Insufficient data </w:t>
            </w:r>
          </w:p>
        </w:tc>
      </w:tr>
      <w:tr w:rsidR="00432EEF" w:rsidRPr="00432EEF" w14:paraId="75F71F45" w14:textId="77777777" w:rsidTr="00432EEF">
        <w:trPr>
          <w:trHeight w:val="408"/>
        </w:trPr>
        <w:tc>
          <w:tcPr>
            <w:tcW w:w="6232" w:type="dxa"/>
            <w:hideMark/>
          </w:tcPr>
          <w:p w14:paraId="267E2456"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Wejde. J Hosp Infect. 2005;61(3):251-256.</w:t>
            </w:r>
          </w:p>
        </w:tc>
        <w:tc>
          <w:tcPr>
            <w:tcW w:w="2262" w:type="dxa"/>
            <w:hideMark/>
          </w:tcPr>
          <w:p w14:paraId="5044AEEA"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Duplicate date use</w:t>
            </w:r>
          </w:p>
        </w:tc>
      </w:tr>
      <w:tr w:rsidR="00432EEF" w:rsidRPr="00432EEF" w14:paraId="2F45B374" w14:textId="77777777" w:rsidTr="00432EEF">
        <w:trPr>
          <w:trHeight w:val="408"/>
        </w:trPr>
        <w:tc>
          <w:tcPr>
            <w:tcW w:w="6232" w:type="dxa"/>
            <w:hideMark/>
          </w:tcPr>
          <w:p w14:paraId="24779939"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West. Ophthalmology. 2005;112(8):1388-1394.</w:t>
            </w:r>
          </w:p>
        </w:tc>
        <w:tc>
          <w:tcPr>
            <w:tcW w:w="2262" w:type="dxa"/>
            <w:hideMark/>
          </w:tcPr>
          <w:p w14:paraId="1B3DDCA0"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Not for antibiotics</w:t>
            </w:r>
          </w:p>
        </w:tc>
      </w:tr>
      <w:tr w:rsidR="00432EEF" w:rsidRPr="00432EEF" w14:paraId="664FA18F" w14:textId="77777777" w:rsidTr="00432EEF">
        <w:trPr>
          <w:trHeight w:val="408"/>
        </w:trPr>
        <w:tc>
          <w:tcPr>
            <w:tcW w:w="6232" w:type="dxa"/>
            <w:hideMark/>
          </w:tcPr>
          <w:p w14:paraId="20022E01"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Wong. J Ophthalmol. 2004;88(1):29-31.</w:t>
            </w:r>
          </w:p>
        </w:tc>
        <w:tc>
          <w:tcPr>
            <w:tcW w:w="2262" w:type="dxa"/>
            <w:hideMark/>
          </w:tcPr>
          <w:p w14:paraId="0EAB8D12"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Not for antibiotics</w:t>
            </w:r>
          </w:p>
        </w:tc>
      </w:tr>
      <w:tr w:rsidR="00432EEF" w:rsidRPr="00432EEF" w14:paraId="3A651D93" w14:textId="77777777" w:rsidTr="00432EEF">
        <w:trPr>
          <w:trHeight w:val="408"/>
        </w:trPr>
        <w:tc>
          <w:tcPr>
            <w:tcW w:w="6232" w:type="dxa"/>
            <w:hideMark/>
          </w:tcPr>
          <w:p w14:paraId="17F5E9BB"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Wong. Ophthalmology. 2004;111(4):699-705.</w:t>
            </w:r>
          </w:p>
        </w:tc>
        <w:tc>
          <w:tcPr>
            <w:tcW w:w="2262" w:type="dxa"/>
            <w:hideMark/>
          </w:tcPr>
          <w:p w14:paraId="50146B4C"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Not for antibiotics</w:t>
            </w:r>
          </w:p>
        </w:tc>
      </w:tr>
      <w:tr w:rsidR="00432EEF" w:rsidRPr="00432EEF" w14:paraId="00A254E4" w14:textId="77777777" w:rsidTr="00432EEF">
        <w:trPr>
          <w:trHeight w:val="408"/>
        </w:trPr>
        <w:tc>
          <w:tcPr>
            <w:tcW w:w="6232" w:type="dxa"/>
            <w:hideMark/>
          </w:tcPr>
          <w:p w14:paraId="542C5782"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Wu. J Ocul Pharmacol Ther. 2006;22(1):54-61.</w:t>
            </w:r>
          </w:p>
        </w:tc>
        <w:tc>
          <w:tcPr>
            <w:tcW w:w="2262" w:type="dxa"/>
            <w:hideMark/>
          </w:tcPr>
          <w:p w14:paraId="4425FE87"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Not for antibiotics</w:t>
            </w:r>
          </w:p>
        </w:tc>
      </w:tr>
      <w:tr w:rsidR="00432EEF" w:rsidRPr="00432EEF" w14:paraId="28C68D69" w14:textId="77777777" w:rsidTr="00432EEF">
        <w:trPr>
          <w:trHeight w:val="408"/>
        </w:trPr>
        <w:tc>
          <w:tcPr>
            <w:tcW w:w="6232" w:type="dxa"/>
            <w:hideMark/>
          </w:tcPr>
          <w:p w14:paraId="6E9F6C1E"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Yu-Wai-Man. J Cataract Refract Surg. 2008;34:447-451.</w:t>
            </w:r>
          </w:p>
        </w:tc>
        <w:tc>
          <w:tcPr>
            <w:tcW w:w="2262" w:type="dxa"/>
            <w:hideMark/>
          </w:tcPr>
          <w:p w14:paraId="7503AB10"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Duplicate date use</w:t>
            </w:r>
          </w:p>
        </w:tc>
      </w:tr>
      <w:tr w:rsidR="00432EEF" w:rsidRPr="00432EEF" w14:paraId="6BEE7547" w14:textId="77777777" w:rsidTr="00432EEF">
        <w:trPr>
          <w:trHeight w:val="408"/>
        </w:trPr>
        <w:tc>
          <w:tcPr>
            <w:tcW w:w="6232" w:type="dxa"/>
            <w:hideMark/>
          </w:tcPr>
          <w:p w14:paraId="642BADB7"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Zaman. J Ayub Med Coll Abbottabad. 2009;21:39-42.</w:t>
            </w:r>
          </w:p>
        </w:tc>
        <w:tc>
          <w:tcPr>
            <w:tcW w:w="2262" w:type="dxa"/>
            <w:hideMark/>
          </w:tcPr>
          <w:p w14:paraId="7AB424A3"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 xml:space="preserve">Not for antibiotics </w:t>
            </w:r>
          </w:p>
        </w:tc>
      </w:tr>
      <w:tr w:rsidR="00432EEF" w:rsidRPr="00432EEF" w14:paraId="4E20E39A" w14:textId="77777777" w:rsidTr="00432EEF">
        <w:trPr>
          <w:trHeight w:val="408"/>
        </w:trPr>
        <w:tc>
          <w:tcPr>
            <w:tcW w:w="6232" w:type="dxa"/>
            <w:hideMark/>
          </w:tcPr>
          <w:p w14:paraId="36160C92"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Zawar. Eur J Ophthalmol. 2011;21:748-753.</w:t>
            </w:r>
          </w:p>
        </w:tc>
        <w:tc>
          <w:tcPr>
            <w:tcW w:w="2262" w:type="dxa"/>
            <w:hideMark/>
          </w:tcPr>
          <w:p w14:paraId="06ED068C"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 xml:space="preserve">Not for antibiotics </w:t>
            </w:r>
          </w:p>
        </w:tc>
      </w:tr>
      <w:tr w:rsidR="00432EEF" w:rsidRPr="00432EEF" w14:paraId="6BC11CF2" w14:textId="77777777" w:rsidTr="00432EEF">
        <w:trPr>
          <w:trHeight w:val="408"/>
        </w:trPr>
        <w:tc>
          <w:tcPr>
            <w:tcW w:w="6232" w:type="dxa"/>
            <w:hideMark/>
          </w:tcPr>
          <w:p w14:paraId="5EC8745E"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Zeng. Nepal J Ophthalmol. 20A2:A10714;6:140-144.</w:t>
            </w:r>
          </w:p>
        </w:tc>
        <w:tc>
          <w:tcPr>
            <w:tcW w:w="2262" w:type="dxa"/>
            <w:hideMark/>
          </w:tcPr>
          <w:p w14:paraId="4B2529CB" w14:textId="77777777" w:rsidR="00432EEF" w:rsidRPr="00432EEF" w:rsidRDefault="00432EEF" w:rsidP="00432EEF">
            <w:pPr>
              <w:widowControl/>
              <w:rPr>
                <w:rFonts w:ascii="Times New Roman" w:eastAsia="游ゴシック" w:hAnsi="Times New Roman" w:cs="Times New Roman"/>
                <w:color w:val="000000"/>
                <w:kern w:val="0"/>
                <w:szCs w:val="21"/>
              </w:rPr>
            </w:pPr>
            <w:r w:rsidRPr="00432EEF">
              <w:rPr>
                <w:rFonts w:ascii="Times New Roman" w:eastAsia="游ゴシック" w:hAnsi="Times New Roman" w:cs="Times New Roman"/>
                <w:color w:val="000000"/>
                <w:kern w:val="0"/>
                <w:szCs w:val="21"/>
              </w:rPr>
              <w:t xml:space="preserve">Not for antibiotics </w:t>
            </w:r>
          </w:p>
        </w:tc>
      </w:tr>
    </w:tbl>
    <w:p w14:paraId="7D94290A" w14:textId="11C23E99" w:rsidR="009D361A" w:rsidRPr="00F3093D" w:rsidRDefault="009D361A" w:rsidP="00DC437B">
      <w:pPr>
        <w:rPr>
          <w:rFonts w:ascii="Times New Roman" w:hAnsi="Times New Roman" w:cs="Times New Roman"/>
        </w:rPr>
      </w:pPr>
      <w:r w:rsidRPr="00F3093D">
        <w:rPr>
          <w:rFonts w:ascii="Times New Roman" w:hAnsi="Times New Roman" w:cs="Times New Roman"/>
        </w:rPr>
        <w:br w:type="page"/>
      </w:r>
    </w:p>
    <w:p w14:paraId="587DC5E0" w14:textId="7071DBB7" w:rsidR="002A09C7" w:rsidRPr="007A37C8" w:rsidRDefault="0077094C" w:rsidP="00DC437B">
      <w:pPr>
        <w:rPr>
          <w:rFonts w:ascii="Times New Roman" w:hAnsi="Times New Roman" w:cs="Times New Roman"/>
          <w:b/>
          <w:bCs/>
        </w:rPr>
      </w:pPr>
      <w:r>
        <w:rPr>
          <w:rFonts w:ascii="Times New Roman" w:hAnsi="Times New Roman" w:cs="Times New Roman"/>
          <w:b/>
          <w:bCs/>
        </w:rPr>
        <w:lastRenderedPageBreak/>
        <w:t xml:space="preserve">Supplementary Table </w:t>
      </w:r>
      <w:r w:rsidR="00630D1C" w:rsidRPr="007A37C8">
        <w:rPr>
          <w:rFonts w:ascii="Times New Roman" w:hAnsi="Times New Roman" w:cs="Times New Roman"/>
          <w:b/>
          <w:bCs/>
        </w:rPr>
        <w:t>5</w:t>
      </w:r>
      <w:r w:rsidR="002A09C7" w:rsidRPr="007A37C8">
        <w:rPr>
          <w:rFonts w:ascii="Times New Roman" w:hAnsi="Times New Roman" w:cs="Times New Roman"/>
          <w:b/>
          <w:bCs/>
        </w:rPr>
        <w:t xml:space="preserve">. </w:t>
      </w:r>
      <w:r w:rsidR="0077287D" w:rsidRPr="007A37C8">
        <w:rPr>
          <w:rFonts w:ascii="Times New Roman" w:hAnsi="Times New Roman" w:cs="Times New Roman"/>
          <w:b/>
          <w:bCs/>
        </w:rPr>
        <w:t>P-score</w:t>
      </w:r>
      <w:r w:rsidR="002A09C7" w:rsidRPr="007A37C8">
        <w:rPr>
          <w:rFonts w:ascii="Times New Roman" w:hAnsi="Times New Roman" w:cs="Times New Roman"/>
          <w:b/>
          <w:bCs/>
        </w:rPr>
        <w:t xml:space="preserve"> for </w:t>
      </w:r>
      <w:r w:rsidR="0077287D" w:rsidRPr="007A37C8">
        <w:rPr>
          <w:rFonts w:ascii="Times New Roman" w:hAnsi="Times New Roman" w:cs="Times New Roman"/>
          <w:b/>
          <w:bCs/>
        </w:rPr>
        <w:t xml:space="preserve">the </w:t>
      </w:r>
      <w:r w:rsidR="002A09C7" w:rsidRPr="007A37C8">
        <w:rPr>
          <w:rFonts w:ascii="Times New Roman" w:hAnsi="Times New Roman" w:cs="Times New Roman"/>
          <w:b/>
          <w:bCs/>
        </w:rPr>
        <w:t>main</w:t>
      </w:r>
      <w:r w:rsidR="0077287D" w:rsidRPr="007A37C8">
        <w:rPr>
          <w:rFonts w:ascii="Times New Roman" w:hAnsi="Times New Roman" w:cs="Times New Roman"/>
          <w:b/>
          <w:bCs/>
        </w:rPr>
        <w:t xml:space="preserve"> model.</w:t>
      </w:r>
    </w:p>
    <w:tbl>
      <w:tblPr>
        <w:tblStyle w:val="a7"/>
        <w:tblW w:w="0" w:type="auto"/>
        <w:tblLook w:val="04A0" w:firstRow="1" w:lastRow="0" w:firstColumn="1" w:lastColumn="0" w:noHBand="0" w:noVBand="1"/>
      </w:tblPr>
      <w:tblGrid>
        <w:gridCol w:w="2155"/>
        <w:gridCol w:w="1040"/>
      </w:tblGrid>
      <w:tr w:rsidR="008B5852" w:rsidRPr="00F3093D" w14:paraId="4B39087E" w14:textId="2F9053B0" w:rsidTr="00DD00EF">
        <w:trPr>
          <w:trHeight w:val="360"/>
        </w:trPr>
        <w:tc>
          <w:tcPr>
            <w:tcW w:w="2155" w:type="dxa"/>
            <w:shd w:val="clear" w:color="auto" w:fill="BFBFBF" w:themeFill="background1" w:themeFillShade="BF"/>
            <w:noWrap/>
            <w:hideMark/>
          </w:tcPr>
          <w:p w14:paraId="68C63366" w14:textId="77777777" w:rsidR="008B5852" w:rsidRPr="00F3093D" w:rsidRDefault="008B5852" w:rsidP="002A09C7">
            <w:pPr>
              <w:rPr>
                <w:rFonts w:ascii="Times New Roman" w:hAnsi="Times New Roman" w:cs="Times New Roman"/>
              </w:rPr>
            </w:pPr>
          </w:p>
        </w:tc>
        <w:tc>
          <w:tcPr>
            <w:tcW w:w="1040" w:type="dxa"/>
            <w:shd w:val="clear" w:color="auto" w:fill="BFBFBF" w:themeFill="background1" w:themeFillShade="BF"/>
            <w:noWrap/>
            <w:hideMark/>
          </w:tcPr>
          <w:p w14:paraId="16AECE9D" w14:textId="77777777" w:rsidR="008B5852" w:rsidRPr="00F3093D" w:rsidRDefault="008B5852">
            <w:pPr>
              <w:rPr>
                <w:rFonts w:ascii="Times New Roman" w:hAnsi="Times New Roman" w:cs="Times New Roman"/>
              </w:rPr>
            </w:pPr>
            <w:r w:rsidRPr="00F3093D">
              <w:rPr>
                <w:rFonts w:ascii="Times New Roman" w:hAnsi="Times New Roman" w:cs="Times New Roman"/>
              </w:rPr>
              <w:t>P-score</w:t>
            </w:r>
          </w:p>
        </w:tc>
      </w:tr>
      <w:tr w:rsidR="008B5852" w:rsidRPr="00F3093D" w14:paraId="6333EEDA" w14:textId="1D5325A6" w:rsidTr="0036466F">
        <w:trPr>
          <w:trHeight w:val="360"/>
        </w:trPr>
        <w:tc>
          <w:tcPr>
            <w:tcW w:w="2155" w:type="dxa"/>
            <w:noWrap/>
          </w:tcPr>
          <w:p w14:paraId="272D7599" w14:textId="6C604B29" w:rsidR="008B5852" w:rsidRPr="00F3093D" w:rsidRDefault="008B5852" w:rsidP="00DF3009">
            <w:pPr>
              <w:rPr>
                <w:rFonts w:ascii="Times New Roman" w:hAnsi="Times New Roman" w:cs="Times New Roman"/>
              </w:rPr>
            </w:pPr>
            <w:r w:rsidRPr="00F3093D">
              <w:rPr>
                <w:rFonts w:ascii="Times New Roman" w:hAnsi="Times New Roman" w:cs="Times New Roman"/>
              </w:rPr>
              <w:t>VCM(ic)</w:t>
            </w:r>
          </w:p>
        </w:tc>
        <w:tc>
          <w:tcPr>
            <w:tcW w:w="1040" w:type="dxa"/>
            <w:noWrap/>
          </w:tcPr>
          <w:p w14:paraId="160544FA" w14:textId="06147D43" w:rsidR="008B5852" w:rsidRPr="00F3093D" w:rsidRDefault="008B5852" w:rsidP="00DF3009">
            <w:pPr>
              <w:rPr>
                <w:rFonts w:ascii="Times New Roman" w:hAnsi="Times New Roman" w:cs="Times New Roman"/>
              </w:rPr>
            </w:pPr>
            <w:r w:rsidRPr="00F3093D">
              <w:rPr>
                <w:rFonts w:ascii="Times New Roman" w:hAnsi="Times New Roman" w:cs="Times New Roman"/>
              </w:rPr>
              <w:t>0.943</w:t>
            </w:r>
          </w:p>
        </w:tc>
      </w:tr>
      <w:tr w:rsidR="008B5852" w:rsidRPr="00F3093D" w14:paraId="42446077" w14:textId="117284DB" w:rsidTr="0036466F">
        <w:trPr>
          <w:trHeight w:val="360"/>
        </w:trPr>
        <w:tc>
          <w:tcPr>
            <w:tcW w:w="2155" w:type="dxa"/>
            <w:noWrap/>
            <w:hideMark/>
          </w:tcPr>
          <w:p w14:paraId="6607B119" w14:textId="6CAFA266" w:rsidR="008B5852" w:rsidRPr="00F3093D" w:rsidRDefault="008B5852" w:rsidP="00DF3009">
            <w:pPr>
              <w:rPr>
                <w:rFonts w:ascii="Times New Roman" w:hAnsi="Times New Roman" w:cs="Times New Roman"/>
              </w:rPr>
            </w:pPr>
            <w:r w:rsidRPr="00F3093D">
              <w:rPr>
                <w:rFonts w:ascii="Times New Roman" w:hAnsi="Times New Roman" w:cs="Times New Roman"/>
              </w:rPr>
              <w:t>CEZ(ic)</w:t>
            </w:r>
          </w:p>
        </w:tc>
        <w:tc>
          <w:tcPr>
            <w:tcW w:w="1040" w:type="dxa"/>
            <w:noWrap/>
            <w:hideMark/>
          </w:tcPr>
          <w:p w14:paraId="5021F86D" w14:textId="0FDEF325" w:rsidR="008B5852" w:rsidRPr="00F3093D" w:rsidRDefault="008B5852" w:rsidP="00DF3009">
            <w:pPr>
              <w:rPr>
                <w:rFonts w:ascii="Times New Roman" w:hAnsi="Times New Roman" w:cs="Times New Roman"/>
              </w:rPr>
            </w:pPr>
            <w:r w:rsidRPr="00F3093D">
              <w:rPr>
                <w:rFonts w:ascii="Times New Roman" w:hAnsi="Times New Roman" w:cs="Times New Roman"/>
              </w:rPr>
              <w:t>0.817</w:t>
            </w:r>
          </w:p>
        </w:tc>
      </w:tr>
      <w:tr w:rsidR="008B5852" w:rsidRPr="00F3093D" w14:paraId="6832C482" w14:textId="75B34B73" w:rsidTr="0036466F">
        <w:trPr>
          <w:trHeight w:val="360"/>
        </w:trPr>
        <w:tc>
          <w:tcPr>
            <w:tcW w:w="2155" w:type="dxa"/>
            <w:noWrap/>
            <w:hideMark/>
          </w:tcPr>
          <w:p w14:paraId="54357A2A" w14:textId="1B00509F" w:rsidR="008B5852" w:rsidRPr="00F3093D" w:rsidRDefault="008B5852" w:rsidP="00DF3009">
            <w:pPr>
              <w:rPr>
                <w:rFonts w:ascii="Times New Roman" w:hAnsi="Times New Roman" w:cs="Times New Roman"/>
              </w:rPr>
            </w:pPr>
            <w:r w:rsidRPr="00F3093D">
              <w:rPr>
                <w:rFonts w:ascii="Times New Roman" w:hAnsi="Times New Roman" w:cs="Times New Roman"/>
              </w:rPr>
              <w:t>CXM(ic)+LVFX(ed)</w:t>
            </w:r>
          </w:p>
        </w:tc>
        <w:tc>
          <w:tcPr>
            <w:tcW w:w="1040" w:type="dxa"/>
            <w:noWrap/>
            <w:hideMark/>
          </w:tcPr>
          <w:p w14:paraId="229C7B4C" w14:textId="6AEA27B7" w:rsidR="008B5852" w:rsidRPr="00F3093D" w:rsidRDefault="008B5852" w:rsidP="00DF3009">
            <w:pPr>
              <w:rPr>
                <w:rFonts w:ascii="Times New Roman" w:hAnsi="Times New Roman" w:cs="Times New Roman"/>
              </w:rPr>
            </w:pPr>
            <w:r w:rsidRPr="00F3093D">
              <w:rPr>
                <w:rFonts w:ascii="Times New Roman" w:hAnsi="Times New Roman" w:cs="Times New Roman"/>
              </w:rPr>
              <w:t>0.711</w:t>
            </w:r>
          </w:p>
        </w:tc>
      </w:tr>
      <w:tr w:rsidR="008B5852" w:rsidRPr="00F3093D" w14:paraId="10CBB5C6" w14:textId="2C7F9EAD" w:rsidTr="0036466F">
        <w:trPr>
          <w:trHeight w:val="360"/>
        </w:trPr>
        <w:tc>
          <w:tcPr>
            <w:tcW w:w="2155" w:type="dxa"/>
            <w:noWrap/>
            <w:hideMark/>
          </w:tcPr>
          <w:p w14:paraId="7EA9AE60" w14:textId="74672570" w:rsidR="008B5852" w:rsidRPr="00F3093D" w:rsidRDefault="008B5852" w:rsidP="00DF3009">
            <w:pPr>
              <w:rPr>
                <w:rFonts w:ascii="Times New Roman" w:hAnsi="Times New Roman" w:cs="Times New Roman"/>
              </w:rPr>
            </w:pPr>
            <w:r w:rsidRPr="00F3093D">
              <w:rPr>
                <w:rFonts w:ascii="Times New Roman" w:hAnsi="Times New Roman" w:cs="Times New Roman"/>
              </w:rPr>
              <w:t>CXM(irg)</w:t>
            </w:r>
          </w:p>
        </w:tc>
        <w:tc>
          <w:tcPr>
            <w:tcW w:w="1040" w:type="dxa"/>
            <w:noWrap/>
            <w:hideMark/>
          </w:tcPr>
          <w:p w14:paraId="4E93A271" w14:textId="3410EA8C" w:rsidR="008B5852" w:rsidRPr="00F3093D" w:rsidRDefault="008B5852" w:rsidP="00DF3009">
            <w:pPr>
              <w:rPr>
                <w:rFonts w:ascii="Times New Roman" w:hAnsi="Times New Roman" w:cs="Times New Roman"/>
              </w:rPr>
            </w:pPr>
            <w:r w:rsidRPr="00F3093D">
              <w:rPr>
                <w:rFonts w:ascii="Times New Roman" w:hAnsi="Times New Roman" w:cs="Times New Roman"/>
              </w:rPr>
              <w:t>0.671</w:t>
            </w:r>
          </w:p>
        </w:tc>
      </w:tr>
      <w:tr w:rsidR="008B5852" w:rsidRPr="00F3093D" w14:paraId="72747D39" w14:textId="42C7F5A1" w:rsidTr="0036466F">
        <w:trPr>
          <w:trHeight w:val="360"/>
        </w:trPr>
        <w:tc>
          <w:tcPr>
            <w:tcW w:w="2155" w:type="dxa"/>
            <w:noWrap/>
            <w:hideMark/>
          </w:tcPr>
          <w:p w14:paraId="720935E8" w14:textId="5236E8C4" w:rsidR="008B5852" w:rsidRPr="00F3093D" w:rsidRDefault="008B5852" w:rsidP="00DF3009">
            <w:pPr>
              <w:rPr>
                <w:rFonts w:ascii="Times New Roman" w:hAnsi="Times New Roman" w:cs="Times New Roman"/>
              </w:rPr>
            </w:pPr>
            <w:r w:rsidRPr="00F3093D">
              <w:rPr>
                <w:rFonts w:ascii="Times New Roman" w:hAnsi="Times New Roman" w:cs="Times New Roman"/>
              </w:rPr>
              <w:t>CXM(ic)</w:t>
            </w:r>
          </w:p>
        </w:tc>
        <w:tc>
          <w:tcPr>
            <w:tcW w:w="1040" w:type="dxa"/>
            <w:noWrap/>
            <w:hideMark/>
          </w:tcPr>
          <w:p w14:paraId="66660256" w14:textId="033A2BED" w:rsidR="008B5852" w:rsidRPr="00F3093D" w:rsidRDefault="008B5852" w:rsidP="00DF3009">
            <w:pPr>
              <w:rPr>
                <w:rFonts w:ascii="Times New Roman" w:hAnsi="Times New Roman" w:cs="Times New Roman"/>
              </w:rPr>
            </w:pPr>
            <w:r w:rsidRPr="00F3093D">
              <w:rPr>
                <w:rFonts w:ascii="Times New Roman" w:hAnsi="Times New Roman" w:cs="Times New Roman"/>
              </w:rPr>
              <w:t>0.660</w:t>
            </w:r>
          </w:p>
        </w:tc>
      </w:tr>
      <w:tr w:rsidR="008B5852" w:rsidRPr="00F3093D" w14:paraId="403CA7B6" w14:textId="4C7F2E77" w:rsidTr="0036466F">
        <w:trPr>
          <w:trHeight w:val="360"/>
        </w:trPr>
        <w:tc>
          <w:tcPr>
            <w:tcW w:w="2155" w:type="dxa"/>
            <w:noWrap/>
            <w:hideMark/>
          </w:tcPr>
          <w:p w14:paraId="79F4E7B1" w14:textId="115B94C2" w:rsidR="008B5852" w:rsidRPr="00F3093D" w:rsidRDefault="008B5852" w:rsidP="00DF3009">
            <w:pPr>
              <w:rPr>
                <w:rFonts w:ascii="Times New Roman" w:hAnsi="Times New Roman" w:cs="Times New Roman"/>
              </w:rPr>
            </w:pPr>
            <w:r w:rsidRPr="00F3093D">
              <w:rPr>
                <w:rFonts w:ascii="Times New Roman" w:hAnsi="Times New Roman" w:cs="Times New Roman"/>
              </w:rPr>
              <w:t>CP(ped)</w:t>
            </w:r>
          </w:p>
        </w:tc>
        <w:tc>
          <w:tcPr>
            <w:tcW w:w="1040" w:type="dxa"/>
            <w:noWrap/>
            <w:hideMark/>
          </w:tcPr>
          <w:p w14:paraId="43697866" w14:textId="650AB108" w:rsidR="008B5852" w:rsidRPr="00F3093D" w:rsidRDefault="008B5852" w:rsidP="00DF3009">
            <w:pPr>
              <w:rPr>
                <w:rFonts w:ascii="Times New Roman" w:hAnsi="Times New Roman" w:cs="Times New Roman"/>
              </w:rPr>
            </w:pPr>
            <w:r w:rsidRPr="00F3093D">
              <w:rPr>
                <w:rFonts w:ascii="Times New Roman" w:hAnsi="Times New Roman" w:cs="Times New Roman"/>
              </w:rPr>
              <w:t>0.639</w:t>
            </w:r>
          </w:p>
        </w:tc>
      </w:tr>
      <w:tr w:rsidR="008B5852" w:rsidRPr="00F3093D" w14:paraId="03CE963E" w14:textId="4BDD5FBE" w:rsidTr="0036466F">
        <w:trPr>
          <w:trHeight w:val="360"/>
        </w:trPr>
        <w:tc>
          <w:tcPr>
            <w:tcW w:w="2155" w:type="dxa"/>
            <w:noWrap/>
            <w:hideMark/>
          </w:tcPr>
          <w:p w14:paraId="71FAD5F8" w14:textId="080647CD" w:rsidR="008B5852" w:rsidRPr="00F3093D" w:rsidRDefault="008B5852" w:rsidP="00DF3009">
            <w:pPr>
              <w:rPr>
                <w:rFonts w:ascii="Times New Roman" w:hAnsi="Times New Roman" w:cs="Times New Roman"/>
              </w:rPr>
            </w:pPr>
            <w:r w:rsidRPr="00F3093D">
              <w:rPr>
                <w:rFonts w:ascii="Times New Roman" w:hAnsi="Times New Roman" w:cs="Times New Roman"/>
              </w:rPr>
              <w:t>CXM(sc)</w:t>
            </w:r>
          </w:p>
        </w:tc>
        <w:tc>
          <w:tcPr>
            <w:tcW w:w="1040" w:type="dxa"/>
            <w:noWrap/>
            <w:hideMark/>
          </w:tcPr>
          <w:p w14:paraId="3EEF77AA" w14:textId="3FE1D9DF" w:rsidR="008B5852" w:rsidRPr="00F3093D" w:rsidRDefault="008B5852" w:rsidP="00DF3009">
            <w:pPr>
              <w:rPr>
                <w:rFonts w:ascii="Times New Roman" w:hAnsi="Times New Roman" w:cs="Times New Roman"/>
              </w:rPr>
            </w:pPr>
            <w:r w:rsidRPr="00F3093D">
              <w:rPr>
                <w:rFonts w:ascii="Times New Roman" w:hAnsi="Times New Roman" w:cs="Times New Roman"/>
              </w:rPr>
              <w:t>0.597</w:t>
            </w:r>
          </w:p>
        </w:tc>
      </w:tr>
      <w:tr w:rsidR="008B5852" w:rsidRPr="00F3093D" w14:paraId="4D208145" w14:textId="7D35469C" w:rsidTr="0036466F">
        <w:trPr>
          <w:trHeight w:val="360"/>
        </w:trPr>
        <w:tc>
          <w:tcPr>
            <w:tcW w:w="2155" w:type="dxa"/>
            <w:noWrap/>
            <w:hideMark/>
          </w:tcPr>
          <w:p w14:paraId="27668811" w14:textId="7EEAA434" w:rsidR="008B5852" w:rsidRPr="00F3093D" w:rsidRDefault="008B5852" w:rsidP="00DF3009">
            <w:pPr>
              <w:rPr>
                <w:rFonts w:ascii="Times New Roman" w:hAnsi="Times New Roman" w:cs="Times New Roman"/>
              </w:rPr>
            </w:pPr>
            <w:r w:rsidRPr="00F3093D">
              <w:rPr>
                <w:rFonts w:ascii="Times New Roman" w:hAnsi="Times New Roman" w:cs="Times New Roman"/>
              </w:rPr>
              <w:t>MFLX(ic)</w:t>
            </w:r>
          </w:p>
        </w:tc>
        <w:tc>
          <w:tcPr>
            <w:tcW w:w="1040" w:type="dxa"/>
            <w:noWrap/>
            <w:hideMark/>
          </w:tcPr>
          <w:p w14:paraId="237EA8DA" w14:textId="2B10301A" w:rsidR="008B5852" w:rsidRPr="00F3093D" w:rsidRDefault="008B5852" w:rsidP="00DF3009">
            <w:pPr>
              <w:rPr>
                <w:rFonts w:ascii="Times New Roman" w:hAnsi="Times New Roman" w:cs="Times New Roman"/>
              </w:rPr>
            </w:pPr>
            <w:r w:rsidRPr="00F3093D">
              <w:rPr>
                <w:rFonts w:ascii="Times New Roman" w:hAnsi="Times New Roman" w:cs="Times New Roman"/>
              </w:rPr>
              <w:t>0.474</w:t>
            </w:r>
          </w:p>
        </w:tc>
      </w:tr>
      <w:tr w:rsidR="008B5852" w:rsidRPr="00F3093D" w14:paraId="6A9CD4F0" w14:textId="37AC2137" w:rsidTr="0036466F">
        <w:trPr>
          <w:trHeight w:val="360"/>
        </w:trPr>
        <w:tc>
          <w:tcPr>
            <w:tcW w:w="2155" w:type="dxa"/>
            <w:noWrap/>
            <w:hideMark/>
          </w:tcPr>
          <w:p w14:paraId="730C183E" w14:textId="5810F4D4" w:rsidR="008B5852" w:rsidRPr="00F3093D" w:rsidRDefault="008B5852" w:rsidP="00DF3009">
            <w:pPr>
              <w:rPr>
                <w:rFonts w:ascii="Times New Roman" w:hAnsi="Times New Roman" w:cs="Times New Roman"/>
              </w:rPr>
            </w:pPr>
            <w:r w:rsidRPr="00F3093D">
              <w:rPr>
                <w:rFonts w:ascii="Times New Roman" w:hAnsi="Times New Roman" w:cs="Times New Roman"/>
              </w:rPr>
              <w:t>LVFX(ed)</w:t>
            </w:r>
          </w:p>
        </w:tc>
        <w:tc>
          <w:tcPr>
            <w:tcW w:w="1040" w:type="dxa"/>
            <w:noWrap/>
            <w:hideMark/>
          </w:tcPr>
          <w:p w14:paraId="320AFD1B" w14:textId="353B113F" w:rsidR="008B5852" w:rsidRPr="00F3093D" w:rsidRDefault="008B5852" w:rsidP="00DF3009">
            <w:pPr>
              <w:rPr>
                <w:rFonts w:ascii="Times New Roman" w:hAnsi="Times New Roman" w:cs="Times New Roman"/>
              </w:rPr>
            </w:pPr>
            <w:r w:rsidRPr="00F3093D">
              <w:rPr>
                <w:rFonts w:ascii="Times New Roman" w:hAnsi="Times New Roman" w:cs="Times New Roman"/>
              </w:rPr>
              <w:t>0.317</w:t>
            </w:r>
          </w:p>
        </w:tc>
      </w:tr>
      <w:tr w:rsidR="008B5852" w:rsidRPr="00F3093D" w14:paraId="1C8B45E1" w14:textId="79BA70E0" w:rsidTr="0036466F">
        <w:trPr>
          <w:trHeight w:val="360"/>
        </w:trPr>
        <w:tc>
          <w:tcPr>
            <w:tcW w:w="2155" w:type="dxa"/>
            <w:noWrap/>
            <w:hideMark/>
          </w:tcPr>
          <w:p w14:paraId="1DA1FD1E" w14:textId="410CBCA1" w:rsidR="008B5852" w:rsidRPr="00F3093D" w:rsidRDefault="008B5852" w:rsidP="00DF3009">
            <w:pPr>
              <w:rPr>
                <w:rFonts w:ascii="Times New Roman" w:hAnsi="Times New Roman" w:cs="Times New Roman"/>
              </w:rPr>
            </w:pPr>
            <w:r w:rsidRPr="00F3093D">
              <w:rPr>
                <w:rFonts w:ascii="Times New Roman" w:hAnsi="Times New Roman" w:cs="Times New Roman"/>
              </w:rPr>
              <w:t>CPFX(pldgg)</w:t>
            </w:r>
          </w:p>
        </w:tc>
        <w:tc>
          <w:tcPr>
            <w:tcW w:w="1040" w:type="dxa"/>
            <w:noWrap/>
            <w:hideMark/>
          </w:tcPr>
          <w:p w14:paraId="6A781A06" w14:textId="222B069A" w:rsidR="008B5852" w:rsidRPr="00F3093D" w:rsidRDefault="008B5852" w:rsidP="00DF3009">
            <w:pPr>
              <w:rPr>
                <w:rFonts w:ascii="Times New Roman" w:hAnsi="Times New Roman" w:cs="Times New Roman"/>
              </w:rPr>
            </w:pPr>
            <w:r w:rsidRPr="00F3093D">
              <w:rPr>
                <w:rFonts w:ascii="Times New Roman" w:hAnsi="Times New Roman" w:cs="Times New Roman"/>
              </w:rPr>
              <w:t>0.252</w:t>
            </w:r>
          </w:p>
        </w:tc>
      </w:tr>
      <w:tr w:rsidR="008B5852" w:rsidRPr="00F3093D" w14:paraId="0417236F" w14:textId="2C9A1D08" w:rsidTr="0036466F">
        <w:trPr>
          <w:trHeight w:val="360"/>
        </w:trPr>
        <w:tc>
          <w:tcPr>
            <w:tcW w:w="2155" w:type="dxa"/>
            <w:noWrap/>
            <w:hideMark/>
          </w:tcPr>
          <w:p w14:paraId="26047938" w14:textId="6BEFB3C9" w:rsidR="008B5852" w:rsidRPr="00F3093D" w:rsidRDefault="008B5852" w:rsidP="00DF3009">
            <w:pPr>
              <w:rPr>
                <w:rFonts w:ascii="Times New Roman" w:hAnsi="Times New Roman" w:cs="Times New Roman"/>
              </w:rPr>
            </w:pPr>
            <w:r w:rsidRPr="00F3093D">
              <w:rPr>
                <w:rFonts w:ascii="Times New Roman" w:hAnsi="Times New Roman" w:cs="Times New Roman"/>
              </w:rPr>
              <w:t>NONE</w:t>
            </w:r>
          </w:p>
        </w:tc>
        <w:tc>
          <w:tcPr>
            <w:tcW w:w="1040" w:type="dxa"/>
            <w:noWrap/>
            <w:hideMark/>
          </w:tcPr>
          <w:p w14:paraId="14AB20D4" w14:textId="79C6C18C" w:rsidR="008B5852" w:rsidRPr="00F3093D" w:rsidRDefault="008B5852" w:rsidP="00DF3009">
            <w:pPr>
              <w:rPr>
                <w:rFonts w:ascii="Times New Roman" w:hAnsi="Times New Roman" w:cs="Times New Roman"/>
              </w:rPr>
            </w:pPr>
            <w:r w:rsidRPr="00F3093D">
              <w:rPr>
                <w:rFonts w:ascii="Times New Roman" w:hAnsi="Times New Roman" w:cs="Times New Roman"/>
              </w:rPr>
              <w:t>0.222</w:t>
            </w:r>
          </w:p>
        </w:tc>
      </w:tr>
      <w:tr w:rsidR="008B5852" w:rsidRPr="00F3093D" w14:paraId="6F22E3AA" w14:textId="72285812" w:rsidTr="0036466F">
        <w:trPr>
          <w:trHeight w:val="360"/>
        </w:trPr>
        <w:tc>
          <w:tcPr>
            <w:tcW w:w="2155" w:type="dxa"/>
            <w:noWrap/>
            <w:hideMark/>
          </w:tcPr>
          <w:p w14:paraId="06B71891" w14:textId="741B9ED0" w:rsidR="008B5852" w:rsidRPr="00F3093D" w:rsidRDefault="008B5852" w:rsidP="00DF3009">
            <w:pPr>
              <w:rPr>
                <w:rFonts w:ascii="Times New Roman" w:hAnsi="Times New Roman" w:cs="Times New Roman"/>
              </w:rPr>
            </w:pPr>
            <w:r w:rsidRPr="00F3093D">
              <w:rPr>
                <w:rFonts w:ascii="Times New Roman" w:hAnsi="Times New Roman" w:cs="Times New Roman"/>
              </w:rPr>
              <w:t>CP(ed)</w:t>
            </w:r>
          </w:p>
        </w:tc>
        <w:tc>
          <w:tcPr>
            <w:tcW w:w="1040" w:type="dxa"/>
            <w:noWrap/>
            <w:hideMark/>
          </w:tcPr>
          <w:p w14:paraId="393631D7" w14:textId="4A3DAAB5" w:rsidR="008B5852" w:rsidRPr="00F3093D" w:rsidRDefault="008B5852" w:rsidP="00DF3009">
            <w:pPr>
              <w:rPr>
                <w:rFonts w:ascii="Times New Roman" w:hAnsi="Times New Roman" w:cs="Times New Roman"/>
              </w:rPr>
            </w:pPr>
            <w:r w:rsidRPr="00F3093D">
              <w:rPr>
                <w:rFonts w:ascii="Times New Roman" w:hAnsi="Times New Roman" w:cs="Times New Roman"/>
              </w:rPr>
              <w:t>0.161</w:t>
            </w:r>
          </w:p>
        </w:tc>
      </w:tr>
      <w:tr w:rsidR="008B5852" w:rsidRPr="00F3093D" w14:paraId="294942F9" w14:textId="536EA504" w:rsidTr="0036466F">
        <w:trPr>
          <w:trHeight w:val="360"/>
        </w:trPr>
        <w:tc>
          <w:tcPr>
            <w:tcW w:w="2155" w:type="dxa"/>
            <w:noWrap/>
            <w:hideMark/>
          </w:tcPr>
          <w:p w14:paraId="2884D371" w14:textId="074EB89E" w:rsidR="008B5852" w:rsidRPr="00F3093D" w:rsidRDefault="008B5852" w:rsidP="00DF3009">
            <w:pPr>
              <w:rPr>
                <w:rFonts w:ascii="Times New Roman" w:hAnsi="Times New Roman" w:cs="Times New Roman"/>
              </w:rPr>
            </w:pPr>
            <w:r w:rsidRPr="00F3093D">
              <w:rPr>
                <w:rFonts w:ascii="Times New Roman" w:hAnsi="Times New Roman" w:cs="Times New Roman"/>
              </w:rPr>
              <w:t>NEOM(ped)</w:t>
            </w:r>
          </w:p>
        </w:tc>
        <w:tc>
          <w:tcPr>
            <w:tcW w:w="1040" w:type="dxa"/>
            <w:noWrap/>
            <w:hideMark/>
          </w:tcPr>
          <w:p w14:paraId="0AB05212" w14:textId="21B19E41" w:rsidR="008B5852" w:rsidRPr="00F3093D" w:rsidRDefault="008B5852" w:rsidP="00DF3009">
            <w:pPr>
              <w:rPr>
                <w:rFonts w:ascii="Times New Roman" w:hAnsi="Times New Roman" w:cs="Times New Roman"/>
              </w:rPr>
            </w:pPr>
            <w:r w:rsidRPr="00F3093D">
              <w:rPr>
                <w:rFonts w:ascii="Times New Roman" w:hAnsi="Times New Roman" w:cs="Times New Roman"/>
              </w:rPr>
              <w:t>0.037</w:t>
            </w:r>
          </w:p>
        </w:tc>
      </w:tr>
    </w:tbl>
    <w:p w14:paraId="2803FC65" w14:textId="0D0C5D0B" w:rsidR="00972CBB" w:rsidRPr="00F3093D" w:rsidRDefault="00972CBB" w:rsidP="00972CBB">
      <w:pPr>
        <w:rPr>
          <w:rFonts w:ascii="Times New Roman" w:hAnsi="Times New Roman" w:cs="Times New Roman"/>
        </w:rPr>
      </w:pPr>
      <w:r w:rsidRPr="00F3093D">
        <w:rPr>
          <w:rFonts w:ascii="Times New Roman" w:hAnsi="Times New Roman" w:cs="Times New Roman"/>
        </w:rPr>
        <w:t>NONE, no prophylactic antibiotics; CEZ, cefazoline; CXM, cefuroxime; MFLX, moxifloxacin; CPFX, ciprofloxacin; LVFX, levofloxacin; NEOM, neomycin</w:t>
      </w:r>
      <w:r w:rsidR="008B5852" w:rsidRPr="00F3093D">
        <w:rPr>
          <w:rFonts w:ascii="Times New Roman" w:hAnsi="Times New Roman" w:cs="Times New Roman"/>
        </w:rPr>
        <w:t xml:space="preserve">; </w:t>
      </w:r>
      <w:r w:rsidRPr="00F3093D">
        <w:rPr>
          <w:rFonts w:ascii="Times New Roman" w:hAnsi="Times New Roman" w:cs="Times New Roman"/>
        </w:rPr>
        <w:t xml:space="preserve">CP, </w:t>
      </w:r>
      <w:r w:rsidR="007C24FD">
        <w:rPr>
          <w:rFonts w:ascii="Times New Roman" w:hAnsi="Times New Roman" w:cs="Times New Roman"/>
        </w:rPr>
        <w:t>Chloramphenicol</w:t>
      </w:r>
      <w:r w:rsidR="007C24FD" w:rsidRPr="00F3093D">
        <w:rPr>
          <w:rFonts w:ascii="Times New Roman" w:hAnsi="Times New Roman" w:cs="Times New Roman"/>
        </w:rPr>
        <w:t>; VCM, vancomycin</w:t>
      </w:r>
      <w:r w:rsidRPr="00F3093D">
        <w:rPr>
          <w:rFonts w:ascii="Times New Roman" w:hAnsi="Times New Roman" w:cs="Times New Roman"/>
        </w:rPr>
        <w:t>.</w:t>
      </w:r>
    </w:p>
    <w:p w14:paraId="3BF67B45" w14:textId="2FF492C5" w:rsidR="00972CBB" w:rsidRPr="00F3093D" w:rsidRDefault="00972CBB" w:rsidP="00972CBB">
      <w:pPr>
        <w:rPr>
          <w:rFonts w:ascii="Times New Roman" w:hAnsi="Times New Roman" w:cs="Times New Roman"/>
        </w:rPr>
      </w:pPr>
      <w:r w:rsidRPr="00F3093D">
        <w:rPr>
          <w:rFonts w:ascii="Times New Roman" w:hAnsi="Times New Roman" w:cs="Times New Roman"/>
        </w:rPr>
        <w:t xml:space="preserve">ic, intracameral; ed, eye drop; ped, pre-operative eye drop; irg, irrigation; sc, subconjunctival injection; pldg, pledget.  </w:t>
      </w:r>
    </w:p>
    <w:p w14:paraId="7696C34B" w14:textId="33FAF102" w:rsidR="002A09C7" w:rsidRPr="00F3093D" w:rsidRDefault="002A09C7" w:rsidP="00DC437B">
      <w:pPr>
        <w:rPr>
          <w:rFonts w:ascii="Times New Roman" w:hAnsi="Times New Roman" w:cs="Times New Roman"/>
        </w:rPr>
      </w:pPr>
    </w:p>
    <w:p w14:paraId="7050D3FA" w14:textId="67E1115C" w:rsidR="002A09C7" w:rsidRPr="00F3093D" w:rsidRDefault="002A09C7" w:rsidP="00DC437B">
      <w:pPr>
        <w:rPr>
          <w:rFonts w:ascii="Times New Roman" w:hAnsi="Times New Roman" w:cs="Times New Roman"/>
        </w:rPr>
      </w:pPr>
    </w:p>
    <w:p w14:paraId="11657257" w14:textId="77777777" w:rsidR="001F545D" w:rsidRPr="00F3093D" w:rsidRDefault="001F545D" w:rsidP="00F5684F">
      <w:pPr>
        <w:rPr>
          <w:rFonts w:ascii="Times New Roman" w:hAnsi="Times New Roman" w:cs="Times New Roman"/>
        </w:rPr>
      </w:pPr>
      <w:r w:rsidRPr="00F3093D">
        <w:rPr>
          <w:rFonts w:ascii="Times New Roman" w:hAnsi="Times New Roman" w:cs="Times New Roman"/>
        </w:rPr>
        <w:br w:type="page"/>
      </w:r>
    </w:p>
    <w:p w14:paraId="0A8FD980" w14:textId="5B06F157" w:rsidR="00F5684F" w:rsidRPr="007A37C8" w:rsidRDefault="0077094C" w:rsidP="00F5684F">
      <w:pPr>
        <w:rPr>
          <w:rFonts w:ascii="Times New Roman" w:hAnsi="Times New Roman" w:cs="Times New Roman"/>
          <w:b/>
          <w:bCs/>
        </w:rPr>
      </w:pPr>
      <w:r>
        <w:rPr>
          <w:rFonts w:ascii="Times New Roman" w:hAnsi="Times New Roman" w:cs="Times New Roman"/>
          <w:b/>
          <w:bCs/>
        </w:rPr>
        <w:lastRenderedPageBreak/>
        <w:t xml:space="preserve">Supplementary Table </w:t>
      </w:r>
      <w:r w:rsidR="00630D1C" w:rsidRPr="007A37C8">
        <w:rPr>
          <w:rFonts w:ascii="Times New Roman" w:hAnsi="Times New Roman" w:cs="Times New Roman"/>
          <w:b/>
          <w:bCs/>
        </w:rPr>
        <w:t>6</w:t>
      </w:r>
      <w:r w:rsidR="00F5684F" w:rsidRPr="007A37C8">
        <w:rPr>
          <w:rFonts w:ascii="Times New Roman" w:hAnsi="Times New Roman" w:cs="Times New Roman"/>
          <w:b/>
          <w:bCs/>
        </w:rPr>
        <w:t xml:space="preserve">. </w:t>
      </w:r>
      <w:r w:rsidR="0077287D" w:rsidRPr="007A37C8">
        <w:rPr>
          <w:rFonts w:ascii="Times New Roman" w:hAnsi="Times New Roman" w:cs="Times New Roman"/>
          <w:b/>
          <w:bCs/>
        </w:rPr>
        <w:t>P-score</w:t>
      </w:r>
      <w:r w:rsidR="00F5684F" w:rsidRPr="007A37C8">
        <w:rPr>
          <w:rFonts w:ascii="Times New Roman" w:hAnsi="Times New Roman" w:cs="Times New Roman"/>
          <w:b/>
          <w:bCs/>
        </w:rPr>
        <w:t xml:space="preserve"> for </w:t>
      </w:r>
      <w:r w:rsidR="0077287D" w:rsidRPr="007A37C8">
        <w:rPr>
          <w:rFonts w:ascii="Times New Roman" w:hAnsi="Times New Roman" w:cs="Times New Roman"/>
          <w:b/>
          <w:bCs/>
        </w:rPr>
        <w:t xml:space="preserve">the route model </w:t>
      </w:r>
      <w:r w:rsidR="00F5684F" w:rsidRPr="007A37C8">
        <w:rPr>
          <w:rFonts w:ascii="Times New Roman" w:hAnsi="Times New Roman" w:cs="Times New Roman"/>
          <w:b/>
          <w:bCs/>
        </w:rPr>
        <w:t>sensitivity</w:t>
      </w:r>
      <w:r w:rsidR="0077287D" w:rsidRPr="007A37C8">
        <w:rPr>
          <w:rFonts w:ascii="Times New Roman" w:hAnsi="Times New Roman" w:cs="Times New Roman"/>
          <w:b/>
          <w:bCs/>
        </w:rPr>
        <w:t xml:space="preserve"> analysis.</w:t>
      </w:r>
    </w:p>
    <w:tbl>
      <w:tblPr>
        <w:tblStyle w:val="a7"/>
        <w:tblW w:w="0" w:type="auto"/>
        <w:tblLook w:val="04A0" w:firstRow="1" w:lastRow="0" w:firstColumn="1" w:lastColumn="0" w:noHBand="0" w:noVBand="1"/>
      </w:tblPr>
      <w:tblGrid>
        <w:gridCol w:w="2155"/>
        <w:gridCol w:w="1040"/>
      </w:tblGrid>
      <w:tr w:rsidR="00F5684F" w:rsidRPr="00F3093D" w14:paraId="052D8935" w14:textId="77777777" w:rsidTr="00DD00EF">
        <w:trPr>
          <w:trHeight w:val="360"/>
        </w:trPr>
        <w:tc>
          <w:tcPr>
            <w:tcW w:w="2155" w:type="dxa"/>
            <w:shd w:val="clear" w:color="auto" w:fill="BFBFBF" w:themeFill="background1" w:themeFillShade="BF"/>
            <w:noWrap/>
            <w:hideMark/>
          </w:tcPr>
          <w:p w14:paraId="4B97AA9D" w14:textId="77777777" w:rsidR="00F5684F" w:rsidRPr="00F3093D" w:rsidRDefault="00F5684F" w:rsidP="0036466F">
            <w:pPr>
              <w:rPr>
                <w:rFonts w:ascii="Times New Roman" w:hAnsi="Times New Roman" w:cs="Times New Roman"/>
              </w:rPr>
            </w:pPr>
          </w:p>
        </w:tc>
        <w:tc>
          <w:tcPr>
            <w:tcW w:w="1040" w:type="dxa"/>
            <w:shd w:val="clear" w:color="auto" w:fill="BFBFBF" w:themeFill="background1" w:themeFillShade="BF"/>
            <w:noWrap/>
            <w:hideMark/>
          </w:tcPr>
          <w:p w14:paraId="14791BD5" w14:textId="77777777" w:rsidR="00F5684F" w:rsidRPr="00F3093D" w:rsidRDefault="00F5684F" w:rsidP="0036466F">
            <w:pPr>
              <w:rPr>
                <w:rFonts w:ascii="Times New Roman" w:hAnsi="Times New Roman" w:cs="Times New Roman"/>
              </w:rPr>
            </w:pPr>
            <w:r w:rsidRPr="00F3093D">
              <w:rPr>
                <w:rFonts w:ascii="Times New Roman" w:hAnsi="Times New Roman" w:cs="Times New Roman"/>
              </w:rPr>
              <w:t>P-score</w:t>
            </w:r>
          </w:p>
        </w:tc>
      </w:tr>
      <w:tr w:rsidR="00074134" w:rsidRPr="00F3093D" w14:paraId="7132D2E2" w14:textId="77777777" w:rsidTr="0036466F">
        <w:trPr>
          <w:trHeight w:val="360"/>
        </w:trPr>
        <w:tc>
          <w:tcPr>
            <w:tcW w:w="2155" w:type="dxa"/>
            <w:noWrap/>
            <w:hideMark/>
          </w:tcPr>
          <w:p w14:paraId="3EF56D07" w14:textId="7D50D1AC" w:rsidR="00074134" w:rsidRPr="00F3093D" w:rsidRDefault="00074134" w:rsidP="00074134">
            <w:pPr>
              <w:rPr>
                <w:rFonts w:ascii="Times New Roman" w:hAnsi="Times New Roman" w:cs="Times New Roman"/>
              </w:rPr>
            </w:pPr>
            <w:r w:rsidRPr="00F3093D">
              <w:rPr>
                <w:rFonts w:ascii="Times New Roman" w:hAnsi="Times New Roman" w:cs="Times New Roman"/>
              </w:rPr>
              <w:t>oint</w:t>
            </w:r>
          </w:p>
        </w:tc>
        <w:tc>
          <w:tcPr>
            <w:tcW w:w="1040" w:type="dxa"/>
            <w:noWrap/>
            <w:hideMark/>
          </w:tcPr>
          <w:p w14:paraId="686476EA" w14:textId="3671E2FC" w:rsidR="00074134" w:rsidRPr="00F3093D" w:rsidRDefault="00074134" w:rsidP="00074134">
            <w:pPr>
              <w:rPr>
                <w:rFonts w:ascii="Times New Roman" w:hAnsi="Times New Roman" w:cs="Times New Roman"/>
              </w:rPr>
            </w:pPr>
            <w:r w:rsidRPr="00F3093D">
              <w:rPr>
                <w:rFonts w:ascii="Times New Roman" w:hAnsi="Times New Roman" w:cs="Times New Roman"/>
              </w:rPr>
              <w:t>0.761</w:t>
            </w:r>
          </w:p>
        </w:tc>
      </w:tr>
      <w:tr w:rsidR="00074134" w:rsidRPr="00F3093D" w14:paraId="29E1AB03" w14:textId="77777777" w:rsidTr="0036466F">
        <w:trPr>
          <w:trHeight w:val="360"/>
        </w:trPr>
        <w:tc>
          <w:tcPr>
            <w:tcW w:w="2155" w:type="dxa"/>
            <w:noWrap/>
            <w:hideMark/>
          </w:tcPr>
          <w:p w14:paraId="45D12D2D" w14:textId="044BEF3B" w:rsidR="00074134" w:rsidRPr="00F3093D" w:rsidRDefault="00074134" w:rsidP="00074134">
            <w:pPr>
              <w:rPr>
                <w:rFonts w:ascii="Times New Roman" w:hAnsi="Times New Roman" w:cs="Times New Roman"/>
              </w:rPr>
            </w:pPr>
            <w:r w:rsidRPr="00F3093D">
              <w:rPr>
                <w:rFonts w:ascii="Times New Roman" w:hAnsi="Times New Roman" w:cs="Times New Roman"/>
              </w:rPr>
              <w:t>ic+ed</w:t>
            </w:r>
          </w:p>
        </w:tc>
        <w:tc>
          <w:tcPr>
            <w:tcW w:w="1040" w:type="dxa"/>
            <w:noWrap/>
            <w:hideMark/>
          </w:tcPr>
          <w:p w14:paraId="04BEE19B" w14:textId="6681CEF1" w:rsidR="00074134" w:rsidRPr="00F3093D" w:rsidRDefault="00074134" w:rsidP="00074134">
            <w:pPr>
              <w:rPr>
                <w:rFonts w:ascii="Times New Roman" w:hAnsi="Times New Roman" w:cs="Times New Roman"/>
              </w:rPr>
            </w:pPr>
            <w:r w:rsidRPr="00F3093D">
              <w:rPr>
                <w:rFonts w:ascii="Times New Roman" w:hAnsi="Times New Roman" w:cs="Times New Roman"/>
              </w:rPr>
              <w:t>0.758</w:t>
            </w:r>
          </w:p>
        </w:tc>
      </w:tr>
      <w:tr w:rsidR="00074134" w:rsidRPr="00F3093D" w14:paraId="2E928A23" w14:textId="77777777" w:rsidTr="0036466F">
        <w:trPr>
          <w:trHeight w:val="360"/>
        </w:trPr>
        <w:tc>
          <w:tcPr>
            <w:tcW w:w="2155" w:type="dxa"/>
            <w:noWrap/>
            <w:hideMark/>
          </w:tcPr>
          <w:p w14:paraId="516A524D" w14:textId="45E62C1A" w:rsidR="00074134" w:rsidRPr="00F3093D" w:rsidRDefault="00074134" w:rsidP="00074134">
            <w:pPr>
              <w:rPr>
                <w:rFonts w:ascii="Times New Roman" w:hAnsi="Times New Roman" w:cs="Times New Roman"/>
              </w:rPr>
            </w:pPr>
            <w:r w:rsidRPr="00F3093D">
              <w:rPr>
                <w:rFonts w:ascii="Times New Roman" w:hAnsi="Times New Roman" w:cs="Times New Roman"/>
              </w:rPr>
              <w:t>ic</w:t>
            </w:r>
          </w:p>
        </w:tc>
        <w:tc>
          <w:tcPr>
            <w:tcW w:w="1040" w:type="dxa"/>
            <w:noWrap/>
            <w:hideMark/>
          </w:tcPr>
          <w:p w14:paraId="76E4475C" w14:textId="17BF3B58" w:rsidR="00074134" w:rsidRPr="00F3093D" w:rsidRDefault="00074134" w:rsidP="00074134">
            <w:pPr>
              <w:rPr>
                <w:rFonts w:ascii="Times New Roman" w:hAnsi="Times New Roman" w:cs="Times New Roman"/>
              </w:rPr>
            </w:pPr>
            <w:r w:rsidRPr="00F3093D">
              <w:rPr>
                <w:rFonts w:ascii="Times New Roman" w:hAnsi="Times New Roman" w:cs="Times New Roman"/>
              </w:rPr>
              <w:t>0.726</w:t>
            </w:r>
          </w:p>
        </w:tc>
      </w:tr>
      <w:tr w:rsidR="00074134" w:rsidRPr="00F3093D" w14:paraId="6391B03A" w14:textId="77777777" w:rsidTr="0036466F">
        <w:trPr>
          <w:trHeight w:val="360"/>
        </w:trPr>
        <w:tc>
          <w:tcPr>
            <w:tcW w:w="2155" w:type="dxa"/>
            <w:noWrap/>
            <w:hideMark/>
          </w:tcPr>
          <w:p w14:paraId="46CA21FA" w14:textId="5C79E71F" w:rsidR="00074134" w:rsidRPr="00F3093D" w:rsidRDefault="00074134" w:rsidP="00074134">
            <w:pPr>
              <w:rPr>
                <w:rFonts w:ascii="Times New Roman" w:hAnsi="Times New Roman" w:cs="Times New Roman"/>
              </w:rPr>
            </w:pPr>
            <w:r w:rsidRPr="00F3093D">
              <w:rPr>
                <w:rFonts w:ascii="Times New Roman" w:hAnsi="Times New Roman" w:cs="Times New Roman"/>
              </w:rPr>
              <w:t>irg</w:t>
            </w:r>
          </w:p>
        </w:tc>
        <w:tc>
          <w:tcPr>
            <w:tcW w:w="1040" w:type="dxa"/>
            <w:noWrap/>
            <w:hideMark/>
          </w:tcPr>
          <w:p w14:paraId="538655AD" w14:textId="36FA5B05" w:rsidR="00074134" w:rsidRPr="00F3093D" w:rsidRDefault="00074134" w:rsidP="00074134">
            <w:pPr>
              <w:rPr>
                <w:rFonts w:ascii="Times New Roman" w:hAnsi="Times New Roman" w:cs="Times New Roman"/>
              </w:rPr>
            </w:pPr>
            <w:r w:rsidRPr="00F3093D">
              <w:rPr>
                <w:rFonts w:ascii="Times New Roman" w:hAnsi="Times New Roman" w:cs="Times New Roman"/>
              </w:rPr>
              <w:t>0.722</w:t>
            </w:r>
          </w:p>
        </w:tc>
      </w:tr>
      <w:tr w:rsidR="00074134" w:rsidRPr="00F3093D" w14:paraId="0112B928" w14:textId="77777777" w:rsidTr="0036466F">
        <w:trPr>
          <w:trHeight w:val="360"/>
        </w:trPr>
        <w:tc>
          <w:tcPr>
            <w:tcW w:w="2155" w:type="dxa"/>
            <w:noWrap/>
            <w:hideMark/>
          </w:tcPr>
          <w:p w14:paraId="67228DDD" w14:textId="2C942177" w:rsidR="00074134" w:rsidRPr="00F3093D" w:rsidRDefault="00074134" w:rsidP="00074134">
            <w:pPr>
              <w:rPr>
                <w:rFonts w:ascii="Times New Roman" w:hAnsi="Times New Roman" w:cs="Times New Roman"/>
              </w:rPr>
            </w:pPr>
            <w:r w:rsidRPr="00F3093D">
              <w:rPr>
                <w:rFonts w:ascii="Times New Roman" w:hAnsi="Times New Roman" w:cs="Times New Roman"/>
              </w:rPr>
              <w:t>sc</w:t>
            </w:r>
          </w:p>
        </w:tc>
        <w:tc>
          <w:tcPr>
            <w:tcW w:w="1040" w:type="dxa"/>
            <w:noWrap/>
            <w:hideMark/>
          </w:tcPr>
          <w:p w14:paraId="33A94D99" w14:textId="65574B13" w:rsidR="00074134" w:rsidRPr="00F3093D" w:rsidRDefault="00074134" w:rsidP="00074134">
            <w:pPr>
              <w:rPr>
                <w:rFonts w:ascii="Times New Roman" w:hAnsi="Times New Roman" w:cs="Times New Roman"/>
              </w:rPr>
            </w:pPr>
            <w:r w:rsidRPr="00F3093D">
              <w:rPr>
                <w:rFonts w:ascii="Times New Roman" w:hAnsi="Times New Roman" w:cs="Times New Roman"/>
              </w:rPr>
              <w:t>0.570</w:t>
            </w:r>
          </w:p>
        </w:tc>
      </w:tr>
      <w:tr w:rsidR="00074134" w:rsidRPr="00F3093D" w14:paraId="6AF90581" w14:textId="77777777" w:rsidTr="0036466F">
        <w:trPr>
          <w:trHeight w:val="360"/>
        </w:trPr>
        <w:tc>
          <w:tcPr>
            <w:tcW w:w="2155" w:type="dxa"/>
            <w:noWrap/>
            <w:hideMark/>
          </w:tcPr>
          <w:p w14:paraId="4655ED73" w14:textId="0D734788" w:rsidR="00074134" w:rsidRPr="00F3093D" w:rsidRDefault="00074134" w:rsidP="00074134">
            <w:pPr>
              <w:rPr>
                <w:rFonts w:ascii="Times New Roman" w:hAnsi="Times New Roman" w:cs="Times New Roman"/>
              </w:rPr>
            </w:pPr>
            <w:r w:rsidRPr="00F3093D">
              <w:rPr>
                <w:rFonts w:ascii="Times New Roman" w:hAnsi="Times New Roman" w:cs="Times New Roman"/>
              </w:rPr>
              <w:t>ped</w:t>
            </w:r>
          </w:p>
        </w:tc>
        <w:tc>
          <w:tcPr>
            <w:tcW w:w="1040" w:type="dxa"/>
            <w:noWrap/>
            <w:hideMark/>
          </w:tcPr>
          <w:p w14:paraId="69833E46" w14:textId="60E7F556" w:rsidR="00074134" w:rsidRPr="00F3093D" w:rsidRDefault="00074134" w:rsidP="00074134">
            <w:pPr>
              <w:rPr>
                <w:rFonts w:ascii="Times New Roman" w:hAnsi="Times New Roman" w:cs="Times New Roman"/>
              </w:rPr>
            </w:pPr>
            <w:r w:rsidRPr="00F3093D">
              <w:rPr>
                <w:rFonts w:ascii="Times New Roman" w:hAnsi="Times New Roman" w:cs="Times New Roman"/>
              </w:rPr>
              <w:t>0.386</w:t>
            </w:r>
          </w:p>
        </w:tc>
      </w:tr>
      <w:tr w:rsidR="00074134" w:rsidRPr="00F3093D" w14:paraId="60DD92C7" w14:textId="77777777" w:rsidTr="0036466F">
        <w:trPr>
          <w:trHeight w:val="360"/>
        </w:trPr>
        <w:tc>
          <w:tcPr>
            <w:tcW w:w="2155" w:type="dxa"/>
            <w:noWrap/>
            <w:hideMark/>
          </w:tcPr>
          <w:p w14:paraId="6E550C4A" w14:textId="3486221D" w:rsidR="00074134" w:rsidRPr="00F3093D" w:rsidRDefault="00074134" w:rsidP="00074134">
            <w:pPr>
              <w:rPr>
                <w:rFonts w:ascii="Times New Roman" w:hAnsi="Times New Roman" w:cs="Times New Roman"/>
              </w:rPr>
            </w:pPr>
            <w:r w:rsidRPr="00F3093D">
              <w:rPr>
                <w:rFonts w:ascii="Times New Roman" w:hAnsi="Times New Roman" w:cs="Times New Roman"/>
              </w:rPr>
              <w:t>pldg</w:t>
            </w:r>
          </w:p>
        </w:tc>
        <w:tc>
          <w:tcPr>
            <w:tcW w:w="1040" w:type="dxa"/>
            <w:noWrap/>
            <w:hideMark/>
          </w:tcPr>
          <w:p w14:paraId="4FC55869" w14:textId="3DBBD17D" w:rsidR="00074134" w:rsidRPr="00F3093D" w:rsidRDefault="00074134" w:rsidP="00074134">
            <w:pPr>
              <w:rPr>
                <w:rFonts w:ascii="Times New Roman" w:hAnsi="Times New Roman" w:cs="Times New Roman"/>
              </w:rPr>
            </w:pPr>
            <w:r w:rsidRPr="00F3093D">
              <w:rPr>
                <w:rFonts w:ascii="Times New Roman" w:hAnsi="Times New Roman" w:cs="Times New Roman"/>
              </w:rPr>
              <w:t>0.222</w:t>
            </w:r>
          </w:p>
        </w:tc>
      </w:tr>
      <w:tr w:rsidR="00074134" w:rsidRPr="00F3093D" w14:paraId="7B35EE7F" w14:textId="77777777" w:rsidTr="0036466F">
        <w:trPr>
          <w:trHeight w:val="360"/>
        </w:trPr>
        <w:tc>
          <w:tcPr>
            <w:tcW w:w="2155" w:type="dxa"/>
            <w:noWrap/>
            <w:hideMark/>
          </w:tcPr>
          <w:p w14:paraId="2F54C5F1" w14:textId="1AF13D75" w:rsidR="00074134" w:rsidRPr="00F3093D" w:rsidRDefault="00074134" w:rsidP="00074134">
            <w:pPr>
              <w:rPr>
                <w:rFonts w:ascii="Times New Roman" w:hAnsi="Times New Roman" w:cs="Times New Roman"/>
              </w:rPr>
            </w:pPr>
            <w:r w:rsidRPr="00F3093D">
              <w:rPr>
                <w:rFonts w:ascii="Times New Roman" w:hAnsi="Times New Roman" w:cs="Times New Roman"/>
              </w:rPr>
              <w:t>ed</w:t>
            </w:r>
          </w:p>
        </w:tc>
        <w:tc>
          <w:tcPr>
            <w:tcW w:w="1040" w:type="dxa"/>
            <w:noWrap/>
            <w:hideMark/>
          </w:tcPr>
          <w:p w14:paraId="623A8CBC" w14:textId="3B020D93" w:rsidR="00074134" w:rsidRPr="00F3093D" w:rsidRDefault="00074134" w:rsidP="00074134">
            <w:pPr>
              <w:rPr>
                <w:rFonts w:ascii="Times New Roman" w:hAnsi="Times New Roman" w:cs="Times New Roman"/>
              </w:rPr>
            </w:pPr>
            <w:r w:rsidRPr="00F3093D">
              <w:rPr>
                <w:rFonts w:ascii="Times New Roman" w:hAnsi="Times New Roman" w:cs="Times New Roman"/>
              </w:rPr>
              <w:t>0.182</w:t>
            </w:r>
          </w:p>
        </w:tc>
      </w:tr>
      <w:tr w:rsidR="00074134" w:rsidRPr="00F3093D" w14:paraId="7DF18F9B" w14:textId="77777777" w:rsidTr="0036466F">
        <w:trPr>
          <w:trHeight w:val="360"/>
        </w:trPr>
        <w:tc>
          <w:tcPr>
            <w:tcW w:w="2155" w:type="dxa"/>
            <w:noWrap/>
            <w:hideMark/>
          </w:tcPr>
          <w:p w14:paraId="5F0B750C" w14:textId="2DD0600B" w:rsidR="00074134" w:rsidRPr="00F3093D" w:rsidRDefault="00074134" w:rsidP="00074134">
            <w:pPr>
              <w:rPr>
                <w:rFonts w:ascii="Times New Roman" w:hAnsi="Times New Roman" w:cs="Times New Roman"/>
              </w:rPr>
            </w:pPr>
            <w:r w:rsidRPr="00F3093D">
              <w:rPr>
                <w:rFonts w:ascii="Times New Roman" w:hAnsi="Times New Roman" w:cs="Times New Roman"/>
              </w:rPr>
              <w:t>NONE</w:t>
            </w:r>
          </w:p>
        </w:tc>
        <w:tc>
          <w:tcPr>
            <w:tcW w:w="1040" w:type="dxa"/>
            <w:noWrap/>
            <w:hideMark/>
          </w:tcPr>
          <w:p w14:paraId="55963163" w14:textId="69607BCE" w:rsidR="00074134" w:rsidRPr="00F3093D" w:rsidRDefault="00074134" w:rsidP="00074134">
            <w:pPr>
              <w:rPr>
                <w:rFonts w:ascii="Times New Roman" w:hAnsi="Times New Roman" w:cs="Times New Roman"/>
              </w:rPr>
            </w:pPr>
            <w:r w:rsidRPr="00F3093D">
              <w:rPr>
                <w:rFonts w:ascii="Times New Roman" w:hAnsi="Times New Roman" w:cs="Times New Roman"/>
              </w:rPr>
              <w:t>0.173</w:t>
            </w:r>
          </w:p>
        </w:tc>
      </w:tr>
    </w:tbl>
    <w:p w14:paraId="6A63206E" w14:textId="7E3BFE72" w:rsidR="00972CBB" w:rsidRPr="00F3093D" w:rsidRDefault="00972CBB" w:rsidP="00972CBB">
      <w:pPr>
        <w:rPr>
          <w:rFonts w:ascii="Times New Roman" w:hAnsi="Times New Roman" w:cs="Times New Roman"/>
        </w:rPr>
      </w:pPr>
      <w:r w:rsidRPr="00F3093D">
        <w:rPr>
          <w:rFonts w:ascii="Times New Roman" w:hAnsi="Times New Roman" w:cs="Times New Roman"/>
        </w:rPr>
        <w:t xml:space="preserve">ic, intracameral; ed, eye drop; ped, pre-operative eye drop; irg, irrigation; sc, subconjunctival injection; pld, pledget. </w:t>
      </w:r>
    </w:p>
    <w:p w14:paraId="6507D260" w14:textId="77777777" w:rsidR="001F545D" w:rsidRPr="00F3093D" w:rsidRDefault="001F545D" w:rsidP="00DC437B">
      <w:pPr>
        <w:rPr>
          <w:rFonts w:ascii="Times New Roman" w:hAnsi="Times New Roman" w:cs="Times New Roman"/>
        </w:rPr>
      </w:pPr>
      <w:r w:rsidRPr="00F3093D">
        <w:rPr>
          <w:rFonts w:ascii="Times New Roman" w:hAnsi="Times New Roman" w:cs="Times New Roman"/>
        </w:rPr>
        <w:br w:type="page"/>
      </w:r>
    </w:p>
    <w:p w14:paraId="4B441397" w14:textId="34658C2B" w:rsidR="00482897" w:rsidRPr="007A37C8" w:rsidRDefault="0077094C" w:rsidP="00DC437B">
      <w:pPr>
        <w:rPr>
          <w:rFonts w:ascii="Times New Roman" w:hAnsi="Times New Roman" w:cs="Times New Roman"/>
          <w:b/>
          <w:bCs/>
        </w:rPr>
      </w:pPr>
      <w:r>
        <w:rPr>
          <w:rFonts w:ascii="Times New Roman" w:hAnsi="Times New Roman" w:cs="Times New Roman"/>
          <w:b/>
          <w:bCs/>
        </w:rPr>
        <w:lastRenderedPageBreak/>
        <w:t xml:space="preserve">Supplementary Table </w:t>
      </w:r>
      <w:r w:rsidR="00630D1C" w:rsidRPr="007A37C8">
        <w:rPr>
          <w:rFonts w:ascii="Times New Roman" w:hAnsi="Times New Roman" w:cs="Times New Roman"/>
          <w:b/>
          <w:bCs/>
        </w:rPr>
        <w:t>7</w:t>
      </w:r>
      <w:r w:rsidR="00482897" w:rsidRPr="007A37C8">
        <w:rPr>
          <w:rFonts w:ascii="Times New Roman" w:hAnsi="Times New Roman" w:cs="Times New Roman"/>
          <w:b/>
          <w:bCs/>
        </w:rPr>
        <w:t>.</w:t>
      </w:r>
      <w:r w:rsidR="0077287D" w:rsidRPr="007A37C8">
        <w:rPr>
          <w:rFonts w:ascii="Times New Roman" w:hAnsi="Times New Roman" w:cs="Times New Roman"/>
          <w:b/>
          <w:bCs/>
        </w:rPr>
        <w:t xml:space="preserve"> P-score</w:t>
      </w:r>
      <w:r w:rsidR="00482897" w:rsidRPr="007A37C8">
        <w:rPr>
          <w:rFonts w:ascii="Times New Roman" w:hAnsi="Times New Roman" w:cs="Times New Roman"/>
          <w:b/>
          <w:bCs/>
        </w:rPr>
        <w:t xml:space="preserve"> for </w:t>
      </w:r>
      <w:r w:rsidR="0077287D" w:rsidRPr="007A37C8">
        <w:rPr>
          <w:rFonts w:ascii="Times New Roman" w:hAnsi="Times New Roman" w:cs="Times New Roman"/>
          <w:b/>
          <w:bCs/>
        </w:rPr>
        <w:t xml:space="preserve">antibiotic model </w:t>
      </w:r>
      <w:r w:rsidR="00482897" w:rsidRPr="007A37C8">
        <w:rPr>
          <w:rFonts w:ascii="Times New Roman" w:hAnsi="Times New Roman" w:cs="Times New Roman"/>
          <w:b/>
          <w:bCs/>
        </w:rPr>
        <w:t>sensitivity</w:t>
      </w:r>
      <w:r w:rsidR="00CF3726" w:rsidRPr="007A37C8">
        <w:rPr>
          <w:rFonts w:ascii="Times New Roman" w:hAnsi="Times New Roman" w:cs="Times New Roman"/>
          <w:b/>
          <w:bCs/>
        </w:rPr>
        <w:t xml:space="preserve"> analysis.</w:t>
      </w:r>
    </w:p>
    <w:tbl>
      <w:tblPr>
        <w:tblStyle w:val="a7"/>
        <w:tblW w:w="0" w:type="auto"/>
        <w:tblLook w:val="04A0" w:firstRow="1" w:lastRow="0" w:firstColumn="1" w:lastColumn="0" w:noHBand="0" w:noVBand="1"/>
      </w:tblPr>
      <w:tblGrid>
        <w:gridCol w:w="1549"/>
        <w:gridCol w:w="1040"/>
      </w:tblGrid>
      <w:tr w:rsidR="00482897" w:rsidRPr="00F3093D" w14:paraId="4ABB6671" w14:textId="77777777" w:rsidTr="00DD00EF">
        <w:trPr>
          <w:trHeight w:val="360"/>
        </w:trPr>
        <w:tc>
          <w:tcPr>
            <w:tcW w:w="1549" w:type="dxa"/>
            <w:shd w:val="clear" w:color="auto" w:fill="BFBFBF" w:themeFill="background1" w:themeFillShade="BF"/>
            <w:noWrap/>
          </w:tcPr>
          <w:p w14:paraId="30A1669D" w14:textId="77777777" w:rsidR="00482897" w:rsidRPr="00F3093D" w:rsidRDefault="00482897" w:rsidP="00482897">
            <w:pPr>
              <w:rPr>
                <w:rFonts w:ascii="Times New Roman" w:hAnsi="Times New Roman" w:cs="Times New Roman"/>
              </w:rPr>
            </w:pPr>
          </w:p>
        </w:tc>
        <w:tc>
          <w:tcPr>
            <w:tcW w:w="1040" w:type="dxa"/>
            <w:shd w:val="clear" w:color="auto" w:fill="BFBFBF" w:themeFill="background1" w:themeFillShade="BF"/>
            <w:noWrap/>
          </w:tcPr>
          <w:p w14:paraId="3AEA5493" w14:textId="6E36BF6F" w:rsidR="00482897" w:rsidRPr="00F3093D" w:rsidRDefault="00482897" w:rsidP="00482897">
            <w:pPr>
              <w:rPr>
                <w:rFonts w:ascii="Times New Roman" w:hAnsi="Times New Roman" w:cs="Times New Roman"/>
              </w:rPr>
            </w:pPr>
            <w:r w:rsidRPr="00F3093D">
              <w:rPr>
                <w:rFonts w:ascii="Times New Roman" w:hAnsi="Times New Roman" w:cs="Times New Roman"/>
              </w:rPr>
              <w:t>P-score</w:t>
            </w:r>
          </w:p>
        </w:tc>
      </w:tr>
      <w:tr w:rsidR="00FF6172" w:rsidRPr="00F3093D" w14:paraId="6E17BC54" w14:textId="77777777" w:rsidTr="00972CBB">
        <w:trPr>
          <w:trHeight w:val="360"/>
        </w:trPr>
        <w:tc>
          <w:tcPr>
            <w:tcW w:w="1549" w:type="dxa"/>
            <w:noWrap/>
            <w:hideMark/>
          </w:tcPr>
          <w:p w14:paraId="0DF18027" w14:textId="3051318C" w:rsidR="00FF6172" w:rsidRPr="00F3093D" w:rsidRDefault="00FF6172" w:rsidP="00FF6172">
            <w:pPr>
              <w:rPr>
                <w:rFonts w:ascii="Times New Roman" w:hAnsi="Times New Roman" w:cs="Times New Roman"/>
              </w:rPr>
            </w:pPr>
            <w:r w:rsidRPr="00F3093D">
              <w:rPr>
                <w:rFonts w:ascii="Times New Roman" w:hAnsi="Times New Roman" w:cs="Times New Roman"/>
              </w:rPr>
              <w:t>VCM</w:t>
            </w:r>
          </w:p>
        </w:tc>
        <w:tc>
          <w:tcPr>
            <w:tcW w:w="1040" w:type="dxa"/>
            <w:noWrap/>
            <w:hideMark/>
          </w:tcPr>
          <w:p w14:paraId="04CE0162" w14:textId="1769A2D0" w:rsidR="00FF6172" w:rsidRPr="00F3093D" w:rsidRDefault="00FF6172" w:rsidP="00FF6172">
            <w:pPr>
              <w:rPr>
                <w:rFonts w:ascii="Times New Roman" w:hAnsi="Times New Roman" w:cs="Times New Roman"/>
              </w:rPr>
            </w:pPr>
            <w:r w:rsidRPr="00F3093D">
              <w:rPr>
                <w:rFonts w:ascii="Times New Roman" w:hAnsi="Times New Roman" w:cs="Times New Roman"/>
              </w:rPr>
              <w:t>0.923</w:t>
            </w:r>
          </w:p>
        </w:tc>
      </w:tr>
      <w:tr w:rsidR="00FF6172" w:rsidRPr="00F3093D" w14:paraId="2647F1DB" w14:textId="77777777" w:rsidTr="00972CBB">
        <w:trPr>
          <w:trHeight w:val="360"/>
        </w:trPr>
        <w:tc>
          <w:tcPr>
            <w:tcW w:w="1549" w:type="dxa"/>
            <w:noWrap/>
            <w:hideMark/>
          </w:tcPr>
          <w:p w14:paraId="1FA0D768" w14:textId="5E51CEB2" w:rsidR="00FF6172" w:rsidRPr="00F3093D" w:rsidRDefault="00FF6172" w:rsidP="00FF6172">
            <w:pPr>
              <w:rPr>
                <w:rFonts w:ascii="Times New Roman" w:hAnsi="Times New Roman" w:cs="Times New Roman"/>
              </w:rPr>
            </w:pPr>
            <w:r w:rsidRPr="00F3093D">
              <w:rPr>
                <w:rFonts w:ascii="Times New Roman" w:hAnsi="Times New Roman" w:cs="Times New Roman"/>
              </w:rPr>
              <w:t>CEZ</w:t>
            </w:r>
          </w:p>
        </w:tc>
        <w:tc>
          <w:tcPr>
            <w:tcW w:w="1040" w:type="dxa"/>
            <w:noWrap/>
            <w:hideMark/>
          </w:tcPr>
          <w:p w14:paraId="7874720A" w14:textId="3CECC06A" w:rsidR="00FF6172" w:rsidRPr="00F3093D" w:rsidRDefault="00FF6172" w:rsidP="00FF6172">
            <w:pPr>
              <w:rPr>
                <w:rFonts w:ascii="Times New Roman" w:hAnsi="Times New Roman" w:cs="Times New Roman"/>
              </w:rPr>
            </w:pPr>
            <w:r w:rsidRPr="00F3093D">
              <w:rPr>
                <w:rFonts w:ascii="Times New Roman" w:hAnsi="Times New Roman" w:cs="Times New Roman"/>
              </w:rPr>
              <w:t>0.798</w:t>
            </w:r>
          </w:p>
        </w:tc>
      </w:tr>
      <w:tr w:rsidR="00FF6172" w:rsidRPr="00F3093D" w14:paraId="45185642" w14:textId="77777777" w:rsidTr="00972CBB">
        <w:trPr>
          <w:trHeight w:val="360"/>
        </w:trPr>
        <w:tc>
          <w:tcPr>
            <w:tcW w:w="1549" w:type="dxa"/>
            <w:noWrap/>
            <w:hideMark/>
          </w:tcPr>
          <w:p w14:paraId="31161ABA" w14:textId="7260BC3D" w:rsidR="00FF6172" w:rsidRPr="00F3093D" w:rsidRDefault="00FF6172" w:rsidP="00FF6172">
            <w:pPr>
              <w:rPr>
                <w:rFonts w:ascii="Times New Roman" w:hAnsi="Times New Roman" w:cs="Times New Roman"/>
              </w:rPr>
            </w:pPr>
            <w:r w:rsidRPr="00F3093D">
              <w:rPr>
                <w:rFonts w:ascii="Times New Roman" w:hAnsi="Times New Roman" w:cs="Times New Roman"/>
              </w:rPr>
              <w:t>GFLX</w:t>
            </w:r>
          </w:p>
        </w:tc>
        <w:tc>
          <w:tcPr>
            <w:tcW w:w="1040" w:type="dxa"/>
            <w:noWrap/>
            <w:hideMark/>
          </w:tcPr>
          <w:p w14:paraId="380C25F1" w14:textId="15497435" w:rsidR="00FF6172" w:rsidRPr="00F3093D" w:rsidRDefault="00FF6172" w:rsidP="00FF6172">
            <w:pPr>
              <w:rPr>
                <w:rFonts w:ascii="Times New Roman" w:hAnsi="Times New Roman" w:cs="Times New Roman"/>
              </w:rPr>
            </w:pPr>
            <w:r w:rsidRPr="00F3093D">
              <w:rPr>
                <w:rFonts w:ascii="Times New Roman" w:hAnsi="Times New Roman" w:cs="Times New Roman"/>
              </w:rPr>
              <w:t>0.774</w:t>
            </w:r>
          </w:p>
        </w:tc>
      </w:tr>
      <w:tr w:rsidR="00FF6172" w:rsidRPr="00F3093D" w14:paraId="5D7D947B" w14:textId="77777777" w:rsidTr="00972CBB">
        <w:trPr>
          <w:trHeight w:val="360"/>
        </w:trPr>
        <w:tc>
          <w:tcPr>
            <w:tcW w:w="1549" w:type="dxa"/>
            <w:noWrap/>
            <w:hideMark/>
          </w:tcPr>
          <w:p w14:paraId="51B1F54C" w14:textId="0138D001" w:rsidR="00FF6172" w:rsidRPr="00F3093D" w:rsidRDefault="00FF6172" w:rsidP="00FF6172">
            <w:pPr>
              <w:rPr>
                <w:rFonts w:ascii="Times New Roman" w:hAnsi="Times New Roman" w:cs="Times New Roman"/>
              </w:rPr>
            </w:pPr>
            <w:r w:rsidRPr="00F3093D">
              <w:rPr>
                <w:rFonts w:ascii="Times New Roman" w:hAnsi="Times New Roman" w:cs="Times New Roman"/>
              </w:rPr>
              <w:t>CXM+LVFX</w:t>
            </w:r>
          </w:p>
        </w:tc>
        <w:tc>
          <w:tcPr>
            <w:tcW w:w="1040" w:type="dxa"/>
            <w:noWrap/>
            <w:hideMark/>
          </w:tcPr>
          <w:p w14:paraId="331C3DDA" w14:textId="038C2EDB" w:rsidR="00FF6172" w:rsidRPr="00F3093D" w:rsidRDefault="00FF6172" w:rsidP="00FF6172">
            <w:pPr>
              <w:rPr>
                <w:rFonts w:ascii="Times New Roman" w:hAnsi="Times New Roman" w:cs="Times New Roman"/>
              </w:rPr>
            </w:pPr>
            <w:r w:rsidRPr="00F3093D">
              <w:rPr>
                <w:rFonts w:ascii="Times New Roman" w:hAnsi="Times New Roman" w:cs="Times New Roman"/>
              </w:rPr>
              <w:t>0.687</w:t>
            </w:r>
          </w:p>
        </w:tc>
      </w:tr>
      <w:tr w:rsidR="00FF6172" w:rsidRPr="00F3093D" w14:paraId="525CD4A2" w14:textId="77777777" w:rsidTr="00972CBB">
        <w:trPr>
          <w:trHeight w:val="360"/>
        </w:trPr>
        <w:tc>
          <w:tcPr>
            <w:tcW w:w="1549" w:type="dxa"/>
            <w:noWrap/>
            <w:hideMark/>
          </w:tcPr>
          <w:p w14:paraId="35B62D0B" w14:textId="03BC4B23" w:rsidR="00FF6172" w:rsidRPr="00F3093D" w:rsidRDefault="00FF6172" w:rsidP="00FF6172">
            <w:pPr>
              <w:rPr>
                <w:rFonts w:ascii="Times New Roman" w:hAnsi="Times New Roman" w:cs="Times New Roman"/>
              </w:rPr>
            </w:pPr>
            <w:r w:rsidRPr="00F3093D">
              <w:rPr>
                <w:rFonts w:ascii="Times New Roman" w:hAnsi="Times New Roman" w:cs="Times New Roman"/>
              </w:rPr>
              <w:t>CXM+MFLX</w:t>
            </w:r>
          </w:p>
        </w:tc>
        <w:tc>
          <w:tcPr>
            <w:tcW w:w="1040" w:type="dxa"/>
            <w:noWrap/>
            <w:hideMark/>
          </w:tcPr>
          <w:p w14:paraId="28EACA3A" w14:textId="526D5BB2" w:rsidR="00FF6172" w:rsidRPr="00F3093D" w:rsidRDefault="00FF6172" w:rsidP="00FF6172">
            <w:pPr>
              <w:rPr>
                <w:rFonts w:ascii="Times New Roman" w:hAnsi="Times New Roman" w:cs="Times New Roman"/>
              </w:rPr>
            </w:pPr>
            <w:r w:rsidRPr="00F3093D">
              <w:rPr>
                <w:rFonts w:ascii="Times New Roman" w:hAnsi="Times New Roman" w:cs="Times New Roman"/>
              </w:rPr>
              <w:t>0.671</w:t>
            </w:r>
          </w:p>
        </w:tc>
      </w:tr>
      <w:tr w:rsidR="00FF6172" w:rsidRPr="00F3093D" w14:paraId="0E896275" w14:textId="77777777" w:rsidTr="00972CBB">
        <w:trPr>
          <w:trHeight w:val="360"/>
        </w:trPr>
        <w:tc>
          <w:tcPr>
            <w:tcW w:w="1549" w:type="dxa"/>
            <w:noWrap/>
            <w:hideMark/>
          </w:tcPr>
          <w:p w14:paraId="4E562238" w14:textId="64F04823" w:rsidR="00FF6172" w:rsidRPr="00F3093D" w:rsidRDefault="00FF6172" w:rsidP="00FF6172">
            <w:pPr>
              <w:rPr>
                <w:rFonts w:ascii="Times New Roman" w:hAnsi="Times New Roman" w:cs="Times New Roman"/>
              </w:rPr>
            </w:pPr>
            <w:r w:rsidRPr="00F3093D">
              <w:rPr>
                <w:rFonts w:ascii="Times New Roman" w:hAnsi="Times New Roman" w:cs="Times New Roman"/>
              </w:rPr>
              <w:t>CXM+CPFX</w:t>
            </w:r>
          </w:p>
        </w:tc>
        <w:tc>
          <w:tcPr>
            <w:tcW w:w="1040" w:type="dxa"/>
            <w:noWrap/>
            <w:hideMark/>
          </w:tcPr>
          <w:p w14:paraId="596B903D" w14:textId="69EBAEF5" w:rsidR="00FF6172" w:rsidRPr="00F3093D" w:rsidRDefault="00FF6172" w:rsidP="00FF6172">
            <w:pPr>
              <w:rPr>
                <w:rFonts w:ascii="Times New Roman" w:hAnsi="Times New Roman" w:cs="Times New Roman"/>
              </w:rPr>
            </w:pPr>
            <w:r w:rsidRPr="00F3093D">
              <w:rPr>
                <w:rFonts w:ascii="Times New Roman" w:hAnsi="Times New Roman" w:cs="Times New Roman"/>
              </w:rPr>
              <w:t>0.650</w:t>
            </w:r>
          </w:p>
        </w:tc>
      </w:tr>
      <w:tr w:rsidR="00FF6172" w:rsidRPr="00F3093D" w14:paraId="322D48F5" w14:textId="77777777" w:rsidTr="00972CBB">
        <w:trPr>
          <w:trHeight w:val="360"/>
        </w:trPr>
        <w:tc>
          <w:tcPr>
            <w:tcW w:w="1549" w:type="dxa"/>
            <w:noWrap/>
            <w:hideMark/>
          </w:tcPr>
          <w:p w14:paraId="4792E45E" w14:textId="4B25EA22" w:rsidR="00FF6172" w:rsidRPr="00F3093D" w:rsidRDefault="00FF6172" w:rsidP="00FF6172">
            <w:pPr>
              <w:rPr>
                <w:rFonts w:ascii="Times New Roman" w:hAnsi="Times New Roman" w:cs="Times New Roman"/>
              </w:rPr>
            </w:pPr>
            <w:r w:rsidRPr="00F3093D">
              <w:rPr>
                <w:rFonts w:ascii="Times New Roman" w:hAnsi="Times New Roman" w:cs="Times New Roman"/>
              </w:rPr>
              <w:t>CXM</w:t>
            </w:r>
          </w:p>
        </w:tc>
        <w:tc>
          <w:tcPr>
            <w:tcW w:w="1040" w:type="dxa"/>
            <w:noWrap/>
            <w:hideMark/>
          </w:tcPr>
          <w:p w14:paraId="694FB706" w14:textId="7D1F01C1" w:rsidR="00FF6172" w:rsidRPr="00F3093D" w:rsidRDefault="00FF6172" w:rsidP="00FF6172">
            <w:pPr>
              <w:rPr>
                <w:rFonts w:ascii="Times New Roman" w:hAnsi="Times New Roman" w:cs="Times New Roman"/>
              </w:rPr>
            </w:pPr>
            <w:r w:rsidRPr="00F3093D">
              <w:rPr>
                <w:rFonts w:ascii="Times New Roman" w:hAnsi="Times New Roman" w:cs="Times New Roman"/>
              </w:rPr>
              <w:t>0.632</w:t>
            </w:r>
          </w:p>
        </w:tc>
      </w:tr>
      <w:tr w:rsidR="00FF6172" w:rsidRPr="00F3093D" w14:paraId="6DBC9069" w14:textId="77777777" w:rsidTr="00972CBB">
        <w:trPr>
          <w:trHeight w:val="360"/>
        </w:trPr>
        <w:tc>
          <w:tcPr>
            <w:tcW w:w="1549" w:type="dxa"/>
            <w:noWrap/>
            <w:hideMark/>
          </w:tcPr>
          <w:p w14:paraId="0E54A870" w14:textId="392F0E2D" w:rsidR="00FF6172" w:rsidRPr="00F3093D" w:rsidRDefault="00FF6172" w:rsidP="00FF6172">
            <w:pPr>
              <w:rPr>
                <w:rFonts w:ascii="Times New Roman" w:hAnsi="Times New Roman" w:cs="Times New Roman"/>
              </w:rPr>
            </w:pPr>
            <w:r w:rsidRPr="00F3093D">
              <w:rPr>
                <w:rFonts w:ascii="Times New Roman" w:hAnsi="Times New Roman" w:cs="Times New Roman"/>
              </w:rPr>
              <w:t>MFLX+CPFX</w:t>
            </w:r>
          </w:p>
        </w:tc>
        <w:tc>
          <w:tcPr>
            <w:tcW w:w="1040" w:type="dxa"/>
            <w:noWrap/>
            <w:hideMark/>
          </w:tcPr>
          <w:p w14:paraId="60CE8476" w14:textId="0F377F38" w:rsidR="00FF6172" w:rsidRPr="00F3093D" w:rsidRDefault="00FF6172" w:rsidP="00FF6172">
            <w:pPr>
              <w:rPr>
                <w:rFonts w:ascii="Times New Roman" w:hAnsi="Times New Roman" w:cs="Times New Roman"/>
              </w:rPr>
            </w:pPr>
            <w:r w:rsidRPr="00F3093D">
              <w:rPr>
                <w:rFonts w:ascii="Times New Roman" w:hAnsi="Times New Roman" w:cs="Times New Roman"/>
              </w:rPr>
              <w:t>0.497</w:t>
            </w:r>
          </w:p>
        </w:tc>
      </w:tr>
      <w:tr w:rsidR="00FF6172" w:rsidRPr="00F3093D" w14:paraId="64E15868" w14:textId="77777777" w:rsidTr="00972CBB">
        <w:trPr>
          <w:trHeight w:val="360"/>
        </w:trPr>
        <w:tc>
          <w:tcPr>
            <w:tcW w:w="1549" w:type="dxa"/>
            <w:noWrap/>
            <w:hideMark/>
          </w:tcPr>
          <w:p w14:paraId="75FCFB69" w14:textId="19160096" w:rsidR="00FF6172" w:rsidRPr="00F3093D" w:rsidRDefault="00FF6172" w:rsidP="00FF6172">
            <w:pPr>
              <w:rPr>
                <w:rFonts w:ascii="Times New Roman" w:hAnsi="Times New Roman" w:cs="Times New Roman"/>
              </w:rPr>
            </w:pPr>
            <w:r w:rsidRPr="00F3093D">
              <w:rPr>
                <w:rFonts w:ascii="Times New Roman" w:hAnsi="Times New Roman" w:cs="Times New Roman"/>
              </w:rPr>
              <w:t>MFLX</w:t>
            </w:r>
          </w:p>
        </w:tc>
        <w:tc>
          <w:tcPr>
            <w:tcW w:w="1040" w:type="dxa"/>
            <w:noWrap/>
            <w:hideMark/>
          </w:tcPr>
          <w:p w14:paraId="0545E14F" w14:textId="3E8A07FD" w:rsidR="00FF6172" w:rsidRPr="00F3093D" w:rsidRDefault="00FF6172" w:rsidP="00FF6172">
            <w:pPr>
              <w:rPr>
                <w:rFonts w:ascii="Times New Roman" w:hAnsi="Times New Roman" w:cs="Times New Roman"/>
              </w:rPr>
            </w:pPr>
            <w:r w:rsidRPr="00F3093D">
              <w:rPr>
                <w:rFonts w:ascii="Times New Roman" w:hAnsi="Times New Roman" w:cs="Times New Roman"/>
              </w:rPr>
              <w:t>0.468</w:t>
            </w:r>
          </w:p>
        </w:tc>
      </w:tr>
      <w:tr w:rsidR="00FF6172" w:rsidRPr="00F3093D" w14:paraId="0AD5D61E" w14:textId="77777777" w:rsidTr="00972CBB">
        <w:trPr>
          <w:trHeight w:val="360"/>
        </w:trPr>
        <w:tc>
          <w:tcPr>
            <w:tcW w:w="1549" w:type="dxa"/>
            <w:noWrap/>
            <w:hideMark/>
          </w:tcPr>
          <w:p w14:paraId="34097D47" w14:textId="06F13D5B" w:rsidR="00FF6172" w:rsidRPr="00F3093D" w:rsidRDefault="00FF6172" w:rsidP="00FF6172">
            <w:pPr>
              <w:rPr>
                <w:rFonts w:ascii="Times New Roman" w:hAnsi="Times New Roman" w:cs="Times New Roman"/>
              </w:rPr>
            </w:pPr>
            <w:r w:rsidRPr="00F3093D">
              <w:rPr>
                <w:rFonts w:ascii="Times New Roman" w:hAnsi="Times New Roman" w:cs="Times New Roman"/>
              </w:rPr>
              <w:t>MFLX+OFLX</w:t>
            </w:r>
          </w:p>
        </w:tc>
        <w:tc>
          <w:tcPr>
            <w:tcW w:w="1040" w:type="dxa"/>
            <w:noWrap/>
            <w:hideMark/>
          </w:tcPr>
          <w:p w14:paraId="6B17CB0E" w14:textId="3FF74ED8" w:rsidR="00FF6172" w:rsidRPr="00F3093D" w:rsidRDefault="00FF6172" w:rsidP="00FF6172">
            <w:pPr>
              <w:rPr>
                <w:rFonts w:ascii="Times New Roman" w:hAnsi="Times New Roman" w:cs="Times New Roman"/>
              </w:rPr>
            </w:pPr>
            <w:r w:rsidRPr="00F3093D">
              <w:rPr>
                <w:rFonts w:ascii="Times New Roman" w:hAnsi="Times New Roman" w:cs="Times New Roman"/>
              </w:rPr>
              <w:t>0.467</w:t>
            </w:r>
          </w:p>
        </w:tc>
      </w:tr>
      <w:tr w:rsidR="00FF6172" w:rsidRPr="00F3093D" w14:paraId="573A02F2" w14:textId="77777777" w:rsidTr="00972CBB">
        <w:trPr>
          <w:trHeight w:val="360"/>
        </w:trPr>
        <w:tc>
          <w:tcPr>
            <w:tcW w:w="1549" w:type="dxa"/>
            <w:noWrap/>
            <w:hideMark/>
          </w:tcPr>
          <w:p w14:paraId="48840474" w14:textId="363ACBA3" w:rsidR="00FF6172" w:rsidRPr="00F3093D" w:rsidRDefault="00FF6172" w:rsidP="00FF6172">
            <w:pPr>
              <w:rPr>
                <w:rFonts w:ascii="Times New Roman" w:hAnsi="Times New Roman" w:cs="Times New Roman"/>
              </w:rPr>
            </w:pPr>
            <w:r w:rsidRPr="00F3093D">
              <w:rPr>
                <w:rFonts w:ascii="Times New Roman" w:hAnsi="Times New Roman" w:cs="Times New Roman"/>
              </w:rPr>
              <w:t>CXM+OFLX</w:t>
            </w:r>
          </w:p>
        </w:tc>
        <w:tc>
          <w:tcPr>
            <w:tcW w:w="1040" w:type="dxa"/>
            <w:noWrap/>
            <w:hideMark/>
          </w:tcPr>
          <w:p w14:paraId="0BABC1E4" w14:textId="3192531F" w:rsidR="00FF6172" w:rsidRPr="00F3093D" w:rsidRDefault="00FF6172" w:rsidP="00FF6172">
            <w:pPr>
              <w:rPr>
                <w:rFonts w:ascii="Times New Roman" w:hAnsi="Times New Roman" w:cs="Times New Roman"/>
              </w:rPr>
            </w:pPr>
            <w:r w:rsidRPr="00F3093D">
              <w:rPr>
                <w:rFonts w:ascii="Times New Roman" w:hAnsi="Times New Roman" w:cs="Times New Roman"/>
              </w:rPr>
              <w:t>0.438</w:t>
            </w:r>
          </w:p>
        </w:tc>
      </w:tr>
      <w:tr w:rsidR="00FF6172" w:rsidRPr="00F3093D" w14:paraId="705608CE" w14:textId="77777777" w:rsidTr="00972CBB">
        <w:trPr>
          <w:trHeight w:val="360"/>
        </w:trPr>
        <w:tc>
          <w:tcPr>
            <w:tcW w:w="1549" w:type="dxa"/>
            <w:noWrap/>
            <w:hideMark/>
          </w:tcPr>
          <w:p w14:paraId="678FE3D0" w14:textId="5E1967D3" w:rsidR="00FF6172" w:rsidRPr="00F3093D" w:rsidRDefault="00FF6172" w:rsidP="00FF6172">
            <w:pPr>
              <w:rPr>
                <w:rFonts w:ascii="Times New Roman" w:hAnsi="Times New Roman" w:cs="Times New Roman"/>
              </w:rPr>
            </w:pPr>
            <w:r w:rsidRPr="00F3093D">
              <w:rPr>
                <w:rFonts w:ascii="Times New Roman" w:hAnsi="Times New Roman" w:cs="Times New Roman"/>
              </w:rPr>
              <w:t>AZM</w:t>
            </w:r>
          </w:p>
        </w:tc>
        <w:tc>
          <w:tcPr>
            <w:tcW w:w="1040" w:type="dxa"/>
            <w:noWrap/>
            <w:hideMark/>
          </w:tcPr>
          <w:p w14:paraId="1623A3F7" w14:textId="6761FCC8" w:rsidR="00FF6172" w:rsidRPr="00F3093D" w:rsidRDefault="00FF6172" w:rsidP="00FF6172">
            <w:pPr>
              <w:rPr>
                <w:rFonts w:ascii="Times New Roman" w:hAnsi="Times New Roman" w:cs="Times New Roman"/>
              </w:rPr>
            </w:pPr>
            <w:r w:rsidRPr="00F3093D">
              <w:rPr>
                <w:rFonts w:ascii="Times New Roman" w:hAnsi="Times New Roman" w:cs="Times New Roman"/>
              </w:rPr>
              <w:t>0.418</w:t>
            </w:r>
          </w:p>
        </w:tc>
      </w:tr>
      <w:tr w:rsidR="00FF6172" w:rsidRPr="00F3093D" w14:paraId="0E79627E" w14:textId="77777777" w:rsidTr="00972CBB">
        <w:trPr>
          <w:trHeight w:val="360"/>
        </w:trPr>
        <w:tc>
          <w:tcPr>
            <w:tcW w:w="1549" w:type="dxa"/>
            <w:noWrap/>
            <w:hideMark/>
          </w:tcPr>
          <w:p w14:paraId="2F9CAB04" w14:textId="0E07309B" w:rsidR="00FF6172" w:rsidRPr="00F3093D" w:rsidRDefault="00FF6172" w:rsidP="00FF6172">
            <w:pPr>
              <w:rPr>
                <w:rFonts w:ascii="Times New Roman" w:hAnsi="Times New Roman" w:cs="Times New Roman"/>
              </w:rPr>
            </w:pPr>
            <w:r w:rsidRPr="00F3093D">
              <w:rPr>
                <w:rFonts w:ascii="Times New Roman" w:hAnsi="Times New Roman" w:cs="Times New Roman"/>
              </w:rPr>
              <w:t>CP</w:t>
            </w:r>
          </w:p>
        </w:tc>
        <w:tc>
          <w:tcPr>
            <w:tcW w:w="1040" w:type="dxa"/>
            <w:noWrap/>
            <w:hideMark/>
          </w:tcPr>
          <w:p w14:paraId="28598CC0" w14:textId="5F8C7500" w:rsidR="00FF6172" w:rsidRPr="00F3093D" w:rsidRDefault="00FF6172" w:rsidP="00FF6172">
            <w:pPr>
              <w:rPr>
                <w:rFonts w:ascii="Times New Roman" w:hAnsi="Times New Roman" w:cs="Times New Roman"/>
              </w:rPr>
            </w:pPr>
            <w:r w:rsidRPr="00F3093D">
              <w:rPr>
                <w:rFonts w:ascii="Times New Roman" w:hAnsi="Times New Roman" w:cs="Times New Roman"/>
              </w:rPr>
              <w:t>0.321</w:t>
            </w:r>
          </w:p>
        </w:tc>
      </w:tr>
      <w:tr w:rsidR="00FF6172" w:rsidRPr="00F3093D" w14:paraId="27B2A9A0" w14:textId="77777777" w:rsidTr="00972CBB">
        <w:trPr>
          <w:trHeight w:val="360"/>
        </w:trPr>
        <w:tc>
          <w:tcPr>
            <w:tcW w:w="1549" w:type="dxa"/>
            <w:noWrap/>
            <w:hideMark/>
          </w:tcPr>
          <w:p w14:paraId="61C42CDA" w14:textId="73E10522" w:rsidR="00FF6172" w:rsidRPr="00F3093D" w:rsidRDefault="00FF6172" w:rsidP="00FF6172">
            <w:pPr>
              <w:rPr>
                <w:rFonts w:ascii="Times New Roman" w:hAnsi="Times New Roman" w:cs="Times New Roman"/>
              </w:rPr>
            </w:pPr>
            <w:r w:rsidRPr="00F3093D">
              <w:rPr>
                <w:rFonts w:ascii="Times New Roman" w:hAnsi="Times New Roman" w:cs="Times New Roman"/>
              </w:rPr>
              <w:t>LVFX</w:t>
            </w:r>
          </w:p>
        </w:tc>
        <w:tc>
          <w:tcPr>
            <w:tcW w:w="1040" w:type="dxa"/>
            <w:noWrap/>
            <w:hideMark/>
          </w:tcPr>
          <w:p w14:paraId="3DF98010" w14:textId="56577860" w:rsidR="00FF6172" w:rsidRPr="00F3093D" w:rsidRDefault="00FF6172" w:rsidP="00FF6172">
            <w:pPr>
              <w:rPr>
                <w:rFonts w:ascii="Times New Roman" w:hAnsi="Times New Roman" w:cs="Times New Roman"/>
              </w:rPr>
            </w:pPr>
            <w:r w:rsidRPr="00F3093D">
              <w:rPr>
                <w:rFonts w:ascii="Times New Roman" w:hAnsi="Times New Roman" w:cs="Times New Roman"/>
              </w:rPr>
              <w:t>0.300</w:t>
            </w:r>
          </w:p>
        </w:tc>
      </w:tr>
      <w:tr w:rsidR="00FF6172" w:rsidRPr="00F3093D" w14:paraId="43665640" w14:textId="77777777" w:rsidTr="00972CBB">
        <w:trPr>
          <w:trHeight w:val="360"/>
        </w:trPr>
        <w:tc>
          <w:tcPr>
            <w:tcW w:w="1549" w:type="dxa"/>
            <w:noWrap/>
            <w:hideMark/>
          </w:tcPr>
          <w:p w14:paraId="0C22215D" w14:textId="3388E4CC" w:rsidR="00FF6172" w:rsidRPr="00F3093D" w:rsidRDefault="00FF6172" w:rsidP="00FF6172">
            <w:pPr>
              <w:rPr>
                <w:rFonts w:ascii="Times New Roman" w:hAnsi="Times New Roman" w:cs="Times New Roman"/>
              </w:rPr>
            </w:pPr>
            <w:r w:rsidRPr="00F3093D">
              <w:rPr>
                <w:rFonts w:ascii="Times New Roman" w:hAnsi="Times New Roman" w:cs="Times New Roman"/>
              </w:rPr>
              <w:t>CPFX</w:t>
            </w:r>
          </w:p>
        </w:tc>
        <w:tc>
          <w:tcPr>
            <w:tcW w:w="1040" w:type="dxa"/>
            <w:noWrap/>
            <w:hideMark/>
          </w:tcPr>
          <w:p w14:paraId="1466B625" w14:textId="0572369D" w:rsidR="00FF6172" w:rsidRPr="00F3093D" w:rsidRDefault="00FF6172" w:rsidP="00FF6172">
            <w:pPr>
              <w:rPr>
                <w:rFonts w:ascii="Times New Roman" w:hAnsi="Times New Roman" w:cs="Times New Roman"/>
              </w:rPr>
            </w:pPr>
            <w:r w:rsidRPr="00F3093D">
              <w:rPr>
                <w:rFonts w:ascii="Times New Roman" w:hAnsi="Times New Roman" w:cs="Times New Roman"/>
              </w:rPr>
              <w:t>0.236</w:t>
            </w:r>
          </w:p>
        </w:tc>
      </w:tr>
      <w:tr w:rsidR="00FF6172" w:rsidRPr="00F3093D" w14:paraId="11EA3176" w14:textId="77777777" w:rsidTr="00972CBB">
        <w:trPr>
          <w:trHeight w:val="360"/>
        </w:trPr>
        <w:tc>
          <w:tcPr>
            <w:tcW w:w="1549" w:type="dxa"/>
            <w:noWrap/>
          </w:tcPr>
          <w:p w14:paraId="0C14DDF4" w14:textId="00B4E3E9" w:rsidR="00FF6172" w:rsidRPr="00F3093D" w:rsidRDefault="00FF6172" w:rsidP="00FF6172">
            <w:pPr>
              <w:rPr>
                <w:rFonts w:ascii="Times New Roman" w:hAnsi="Times New Roman" w:cs="Times New Roman"/>
              </w:rPr>
            </w:pPr>
            <w:r w:rsidRPr="00F3093D">
              <w:rPr>
                <w:rFonts w:ascii="Times New Roman" w:hAnsi="Times New Roman" w:cs="Times New Roman"/>
              </w:rPr>
              <w:t>NONE</w:t>
            </w:r>
          </w:p>
        </w:tc>
        <w:tc>
          <w:tcPr>
            <w:tcW w:w="1040" w:type="dxa"/>
            <w:noWrap/>
          </w:tcPr>
          <w:p w14:paraId="1793888C" w14:textId="3C6CB45F" w:rsidR="00FF6172" w:rsidRPr="00F3093D" w:rsidRDefault="00FF6172" w:rsidP="00FF6172">
            <w:pPr>
              <w:rPr>
                <w:rFonts w:ascii="Times New Roman" w:hAnsi="Times New Roman" w:cs="Times New Roman"/>
              </w:rPr>
            </w:pPr>
            <w:r w:rsidRPr="00F3093D">
              <w:rPr>
                <w:rFonts w:ascii="Times New Roman" w:hAnsi="Times New Roman" w:cs="Times New Roman"/>
              </w:rPr>
              <w:t>0.198</w:t>
            </w:r>
          </w:p>
        </w:tc>
      </w:tr>
      <w:tr w:rsidR="00FF6172" w:rsidRPr="00F3093D" w14:paraId="13EDC226" w14:textId="77777777" w:rsidTr="00972CBB">
        <w:trPr>
          <w:trHeight w:val="360"/>
        </w:trPr>
        <w:tc>
          <w:tcPr>
            <w:tcW w:w="1549" w:type="dxa"/>
            <w:noWrap/>
            <w:hideMark/>
          </w:tcPr>
          <w:p w14:paraId="4807A08E" w14:textId="4FBEEEE3" w:rsidR="00FF6172" w:rsidRPr="00F3093D" w:rsidRDefault="00FF6172" w:rsidP="00FF6172">
            <w:pPr>
              <w:rPr>
                <w:rFonts w:ascii="Times New Roman" w:hAnsi="Times New Roman" w:cs="Times New Roman"/>
              </w:rPr>
            </w:pPr>
            <w:r w:rsidRPr="00F3093D">
              <w:rPr>
                <w:rFonts w:ascii="Times New Roman" w:hAnsi="Times New Roman" w:cs="Times New Roman"/>
              </w:rPr>
              <w:t>NEOM</w:t>
            </w:r>
          </w:p>
        </w:tc>
        <w:tc>
          <w:tcPr>
            <w:tcW w:w="1040" w:type="dxa"/>
            <w:noWrap/>
            <w:hideMark/>
          </w:tcPr>
          <w:p w14:paraId="67A7301D" w14:textId="774D420C" w:rsidR="00FF6172" w:rsidRPr="00F3093D" w:rsidRDefault="00FF6172" w:rsidP="00FF6172">
            <w:pPr>
              <w:rPr>
                <w:rFonts w:ascii="Times New Roman" w:hAnsi="Times New Roman" w:cs="Times New Roman"/>
              </w:rPr>
            </w:pPr>
            <w:r w:rsidRPr="00F3093D">
              <w:rPr>
                <w:rFonts w:ascii="Times New Roman" w:hAnsi="Times New Roman" w:cs="Times New Roman"/>
              </w:rPr>
              <w:t>0.022</w:t>
            </w:r>
          </w:p>
        </w:tc>
      </w:tr>
    </w:tbl>
    <w:p w14:paraId="5252964A" w14:textId="250EACBE" w:rsidR="00627823" w:rsidRPr="00F3093D" w:rsidRDefault="00972CBB" w:rsidP="00972CBB">
      <w:pPr>
        <w:rPr>
          <w:rFonts w:ascii="Times New Roman" w:hAnsi="Times New Roman" w:cs="Times New Roman"/>
        </w:rPr>
      </w:pPr>
      <w:r w:rsidRPr="00F3093D">
        <w:rPr>
          <w:rFonts w:ascii="Times New Roman" w:hAnsi="Times New Roman" w:cs="Times New Roman"/>
        </w:rPr>
        <w:t xml:space="preserve">NONE, no prophylactic antibiotics; CEZ, cefazoline; CXM, cefuroxime; MFLX, moxifloxacin; CPFX, ciprofloxacin; OFLX, ofloxacin; LVFX, levofloxacin; NEOM, neomycin; AZM, azithromycin; CP, </w:t>
      </w:r>
      <w:r w:rsidR="007C24FD">
        <w:rPr>
          <w:rFonts w:ascii="Times New Roman" w:hAnsi="Times New Roman" w:cs="Times New Roman"/>
        </w:rPr>
        <w:t>chloramphenicol</w:t>
      </w:r>
      <w:r w:rsidR="00FF6172" w:rsidRPr="00F3093D">
        <w:rPr>
          <w:rFonts w:ascii="Times New Roman" w:hAnsi="Times New Roman" w:cs="Times New Roman"/>
        </w:rPr>
        <w:t>; VCM, vancomycin</w:t>
      </w:r>
      <w:r w:rsidRPr="00F3093D">
        <w:rPr>
          <w:rFonts w:ascii="Times New Roman" w:hAnsi="Times New Roman" w:cs="Times New Roman"/>
        </w:rPr>
        <w:t>.</w:t>
      </w:r>
    </w:p>
    <w:p w14:paraId="551A54CB" w14:textId="38407F4D" w:rsidR="00972CBB" w:rsidRPr="00F3093D" w:rsidRDefault="00972CBB" w:rsidP="00DC437B">
      <w:pPr>
        <w:rPr>
          <w:rFonts w:ascii="Times New Roman" w:hAnsi="Times New Roman" w:cs="Times New Roman"/>
        </w:rPr>
      </w:pPr>
      <w:r w:rsidRPr="00F3093D">
        <w:rPr>
          <w:rFonts w:ascii="Times New Roman" w:hAnsi="Times New Roman" w:cs="Times New Roman"/>
        </w:rPr>
        <w:br w:type="page"/>
      </w:r>
    </w:p>
    <w:p w14:paraId="01C5AD22" w14:textId="66E5D4ED" w:rsidR="00C1343B" w:rsidRPr="007A37C8" w:rsidRDefault="007B32EB" w:rsidP="00C1343B">
      <w:pPr>
        <w:rPr>
          <w:rFonts w:ascii="Times New Roman" w:hAnsi="Times New Roman" w:cs="Times New Roman"/>
          <w:b/>
          <w:bCs/>
        </w:rPr>
      </w:pPr>
      <w:r>
        <w:rPr>
          <w:rFonts w:ascii="Times New Roman" w:hAnsi="Times New Roman" w:cs="Times New Roman"/>
          <w:b/>
          <w:bCs/>
        </w:rPr>
        <w:lastRenderedPageBreak/>
        <w:t>Supplemental Reference</w:t>
      </w:r>
      <w:r w:rsidR="001A62EF" w:rsidRPr="007A37C8">
        <w:rPr>
          <w:rFonts w:ascii="Times New Roman" w:hAnsi="Times New Roman" w:cs="Times New Roman"/>
          <w:b/>
          <w:bCs/>
        </w:rPr>
        <w:t>s</w:t>
      </w:r>
      <w:r w:rsidR="00630D1C" w:rsidRPr="007A37C8">
        <w:rPr>
          <w:rFonts w:ascii="Times New Roman" w:hAnsi="Times New Roman" w:cs="Times New Roman"/>
          <w:b/>
          <w:bCs/>
        </w:rPr>
        <w:t xml:space="preserve"> 1</w:t>
      </w:r>
      <w:r w:rsidR="001A62EF" w:rsidRPr="007A37C8">
        <w:rPr>
          <w:rFonts w:ascii="Times New Roman" w:hAnsi="Times New Roman" w:cs="Times New Roman"/>
          <w:b/>
          <w:bCs/>
        </w:rPr>
        <w:t>. List of hand searched review articles.</w:t>
      </w:r>
    </w:p>
    <w:p w14:paraId="69018D20" w14:textId="77777777" w:rsidR="00BD492E" w:rsidRPr="00BD492E" w:rsidRDefault="00BD492E" w:rsidP="00C92807">
      <w:pPr>
        <w:ind w:left="424" w:hangingChars="202" w:hanging="424"/>
        <w:rPr>
          <w:rFonts w:ascii="Times New Roman" w:hAnsi="Times New Roman" w:cs="Times New Roman"/>
        </w:rPr>
      </w:pPr>
      <w:r w:rsidRPr="00BD492E">
        <w:rPr>
          <w:rFonts w:ascii="Times New Roman" w:hAnsi="Times New Roman" w:cs="Times New Roman"/>
        </w:rPr>
        <w:t>1.</w:t>
      </w:r>
      <w:r w:rsidRPr="00BD492E">
        <w:rPr>
          <w:rFonts w:ascii="Times New Roman" w:hAnsi="Times New Roman" w:cs="Times New Roman"/>
        </w:rPr>
        <w:tab/>
        <w:t>McCarty C. Endophthalmitis following cataract extraction: the need for a systematic review of the literature. Br J Ophthalmol. 1997;81(2):97-98.</w:t>
      </w:r>
    </w:p>
    <w:p w14:paraId="7B8FEF2B" w14:textId="77777777" w:rsidR="00BD492E" w:rsidRPr="00BD492E" w:rsidRDefault="00BD492E" w:rsidP="00C92807">
      <w:pPr>
        <w:ind w:left="424" w:hangingChars="202" w:hanging="424"/>
        <w:rPr>
          <w:rFonts w:ascii="Times New Roman" w:hAnsi="Times New Roman" w:cs="Times New Roman"/>
        </w:rPr>
      </w:pPr>
      <w:r w:rsidRPr="00BD492E">
        <w:rPr>
          <w:rFonts w:ascii="Times New Roman" w:hAnsi="Times New Roman" w:cs="Times New Roman"/>
        </w:rPr>
        <w:t>2.</w:t>
      </w:r>
      <w:r w:rsidRPr="00BD492E">
        <w:rPr>
          <w:rFonts w:ascii="Times New Roman" w:hAnsi="Times New Roman" w:cs="Times New Roman"/>
        </w:rPr>
        <w:tab/>
        <w:t>Taban M, Behrens A, Newcomb RL, et al. Acute endophthalmitis following cataract surgery: a systematic review of the literature. Arch Ophthalmol. 2005;123(5):613-620.</w:t>
      </w:r>
    </w:p>
    <w:p w14:paraId="5BD75010" w14:textId="77777777" w:rsidR="00BD492E" w:rsidRPr="00BD492E" w:rsidRDefault="00BD492E" w:rsidP="00C92807">
      <w:pPr>
        <w:ind w:left="424" w:hangingChars="202" w:hanging="424"/>
        <w:rPr>
          <w:rFonts w:ascii="Times New Roman" w:hAnsi="Times New Roman" w:cs="Times New Roman"/>
        </w:rPr>
      </w:pPr>
      <w:r w:rsidRPr="00BD492E">
        <w:rPr>
          <w:rFonts w:ascii="Times New Roman" w:hAnsi="Times New Roman" w:cs="Times New Roman"/>
        </w:rPr>
        <w:t>3.</w:t>
      </w:r>
      <w:r w:rsidRPr="00BD492E">
        <w:rPr>
          <w:rFonts w:ascii="Times New Roman" w:hAnsi="Times New Roman" w:cs="Times New Roman"/>
        </w:rPr>
        <w:tab/>
        <w:t>McCannel CA. Meta-analysis of endophthalmitis after intravitreal injection of anti-vascular endothelial growth factor agents: causative organisms and possible prevention strategies. Retina. 2011;31(4):654-661.</w:t>
      </w:r>
    </w:p>
    <w:p w14:paraId="6E2750FF" w14:textId="77777777" w:rsidR="00BD492E" w:rsidRPr="00BD492E" w:rsidRDefault="00BD492E" w:rsidP="00C92807">
      <w:pPr>
        <w:ind w:left="424" w:hangingChars="202" w:hanging="424"/>
        <w:rPr>
          <w:rFonts w:ascii="Times New Roman" w:hAnsi="Times New Roman" w:cs="Times New Roman"/>
        </w:rPr>
      </w:pPr>
      <w:r w:rsidRPr="00BD492E">
        <w:rPr>
          <w:rFonts w:ascii="Times New Roman" w:hAnsi="Times New Roman" w:cs="Times New Roman"/>
        </w:rPr>
        <w:t>4.</w:t>
      </w:r>
      <w:r w:rsidRPr="00BD492E">
        <w:rPr>
          <w:rFonts w:ascii="Times New Roman" w:hAnsi="Times New Roman" w:cs="Times New Roman"/>
        </w:rPr>
        <w:tab/>
        <w:t>Cao H, Zhang L, Li L, Lo S. Risk factors for acute endophthalmitis following cataract surgery: a systematic review and meta-analysis. PLoS One. 2013;8(8):e71731.</w:t>
      </w:r>
    </w:p>
    <w:p w14:paraId="755B4902" w14:textId="77777777" w:rsidR="00BD492E" w:rsidRPr="00BD492E" w:rsidRDefault="00BD492E" w:rsidP="00C92807">
      <w:pPr>
        <w:ind w:left="424" w:hangingChars="202" w:hanging="424"/>
        <w:rPr>
          <w:rFonts w:ascii="Times New Roman" w:hAnsi="Times New Roman" w:cs="Times New Roman"/>
        </w:rPr>
      </w:pPr>
      <w:r w:rsidRPr="00BD492E">
        <w:rPr>
          <w:rFonts w:ascii="Times New Roman" w:hAnsi="Times New Roman" w:cs="Times New Roman"/>
        </w:rPr>
        <w:t>5.</w:t>
      </w:r>
      <w:r w:rsidRPr="00BD492E">
        <w:rPr>
          <w:rFonts w:ascii="Times New Roman" w:hAnsi="Times New Roman" w:cs="Times New Roman"/>
        </w:rPr>
        <w:tab/>
        <w:t>Fileta JB, Scott IU, Flynn HW, Jr. Meta-analysis of infectious endophthalmitis after intravitreal injection of anti-vascular endothelial growth factor agents. Ophthalmic Surg Lasers Imaging Retina. 2014;45(2):143-149.</w:t>
      </w:r>
    </w:p>
    <w:p w14:paraId="4A0CD407" w14:textId="77777777" w:rsidR="00BD492E" w:rsidRPr="00BD492E" w:rsidRDefault="00BD492E" w:rsidP="00C92807">
      <w:pPr>
        <w:ind w:left="424" w:hangingChars="202" w:hanging="424"/>
        <w:rPr>
          <w:rFonts w:ascii="Times New Roman" w:hAnsi="Times New Roman" w:cs="Times New Roman"/>
        </w:rPr>
      </w:pPr>
      <w:r w:rsidRPr="00BD492E">
        <w:rPr>
          <w:rFonts w:ascii="Times New Roman" w:hAnsi="Times New Roman" w:cs="Times New Roman"/>
        </w:rPr>
        <w:t>6.</w:t>
      </w:r>
      <w:r w:rsidRPr="00BD492E">
        <w:rPr>
          <w:rFonts w:ascii="Times New Roman" w:hAnsi="Times New Roman" w:cs="Times New Roman"/>
        </w:rPr>
        <w:tab/>
        <w:t>Linertova R, Abreu-Gonzalez R, Garcia-Perez L, et al. Intracameral cefuroxime and moxifloxacin used as endophthalmitis prophylaxis after cataract surgery: systematic review of effectiveness and cost-effectiveness. Clin Ophthalmol. 2014;8:1515-1522.</w:t>
      </w:r>
    </w:p>
    <w:p w14:paraId="692EE596" w14:textId="77777777" w:rsidR="00BD492E" w:rsidRPr="00BD492E" w:rsidRDefault="00BD492E" w:rsidP="00C92807">
      <w:pPr>
        <w:ind w:left="424" w:hangingChars="202" w:hanging="424"/>
        <w:rPr>
          <w:rFonts w:ascii="Times New Roman" w:hAnsi="Times New Roman" w:cs="Times New Roman"/>
        </w:rPr>
      </w:pPr>
      <w:r w:rsidRPr="00BD492E">
        <w:rPr>
          <w:rFonts w:ascii="Times New Roman" w:hAnsi="Times New Roman" w:cs="Times New Roman"/>
        </w:rPr>
        <w:t>7.</w:t>
      </w:r>
      <w:r w:rsidRPr="00BD492E">
        <w:rPr>
          <w:rFonts w:ascii="Times New Roman" w:hAnsi="Times New Roman" w:cs="Times New Roman"/>
        </w:rPr>
        <w:tab/>
        <w:t>Benoist d'Azy C, Pereira B, Naughton G, Chiambaretta F, Dutheil F. Antibioprophylaxis in Prevention of Endophthalmitis in Intravitreal Injection: A Systematic Review and Meta-Analysis. PLoS One. 2016;11(6):e0156431.</w:t>
      </w:r>
    </w:p>
    <w:p w14:paraId="472A8B8D" w14:textId="77777777" w:rsidR="00BD492E" w:rsidRPr="00BD492E" w:rsidRDefault="00BD492E" w:rsidP="00C92807">
      <w:pPr>
        <w:ind w:left="424" w:hangingChars="202" w:hanging="424"/>
        <w:rPr>
          <w:rFonts w:ascii="Times New Roman" w:hAnsi="Times New Roman" w:cs="Times New Roman"/>
        </w:rPr>
      </w:pPr>
      <w:r w:rsidRPr="00BD492E">
        <w:rPr>
          <w:rFonts w:ascii="Times New Roman" w:hAnsi="Times New Roman" w:cs="Times New Roman"/>
        </w:rPr>
        <w:t>8.</w:t>
      </w:r>
      <w:r w:rsidRPr="00BD492E">
        <w:rPr>
          <w:rFonts w:ascii="Times New Roman" w:hAnsi="Times New Roman" w:cs="Times New Roman"/>
        </w:rPr>
        <w:tab/>
        <w:t>Huang J, Wang X, Chen X, Song Q, Liu W, Lu L. Perioperative Antibiotics to Prevent Acute Endophthalmitis after Ophthalmic Surgery: A Systematic Review and Meta-Analysis. PLoS One. 2016;11(11):e0166141.</w:t>
      </w:r>
    </w:p>
    <w:p w14:paraId="463874D1" w14:textId="77777777" w:rsidR="00BD492E" w:rsidRPr="00BD492E" w:rsidRDefault="00BD492E" w:rsidP="00C92807">
      <w:pPr>
        <w:ind w:left="424" w:hangingChars="202" w:hanging="424"/>
        <w:rPr>
          <w:rFonts w:ascii="Times New Roman" w:hAnsi="Times New Roman" w:cs="Times New Roman"/>
        </w:rPr>
      </w:pPr>
      <w:r w:rsidRPr="00BD492E">
        <w:rPr>
          <w:rFonts w:ascii="Times New Roman" w:hAnsi="Times New Roman" w:cs="Times New Roman"/>
        </w:rPr>
        <w:t>9.</w:t>
      </w:r>
      <w:r w:rsidRPr="00BD492E">
        <w:rPr>
          <w:rFonts w:ascii="Times New Roman" w:hAnsi="Times New Roman" w:cs="Times New Roman"/>
        </w:rPr>
        <w:tab/>
        <w:t>Menchini F, Toneatto G, Miele A, Donati S, Lanzetta P, Virgili G. Antibiotic prophylaxis for preventing endophthalmitis after intravitreal injection: a systematic review. Eye (Lond). 2018;32(9):1423-1431.</w:t>
      </w:r>
    </w:p>
    <w:p w14:paraId="7EE65289" w14:textId="77777777" w:rsidR="00BD492E" w:rsidRPr="00BD492E" w:rsidRDefault="00BD492E" w:rsidP="00C92807">
      <w:pPr>
        <w:ind w:left="424" w:hangingChars="202" w:hanging="424"/>
        <w:rPr>
          <w:rFonts w:ascii="Times New Roman" w:hAnsi="Times New Roman" w:cs="Times New Roman"/>
        </w:rPr>
      </w:pPr>
      <w:r w:rsidRPr="00BD492E">
        <w:rPr>
          <w:rFonts w:ascii="Times New Roman" w:hAnsi="Times New Roman" w:cs="Times New Roman"/>
        </w:rPr>
        <w:t>10.</w:t>
      </w:r>
      <w:r w:rsidRPr="00BD492E">
        <w:rPr>
          <w:rFonts w:ascii="Times New Roman" w:hAnsi="Times New Roman" w:cs="Times New Roman"/>
        </w:rPr>
        <w:tab/>
        <w:t>Wang XL, Huang XY, Wang Z, Sun W. The Anterior Chamber Injection of Moxifloxacin Injection to Prevent Endophthalmitis after Cataract Surgery: A Meta-analysis. J Ophthalmol. 2020;2020:7242969.</w:t>
      </w:r>
    </w:p>
    <w:p w14:paraId="64F93F17" w14:textId="77777777" w:rsidR="00BD492E" w:rsidRPr="00BD492E" w:rsidRDefault="00BD492E" w:rsidP="00C92807">
      <w:pPr>
        <w:ind w:left="424" w:hangingChars="202" w:hanging="424"/>
        <w:rPr>
          <w:rFonts w:ascii="Times New Roman" w:hAnsi="Times New Roman" w:cs="Times New Roman"/>
        </w:rPr>
      </w:pPr>
      <w:r w:rsidRPr="00BD492E">
        <w:rPr>
          <w:rFonts w:ascii="Times New Roman" w:hAnsi="Times New Roman" w:cs="Times New Roman"/>
        </w:rPr>
        <w:t>11.</w:t>
      </w:r>
      <w:r w:rsidRPr="00BD492E">
        <w:rPr>
          <w:rFonts w:ascii="Times New Roman" w:hAnsi="Times New Roman" w:cs="Times New Roman"/>
        </w:rPr>
        <w:tab/>
        <w:t>Park J, Popovic MM, Balas M, El-Defrawy SR, Alaei R, Kertes PJ. Clinical features of endophthalmitis clusters after cataract surgery and practical recommendations to mitigate risk: systematic review. Journal of cataract and refractive surgery. 2022;48(1):100-112.</w:t>
      </w:r>
    </w:p>
    <w:p w14:paraId="48F62FCB" w14:textId="77777777" w:rsidR="00BD492E" w:rsidRPr="00BD492E" w:rsidRDefault="00BD492E" w:rsidP="00C92807">
      <w:pPr>
        <w:ind w:left="424" w:hangingChars="202" w:hanging="424"/>
        <w:rPr>
          <w:rFonts w:ascii="Times New Roman" w:hAnsi="Times New Roman" w:cs="Times New Roman"/>
        </w:rPr>
      </w:pPr>
      <w:r w:rsidRPr="00BD492E">
        <w:rPr>
          <w:rFonts w:ascii="Times New Roman" w:hAnsi="Times New Roman" w:cs="Times New Roman"/>
        </w:rPr>
        <w:t>12.</w:t>
      </w:r>
      <w:r w:rsidRPr="00BD492E">
        <w:rPr>
          <w:rFonts w:ascii="Times New Roman" w:hAnsi="Times New Roman" w:cs="Times New Roman"/>
        </w:rPr>
        <w:tab/>
        <w:t>Rana K, Bahrami B, van Zyl L, Esterman A, Goggin M. Efficacy of intracameral antibiotics following manual small incision cataract surgery in reducing the rates of endophthalmitis: A meta-analysis. Clin Exp Ophthalmol. 2021;49(1):25-37.</w:t>
      </w:r>
    </w:p>
    <w:p w14:paraId="7033299D" w14:textId="1143A4AF" w:rsidR="001A62EF" w:rsidRPr="00F3093D" w:rsidRDefault="001A62EF" w:rsidP="00C92807">
      <w:pPr>
        <w:ind w:left="424" w:hangingChars="202" w:hanging="424"/>
        <w:rPr>
          <w:rFonts w:ascii="Times New Roman" w:hAnsi="Times New Roman" w:cs="Times New Roman"/>
        </w:rPr>
      </w:pPr>
      <w:r w:rsidRPr="00F3093D">
        <w:rPr>
          <w:rFonts w:ascii="Times New Roman" w:hAnsi="Times New Roman" w:cs="Times New Roman"/>
        </w:rPr>
        <w:br w:type="page"/>
      </w:r>
    </w:p>
    <w:p w14:paraId="676C1E9D" w14:textId="079233B8" w:rsidR="001A62EF" w:rsidRDefault="001A62EF" w:rsidP="00432EEF">
      <w:pPr>
        <w:ind w:left="424" w:hangingChars="202" w:hanging="424"/>
        <w:rPr>
          <w:rFonts w:ascii="Times New Roman" w:hAnsi="Times New Roman" w:cs="Times New Roman"/>
          <w:b/>
          <w:bCs/>
        </w:rPr>
      </w:pPr>
      <w:r w:rsidRPr="007A37C8">
        <w:rPr>
          <w:rFonts w:ascii="Times New Roman" w:hAnsi="Times New Roman" w:cs="Times New Roman"/>
          <w:b/>
          <w:bCs/>
        </w:rPr>
        <w:lastRenderedPageBreak/>
        <w:t>Supplementary References</w:t>
      </w:r>
      <w:r w:rsidR="00630D1C" w:rsidRPr="007A37C8">
        <w:rPr>
          <w:rFonts w:ascii="Times New Roman" w:hAnsi="Times New Roman" w:cs="Times New Roman"/>
          <w:b/>
          <w:bCs/>
        </w:rPr>
        <w:t xml:space="preserve"> 2</w:t>
      </w:r>
      <w:r w:rsidRPr="007A37C8">
        <w:rPr>
          <w:rFonts w:ascii="Times New Roman" w:hAnsi="Times New Roman" w:cs="Times New Roman"/>
          <w:b/>
          <w:bCs/>
        </w:rPr>
        <w:t xml:space="preserve">. List of </w:t>
      </w:r>
      <w:r w:rsidR="00CF3726" w:rsidRPr="007A37C8">
        <w:rPr>
          <w:rFonts w:ascii="Times New Roman" w:hAnsi="Times New Roman" w:cs="Times New Roman"/>
          <w:b/>
          <w:bCs/>
        </w:rPr>
        <w:t xml:space="preserve">finally eligible </w:t>
      </w:r>
      <w:r w:rsidRPr="007A37C8">
        <w:rPr>
          <w:rFonts w:ascii="Times New Roman" w:hAnsi="Times New Roman" w:cs="Times New Roman"/>
          <w:b/>
          <w:bCs/>
        </w:rPr>
        <w:t>articles.</w:t>
      </w:r>
    </w:p>
    <w:p w14:paraId="59CCA1FA" w14:textId="77777777" w:rsidR="00BE3726" w:rsidRDefault="00BE3726" w:rsidP="00C92807">
      <w:pPr>
        <w:ind w:left="424" w:hangingChars="202" w:hanging="424"/>
      </w:pPr>
      <w:r>
        <w:t>1.</w:t>
      </w:r>
      <w:r>
        <w:tab/>
        <w:t>Akkach S, Kam J, Meusemann R. Post-cataract surgery endophthalmitis: The role of prophylactic antibiotic eye drops. Clin Exp Ophthalmol. 2019;47(4):555-556.</w:t>
      </w:r>
    </w:p>
    <w:p w14:paraId="1A6EE02B" w14:textId="77777777" w:rsidR="00BE3726" w:rsidRDefault="00BE3726" w:rsidP="00C92807">
      <w:pPr>
        <w:ind w:left="424" w:hangingChars="202" w:hanging="424"/>
      </w:pPr>
      <w:r>
        <w:t>2.</w:t>
      </w:r>
      <w:r>
        <w:tab/>
        <w:t>Allen HF, Mangiaracine AB. Bacterial endophthalmitis after cataract extraction. II. Incidence in 36,000 consecutive operations with special reference to preoperative topical antibiotics. Archives of ophthalmology (Chicago, Ill : 1960). 1974;91(1):3-7.</w:t>
      </w:r>
    </w:p>
    <w:p w14:paraId="2A9A9E20" w14:textId="77777777" w:rsidR="00BE3726" w:rsidRDefault="00BE3726" w:rsidP="00C92807">
      <w:pPr>
        <w:ind w:left="424" w:hangingChars="202" w:hanging="424"/>
      </w:pPr>
      <w:r>
        <w:t>3.</w:t>
      </w:r>
      <w:r>
        <w:tab/>
        <w:t>Anijeet DR, Palimar P, Peckar CO. Intracameral vancomycin following cataract surgery: An eleven-year study. Clin Ophthalmol. 2010;4:321-326.</w:t>
      </w:r>
    </w:p>
    <w:p w14:paraId="08B0F690" w14:textId="77777777" w:rsidR="00BE3726" w:rsidRDefault="00BE3726" w:rsidP="00C92807">
      <w:pPr>
        <w:ind w:left="424" w:hangingChars="202" w:hanging="424"/>
      </w:pPr>
      <w:r>
        <w:t>4.</w:t>
      </w:r>
      <w:r>
        <w:tab/>
        <w:t>Asencio MA, Huertas M, Carranza R, Tenias JM, Celis J, Gonzalez-del Valle F. Impact of changes in antibiotic prophylaxis on postoperative endophthalmitis in a Spanish hospital. Ophthalmic Epidemiol. 2014;21(1):45-50.</w:t>
      </w:r>
    </w:p>
    <w:p w14:paraId="07EFA9FD" w14:textId="77777777" w:rsidR="00BE3726" w:rsidRDefault="00BE3726" w:rsidP="00C92807">
      <w:pPr>
        <w:ind w:left="424" w:hangingChars="202" w:hanging="424"/>
      </w:pPr>
      <w:r>
        <w:t>5.</w:t>
      </w:r>
      <w:r>
        <w:tab/>
        <w:t>Barreau G, Mounier M, Marin B, Adenis JP, Robert PY. Intracameral cefuroxime injection at the end of cataract surgery to reduce the incidence of endophthalmitis: French study. J Cataract Refract Surg. 2012;38(8):1370-1375.</w:t>
      </w:r>
    </w:p>
    <w:p w14:paraId="105900D1" w14:textId="77777777" w:rsidR="00BE3726" w:rsidRDefault="00BE3726" w:rsidP="00C92807">
      <w:pPr>
        <w:ind w:left="424" w:hangingChars="202" w:hanging="424"/>
      </w:pPr>
      <w:r>
        <w:t>6.</w:t>
      </w:r>
      <w:r>
        <w:tab/>
        <w:t>Prophylaxis of postoperative endophthalmitis following cataract surgery: results of the ESCRS multicenter study and identification of risk factors. J Cataract Refract Surg. 2007;33(6):978-988.</w:t>
      </w:r>
    </w:p>
    <w:p w14:paraId="4181045A" w14:textId="77777777" w:rsidR="00BE3726" w:rsidRDefault="00BE3726" w:rsidP="00C92807">
      <w:pPr>
        <w:ind w:left="424" w:hangingChars="202" w:hanging="424"/>
      </w:pPr>
      <w:r>
        <w:t>7.</w:t>
      </w:r>
      <w:r>
        <w:tab/>
        <w:t>Bohigian GM. A retrospective study of the incidence of culture-positive endophthalmitis after cataract surgery and the use of preoperative antibiotics. Ophthalmic Surg Lasers Imaging. 2007;38(2):103-106.</w:t>
      </w:r>
    </w:p>
    <w:p w14:paraId="0D90D3E7" w14:textId="77777777" w:rsidR="00BE3726" w:rsidRDefault="00BE3726" w:rsidP="00C92807">
      <w:pPr>
        <w:ind w:left="424" w:hangingChars="202" w:hanging="424"/>
      </w:pPr>
      <w:r>
        <w:t>8.</w:t>
      </w:r>
      <w:r>
        <w:tab/>
        <w:t>Cheng N, Kam J, Dawkins R, Sandhu S, Allen P. Post-cataract surgery endophthalmitis in the modern era: Can we do better? Clinical and Experimental Ophthalmology. 2014;42:33.</w:t>
      </w:r>
    </w:p>
    <w:p w14:paraId="081E0B48" w14:textId="77777777" w:rsidR="00BE3726" w:rsidRDefault="00BE3726" w:rsidP="00C92807">
      <w:pPr>
        <w:ind w:left="424" w:hangingChars="202" w:hanging="424"/>
      </w:pPr>
      <w:r>
        <w:t>9.</w:t>
      </w:r>
      <w:r>
        <w:tab/>
        <w:t>Colleaux KM, Hamilton WK. Effect of prophylactic antibiotics and incision type on the incidence of endophthalmitis after cataract surgery. Can J Ophthalmol. 2000;35(7):373-378.</w:t>
      </w:r>
    </w:p>
    <w:p w14:paraId="03A36BC7" w14:textId="77777777" w:rsidR="00BE3726" w:rsidRDefault="00BE3726" w:rsidP="00C92807">
      <w:pPr>
        <w:ind w:left="424" w:hangingChars="202" w:hanging="424"/>
      </w:pPr>
      <w:r>
        <w:t>10.</w:t>
      </w:r>
      <w:r>
        <w:tab/>
        <w:t>Daien V, Papinaud L, Gillies MC, et al. Effectiveness and Safety of an Intracameral Injection of Cefuroxime for the Prevention of Endophthalmitis After Cataract Surgery With or Without Perioperative Capsular Rupture. JAMA Ophthalmol. 2016;134(7):810-816.</w:t>
      </w:r>
    </w:p>
    <w:p w14:paraId="2F6A61A0" w14:textId="77777777" w:rsidR="00BE3726" w:rsidRDefault="00BE3726" w:rsidP="00C92807">
      <w:pPr>
        <w:ind w:left="424" w:hangingChars="202" w:hanging="424"/>
      </w:pPr>
      <w:r>
        <w:t>11.</w:t>
      </w:r>
      <w:r>
        <w:tab/>
        <w:t>Ferlini L, Perrone L, Caride GG, et al. Intracameral moxifloxacin for prophylaxis of endophthalmitis after cataract surgery: A case Series. Investigative Ophthalmology &amp; Visual Science. 2013;54(15).</w:t>
      </w:r>
    </w:p>
    <w:p w14:paraId="1F2FF0AC" w14:textId="77777777" w:rsidR="00BE3726" w:rsidRDefault="00BE3726" w:rsidP="00C92807">
      <w:pPr>
        <w:ind w:left="424" w:hangingChars="202" w:hanging="424"/>
      </w:pPr>
      <w:r>
        <w:t>12.</w:t>
      </w:r>
      <w:r>
        <w:tab/>
        <w:t>Friling E, Montan P. Bacteriology and cefuroxime resistance in endophthalmitis following cataract surgery before and after the introduction of prophylactic intracameral cefuroxime: a retrospective single-centre study. J Hosp Infect. 2019;101(1):88-92.</w:t>
      </w:r>
    </w:p>
    <w:p w14:paraId="0D30BD25" w14:textId="77777777" w:rsidR="00BE3726" w:rsidRDefault="00BE3726" w:rsidP="00C92807">
      <w:pPr>
        <w:ind w:left="424" w:hangingChars="202" w:hanging="424"/>
      </w:pPr>
      <w:r>
        <w:lastRenderedPageBreak/>
        <w:t>13.</w:t>
      </w:r>
      <w:r>
        <w:tab/>
        <w:t>Galvis V, Tello A, Sánchez MA, Camacho PA. Cohort study of intracameral moxifloxacin in postoperative endophthalmitis prophylaxis. Ophthalmol Eye Dis. 2014;6:1-4.</w:t>
      </w:r>
    </w:p>
    <w:p w14:paraId="21D4F2EF" w14:textId="77777777" w:rsidR="00BE3726" w:rsidRDefault="00BE3726" w:rsidP="00C92807">
      <w:pPr>
        <w:ind w:left="424" w:hangingChars="202" w:hanging="424"/>
      </w:pPr>
      <w:r>
        <w:t>14.</w:t>
      </w:r>
      <w:r>
        <w:tab/>
        <w:t>Garat M, Moser CL, Martin-Baranera M, Alonso-Tarres C, Alvarez-Rubio L. Prophylactic intracameral cefazolin after cataract surgery: endophthalmitis risk reduction and safety results in a 6-year study. J Cataract Refract Surg. 2009;35(4):637-642.</w:t>
      </w:r>
    </w:p>
    <w:p w14:paraId="01788109" w14:textId="77777777" w:rsidR="00BE3726" w:rsidRDefault="00BE3726" w:rsidP="00C92807">
      <w:pPr>
        <w:ind w:left="424" w:hangingChars="202" w:hanging="424"/>
      </w:pPr>
      <w:r>
        <w:t>15.</w:t>
      </w:r>
      <w:r>
        <w:tab/>
        <w:t>García-Sáenz MC, Arias-Puente A, Rodríguez-Caravaca G, Bañuelos JB. Effectiveness of intracameral cefuroxime in preventing endophthalmitis after cataract surgery Ten-year comparative study. J Cataract Refract Surg. 2010;36(2):203-207.</w:t>
      </w:r>
    </w:p>
    <w:p w14:paraId="06FAF151" w14:textId="77777777" w:rsidR="00BE3726" w:rsidRDefault="00BE3726" w:rsidP="00C92807">
      <w:pPr>
        <w:ind w:left="424" w:hangingChars="202" w:hanging="424"/>
      </w:pPr>
      <w:r>
        <w:t>16.</w:t>
      </w:r>
      <w:r>
        <w:tab/>
        <w:t>Haripriya A, Chang DF, Ravindran RD. Endophthalmitis reduction with intracameral moxifloxacin in eyes with and without surgical complications: Results from 2 million consecutive cataract surgeries. J Cataract Refract Surg. 2019;45(9):1226-1233.</w:t>
      </w:r>
    </w:p>
    <w:p w14:paraId="640868FF" w14:textId="77777777" w:rsidR="00BE3726" w:rsidRDefault="00BE3726" w:rsidP="00C92807">
      <w:pPr>
        <w:ind w:left="424" w:hangingChars="202" w:hanging="424"/>
      </w:pPr>
      <w:r>
        <w:t>17.</w:t>
      </w:r>
      <w:r>
        <w:tab/>
        <w:t>Hollander DA, Stewart JM, Seiff SR. The role of pre-operative topical antibiotics in the prophylaxis of bacterial endophthalmitis post cataract surgery. Investigative Ophthalmology &amp; Visual Science. 2004;45:U159-U159.</w:t>
      </w:r>
    </w:p>
    <w:p w14:paraId="31B0E94C" w14:textId="77777777" w:rsidR="00BE3726" w:rsidRDefault="00BE3726" w:rsidP="00C92807">
      <w:pPr>
        <w:ind w:left="424" w:hangingChars="202" w:hanging="424"/>
      </w:pPr>
      <w:r>
        <w:t>18.</w:t>
      </w:r>
      <w:r>
        <w:tab/>
        <w:t>Jensen MK, Fiscella RG, Moshirfar M, Mooney B. Third- and fourth-generation fluoroquinolones: retrospective comparison of endophthalmitis after cataract surgery performed over 10 years. J Cataract Refract Surg. 2008;34(9):1460-1467.</w:t>
      </w:r>
    </w:p>
    <w:p w14:paraId="6AF2E4EB" w14:textId="77777777" w:rsidR="00BE3726" w:rsidRDefault="00BE3726" w:rsidP="00C92807">
      <w:pPr>
        <w:ind w:left="424" w:hangingChars="202" w:hanging="424"/>
      </w:pPr>
      <w:r>
        <w:t>19.</w:t>
      </w:r>
      <w:r>
        <w:tab/>
        <w:t>Katz G, Blum S, Leeva O, et al. Intracameral cefuroxime and the incidence of post-cataract endophthalmitis: an Israeli experience. Graefes Arch Clin Exp Ophthalmol. 2015;253(10):1729-1733.</w:t>
      </w:r>
    </w:p>
    <w:p w14:paraId="0345032F" w14:textId="77777777" w:rsidR="00BE3726" w:rsidRDefault="00BE3726" w:rsidP="00C92807">
      <w:pPr>
        <w:ind w:left="424" w:hangingChars="202" w:hanging="424"/>
      </w:pPr>
      <w:r>
        <w:t>20.</w:t>
      </w:r>
      <w:r>
        <w:tab/>
        <w:t>Kingrey B, Kingrey D. Incidence of endophthalmitis in cataract surgery with and without intracameral vancomycin, a clinical review of 30,649 cases of a single surgeon. Investigative Ophthalmology &amp; Visual Science. 2019;60(9).</w:t>
      </w:r>
    </w:p>
    <w:p w14:paraId="0997E6A3" w14:textId="77777777" w:rsidR="00BE3726" w:rsidRDefault="00BE3726" w:rsidP="00C92807">
      <w:pPr>
        <w:ind w:left="424" w:hangingChars="202" w:hanging="424"/>
      </w:pPr>
      <w:r>
        <w:t>21.</w:t>
      </w:r>
      <w:r>
        <w:tab/>
        <w:t>Li ZB, Zhou TX, Sun K, Su H, Bi WM, Zeng BQ. Evaluation of intracameral cefuroxime injection for endophthalmitis prophylaxis following phacoemulsification. International Eye Science. 2018;18(12):2282-2284.</w:t>
      </w:r>
    </w:p>
    <w:p w14:paraId="2377B66A" w14:textId="77777777" w:rsidR="00BE3726" w:rsidRDefault="00BE3726" w:rsidP="00C92807">
      <w:pPr>
        <w:ind w:left="424" w:hangingChars="202" w:hanging="424"/>
      </w:pPr>
      <w:r>
        <w:t>22.</w:t>
      </w:r>
      <w:r>
        <w:tab/>
        <w:t>Li A, Shao J, Gans R, Bena J, Goshe J. Postoperative Endophthalmitis Before and After Preferred Utilization of Prophylactic Intracameral Antibiotics for Phacoemulsification Cataract Surgeries at Cole Eye Institute. Eye &amp; contact lens. 2019;45(5):306-309.</w:t>
      </w:r>
    </w:p>
    <w:p w14:paraId="429DB7A5" w14:textId="77777777" w:rsidR="00BE3726" w:rsidRDefault="00BE3726" w:rsidP="00C92807">
      <w:pPr>
        <w:ind w:left="424" w:hangingChars="202" w:hanging="424"/>
      </w:pPr>
      <w:r>
        <w:t>23.</w:t>
      </w:r>
      <w:r>
        <w:tab/>
        <w:t>Lundstrom M, Wejde G, Stenevi U, Thorburn W, Montan P. Endophthalmitis after cataract surgery: a nationwide prospective study evaluating incidence in relation to incision type and location. Ophthalmology. 2007;114(5):866-870.</w:t>
      </w:r>
    </w:p>
    <w:p w14:paraId="379B19E8" w14:textId="77777777" w:rsidR="00BE3726" w:rsidRDefault="00BE3726" w:rsidP="00C92807">
      <w:pPr>
        <w:ind w:left="424" w:hangingChars="202" w:hanging="424"/>
      </w:pPr>
      <w:r>
        <w:t>24.</w:t>
      </w:r>
      <w:r>
        <w:tab/>
        <w:t>Ma X, Xie L, Huang Y. Intraoperative Cefuroxime Irrigation Prophylaxis for Acute-Onset Endophthalmitis After Phacoemulsification Surgery. Infect Drug Resist. 2020;13:1455-1463.</w:t>
      </w:r>
    </w:p>
    <w:p w14:paraId="543DBD16" w14:textId="77777777" w:rsidR="00BE3726" w:rsidRDefault="00BE3726" w:rsidP="00C92807">
      <w:pPr>
        <w:ind w:left="424" w:hangingChars="202" w:hanging="424"/>
      </w:pPr>
      <w:r>
        <w:t>25.</w:t>
      </w:r>
      <w:r>
        <w:tab/>
        <w:t xml:space="preserve">Matsuura K, Miyoshi T, Suto C, Akura J, Inoue Y. Efficacy and safety of prophylactic </w:t>
      </w:r>
      <w:r>
        <w:lastRenderedPageBreak/>
        <w:t>intracameral moxifloxacin injection in Japan. J Cataract Refract Surg. 2013;39(11):1702-1706.</w:t>
      </w:r>
    </w:p>
    <w:p w14:paraId="5F8BCCBB" w14:textId="77777777" w:rsidR="00BE3726" w:rsidRDefault="00BE3726" w:rsidP="00C92807">
      <w:pPr>
        <w:ind w:left="424" w:hangingChars="202" w:hanging="424"/>
      </w:pPr>
      <w:r>
        <w:t>26.</w:t>
      </w:r>
      <w:r>
        <w:tab/>
        <w:t>Melega MV, Alves M, Cavalcanti Lira RP, et al. Safety and efficacy of intracameral moxifloxacin for prevention of post-cataract endophthalmitis: Randomized controlled clinical trial. J Cataract Refract Surg. 2019;45(3):343-350.</w:t>
      </w:r>
    </w:p>
    <w:p w14:paraId="113A16AD" w14:textId="77777777" w:rsidR="00BE3726" w:rsidRDefault="00BE3726" w:rsidP="00C92807">
      <w:pPr>
        <w:ind w:left="424" w:hangingChars="202" w:hanging="424"/>
      </w:pPr>
      <w:r>
        <w:t>27.</w:t>
      </w:r>
      <w:r>
        <w:tab/>
        <w:t>Moser CL, Lecumberri Lopez M, Garat M, Martin-Baranera M. Prophylactic intracameral cefazolin and postoperative topical moxifloxacin after cataract surgery: endophthalmitis risk reduction and safety results in a 16-year study. Graefes Arch Clin Exp Ophthalmol. 2019;257(10):2185-2191.</w:t>
      </w:r>
    </w:p>
    <w:p w14:paraId="7C849E2C" w14:textId="77777777" w:rsidR="00BE3726" w:rsidRDefault="00BE3726" w:rsidP="00C92807">
      <w:pPr>
        <w:ind w:left="424" w:hangingChars="202" w:hanging="424"/>
      </w:pPr>
      <w:r>
        <w:t>28.</w:t>
      </w:r>
      <w:r>
        <w:tab/>
        <w:t>Moshirfar M, Feiz V, Vitale AT, Wegelin JA, Basavanthappa S, Wolsey DH. Endophthalmitis after uncomplicated cataract surgery with the use of fourth-generation fluoroquinolones: a retrospective observational case series. Ophthalmology. 2007;114(4):686-691.</w:t>
      </w:r>
    </w:p>
    <w:p w14:paraId="06B4E816" w14:textId="77777777" w:rsidR="00BE3726" w:rsidRDefault="00BE3726" w:rsidP="00C92807">
      <w:pPr>
        <w:ind w:left="424" w:hangingChars="202" w:hanging="424"/>
      </w:pPr>
      <w:r>
        <w:t>29.</w:t>
      </w:r>
      <w:r>
        <w:tab/>
        <w:t>De Paiva Lucena N, Ferreira KSA, Dos Santos BMA, Lynch MI, Lira RPC. Is Intracameral moxifloxacin a safe option for prevention of post cataract endophthalmitis? Investigative Ophthalmology and Visual Science. 2016;57(12):5403.</w:t>
      </w:r>
    </w:p>
    <w:p w14:paraId="65384F42" w14:textId="77777777" w:rsidR="00BE3726" w:rsidRDefault="00BE3726" w:rsidP="00C92807">
      <w:pPr>
        <w:ind w:left="424" w:hangingChars="202" w:hanging="424"/>
      </w:pPr>
      <w:r>
        <w:t>30.</w:t>
      </w:r>
      <w:r>
        <w:tab/>
        <w:t>Råen M, Sandvik GF, Drolsum L. Endophthalmitis following cataract surgery: the role of prophylactic postoperative chloramphenicol eye drops. Acta Ophthalmol. 2013;91(2):118-122.</w:t>
      </w:r>
    </w:p>
    <w:p w14:paraId="3C458AD1" w14:textId="77777777" w:rsidR="00BE3726" w:rsidRDefault="00BE3726" w:rsidP="00C92807">
      <w:pPr>
        <w:ind w:left="424" w:hangingChars="202" w:hanging="424"/>
      </w:pPr>
      <w:r>
        <w:t>31.</w:t>
      </w:r>
      <w:r>
        <w:tab/>
        <w:t>Rahman N, Murphy CC. Impact of intracameral cefuroxime on the incidence of postoperative endophthalmitis following cataract surgery in Ireland. Ir J Med Sci. 2015;184(2):395-398.</w:t>
      </w:r>
    </w:p>
    <w:p w14:paraId="52EB46B9" w14:textId="77777777" w:rsidR="00BE3726" w:rsidRDefault="00BE3726" w:rsidP="00C92807">
      <w:pPr>
        <w:ind w:left="424" w:hangingChars="202" w:hanging="424"/>
      </w:pPr>
      <w:r>
        <w:t>32.</w:t>
      </w:r>
      <w:r>
        <w:tab/>
        <w:t>Rathi VM, Sharma S, Das T, Khanna RC. Endophthalmitis Prophylaxis Study, Report 2: Intracameral antibiotic prophylaxis with or without postoperative topical antibiotic in cataract surgery. Indian J Ophthalmol. 2020;68(11):2451-2455.</w:t>
      </w:r>
    </w:p>
    <w:p w14:paraId="2704F609" w14:textId="77777777" w:rsidR="00BE3726" w:rsidRDefault="00BE3726" w:rsidP="00C92807">
      <w:pPr>
        <w:ind w:left="424" w:hangingChars="202" w:hanging="424"/>
      </w:pPr>
      <w:r>
        <w:t>33.</w:t>
      </w:r>
      <w:r>
        <w:tab/>
        <w:t>Rodríguez-Caravaca G, García-Sáenz MC, Villar-Del-Campo MC, Andrés-Alba Y, Arias-Puente A. Incidence of endophthalmitis and impact of prophylaxis with cefuroxime on cataract surgery. J Cataract Refract Surg. 2013;39(9):1399-1403.</w:t>
      </w:r>
    </w:p>
    <w:p w14:paraId="045F6E0C" w14:textId="77777777" w:rsidR="00BE3726" w:rsidRDefault="00BE3726" w:rsidP="00C92807">
      <w:pPr>
        <w:ind w:left="424" w:hangingChars="202" w:hanging="424"/>
      </w:pPr>
      <w:r>
        <w:t>34.</w:t>
      </w:r>
      <w:r>
        <w:tab/>
        <w:t>Romero-Aroca P, Mendez-Marin I, Salvat-Serra M, Fernandez-Ballart J, Almena-Garcia M, Reyes-Torres J. Results at seven years after the use of intracamerular cefazolin as an endophthalmitis prophylaxis in cataract surgery. BMC Ophthalmol. 2012;12:2.</w:t>
      </w:r>
    </w:p>
    <w:p w14:paraId="5C0D6D5E" w14:textId="77777777" w:rsidR="00BE3726" w:rsidRDefault="00BE3726" w:rsidP="00C92807">
      <w:pPr>
        <w:ind w:left="424" w:hangingChars="202" w:hanging="424"/>
      </w:pPr>
      <w:r>
        <w:t>35.</w:t>
      </w:r>
      <w:r>
        <w:tab/>
        <w:t>Rudnisky CJ, Wan D, Weis E. Antibiotic choice for the prophylaxis of post-cataract extraction endophthalmitis. Ophthalmology. 2014;121(4):835-841.</w:t>
      </w:r>
    </w:p>
    <w:p w14:paraId="0A299308" w14:textId="77777777" w:rsidR="00BE3726" w:rsidRDefault="00BE3726" w:rsidP="00C92807">
      <w:pPr>
        <w:ind w:left="424" w:hangingChars="202" w:hanging="424"/>
      </w:pPr>
      <w:r>
        <w:t>36.</w:t>
      </w:r>
      <w:r>
        <w:tab/>
        <w:t>Rush SW, Vu D, Rush RB. The Safety and Efficacy of Routine Administration of Intracameral Vancomycin during Cataract Surgery. J Ophthalmol. 2015;2015:813697.</w:t>
      </w:r>
    </w:p>
    <w:p w14:paraId="77FA5240" w14:textId="77777777" w:rsidR="00BE3726" w:rsidRDefault="00BE3726" w:rsidP="00C92807">
      <w:pPr>
        <w:ind w:left="424" w:hangingChars="202" w:hanging="424"/>
      </w:pPr>
      <w:r>
        <w:t>37.</w:t>
      </w:r>
      <w:r>
        <w:tab/>
        <w:t xml:space="preserve">Sharma S, Sahu SK, Dhillon V, Das S, Rath S. Reevaluating intracameral cefuroxime as a </w:t>
      </w:r>
      <w:r>
        <w:lastRenderedPageBreak/>
        <w:t>prophylaxis against endophthalmitis after cataract surgery in India. J Cataract Refract Surg. 2015;41(2):393-399.</w:t>
      </w:r>
    </w:p>
    <w:p w14:paraId="593251DE" w14:textId="77777777" w:rsidR="00BE3726" w:rsidRDefault="00BE3726" w:rsidP="00C92807">
      <w:pPr>
        <w:ind w:left="424" w:hangingChars="202" w:hanging="424"/>
      </w:pPr>
      <w:r>
        <w:t>38.</w:t>
      </w:r>
      <w:r>
        <w:tab/>
        <w:t>Shenoy P, Goh EJH, Kashikar R, et al. Impact of prophylactic intracameral moxifloxacin on post-cataract surgery endophthalmitis: data from a tertiary eye care facility in rural India. Int Ophthalmol. 2021;41(8):2729-2736.</w:t>
      </w:r>
    </w:p>
    <w:p w14:paraId="7A7B8BC9" w14:textId="77777777" w:rsidR="00BE3726" w:rsidRDefault="00BE3726" w:rsidP="00C92807">
      <w:pPr>
        <w:ind w:left="424" w:hangingChars="202" w:hanging="424"/>
      </w:pPr>
      <w:r>
        <w:t>39.</w:t>
      </w:r>
      <w:r>
        <w:tab/>
        <w:t>Shorstein NH, Winthrop KL, Herrinton LJ. Decreased postoperative endophthalmitis rate after institution of intracameral antibiotics in a Northern California eye department. J Cataract Refract Surg. 2013;39(1):8-14.</w:t>
      </w:r>
    </w:p>
    <w:p w14:paraId="70AE8B90" w14:textId="77777777" w:rsidR="00BE3726" w:rsidRDefault="00BE3726" w:rsidP="00C92807">
      <w:pPr>
        <w:ind w:left="424" w:hangingChars="202" w:hanging="424"/>
      </w:pPr>
      <w:r>
        <w:t>40.</w:t>
      </w:r>
      <w:r>
        <w:tab/>
        <w:t>Shorstein NH, Liu L, Carolan JA, Herrinton L. Endophthalmitis Prophylaxis Failures in Patients Injected With Intracameral Antibiotic During Cataract Surgery. Am J Ophthalmol. 2021;227:166-172.</w:t>
      </w:r>
    </w:p>
    <w:p w14:paraId="732D02BA" w14:textId="77777777" w:rsidR="00BE3726" w:rsidRDefault="00BE3726" w:rsidP="00C92807">
      <w:pPr>
        <w:ind w:left="424" w:hangingChars="202" w:hanging="424"/>
      </w:pPr>
      <w:r>
        <w:t>41.</w:t>
      </w:r>
      <w:r>
        <w:tab/>
        <w:t>Sobaci G, Uysal Y, Mutlu FM, Bayer A, Gungor R, Karagul S. Prophylactic usage of intracameral cefuroxime in the prevention of postoperative endophthalmitis. Int J Ophthalmol. 2009;9(8):1439-1443.</w:t>
      </w:r>
    </w:p>
    <w:p w14:paraId="20CE9DAC" w14:textId="77777777" w:rsidR="00BE3726" w:rsidRDefault="00BE3726" w:rsidP="00C92807">
      <w:pPr>
        <w:ind w:left="424" w:hangingChars="202" w:hanging="424"/>
      </w:pPr>
      <w:r>
        <w:t>42.</w:t>
      </w:r>
      <w:r>
        <w:tab/>
        <w:t>Tan CS, Wong HK, Yang FP. Epidemiology of postoperative endophthalmitis in an Asian population: 11-year incidence and effect of intracameral antibiotic agents. J Cataract Refract Surg. 2012;38(3):425-430.</w:t>
      </w:r>
    </w:p>
    <w:p w14:paraId="31838BF4" w14:textId="77777777" w:rsidR="00BE3726" w:rsidRDefault="00BE3726" w:rsidP="00C92807">
      <w:pPr>
        <w:ind w:left="424" w:hangingChars="202" w:hanging="424"/>
      </w:pPr>
      <w:r>
        <w:t>43.</w:t>
      </w:r>
      <w:r>
        <w:tab/>
        <w:t>Tuñí-Picado J, Martínez-Palmer A, Fernández-Sala X, et al. Infectious postoperative endophthalmitis after cataract surgery performed over 7 years. The role of azithromycin versus ciprofloxacin eye drops. Rev Esp Quimioter. 2018;31(6):15-21.</w:t>
      </w:r>
    </w:p>
    <w:p w14:paraId="1E9CD986" w14:textId="77777777" w:rsidR="00BE3726" w:rsidRDefault="00BE3726" w:rsidP="00C92807">
      <w:pPr>
        <w:ind w:left="424" w:hangingChars="202" w:hanging="424"/>
      </w:pPr>
      <w:r>
        <w:t>44.</w:t>
      </w:r>
      <w:r>
        <w:tab/>
        <w:t>Vieira IV, Boianovsky C, Saraiva TJ, Godoy RB, Lake J. Safety and efficacy of intracameral moxifloxacin injection for prophylaxis of endophthalmitis after phacoemulsification. Arq Bras Oftalmol. 2017;80(3):165-167.</w:t>
      </w:r>
    </w:p>
    <w:p w14:paraId="0251A0E8" w14:textId="77777777" w:rsidR="00BE3726" w:rsidRDefault="00BE3726" w:rsidP="00C92807">
      <w:pPr>
        <w:ind w:left="424" w:hangingChars="202" w:hanging="424"/>
      </w:pPr>
      <w:r>
        <w:t>45.</w:t>
      </w:r>
      <w:r>
        <w:tab/>
        <w:t>Wejde G, Montan P, Lundström M, Stenevi U, Thorburn W. Endophthalmitis following cataract surgery in Sweden: national prospective survey 1999-2001. Acta Ophthalmol Scand. 2005;83(1):7-10.</w:t>
      </w:r>
    </w:p>
    <w:p w14:paraId="109692BD" w14:textId="77777777" w:rsidR="00BE3726" w:rsidRDefault="00BE3726" w:rsidP="00C92807">
      <w:pPr>
        <w:ind w:left="424" w:hangingChars="202" w:hanging="424"/>
      </w:pPr>
      <w:r>
        <w:t>46.</w:t>
      </w:r>
      <w:r>
        <w:tab/>
        <w:t>Yao K, Zhu Y, Zhu Z, et al. The incidence of postoperative endophthalmitis after cataract surgery in China: a multicenter investigation of 2006-2011. Br J Ophthalmol. 2013;97(10):1312-1317.</w:t>
      </w:r>
    </w:p>
    <w:p w14:paraId="7B8827D0" w14:textId="77777777" w:rsidR="00BE3726" w:rsidRDefault="00BE3726" w:rsidP="00C92807">
      <w:pPr>
        <w:ind w:left="424" w:hangingChars="202" w:hanging="424"/>
      </w:pPr>
      <w:r>
        <w:t>47.</w:t>
      </w:r>
      <w:r>
        <w:tab/>
        <w:t>Yu-Wai-Man P, Morgan SJ, Hildreth AJ, Steel DH, Allen D. Efficacy of intracameral and subconjunctival cefuroxime in preventing endophthalmitis after cataract surgery. J Cataract Refract Surg. 2008;34(3):447-451.</w:t>
      </w:r>
    </w:p>
    <w:p w14:paraId="600735B4" w14:textId="1D6BDCCB" w:rsidR="006216BD" w:rsidRPr="006216BD" w:rsidRDefault="006216BD" w:rsidP="00C92807">
      <w:pPr>
        <w:pStyle w:val="EndNoteBibliography"/>
        <w:ind w:left="404" w:hangingChars="202" w:hanging="404"/>
      </w:pPr>
    </w:p>
    <w:p w14:paraId="7F00543F" w14:textId="6FFDF877" w:rsidR="00B03EA6" w:rsidRDefault="00B03EA6" w:rsidP="00DC437B">
      <w:pPr>
        <w:rPr>
          <w:rFonts w:ascii="Times New Roman" w:hAnsi="Times New Roman" w:cs="Times New Roman"/>
        </w:rPr>
      </w:pPr>
      <w:r>
        <w:rPr>
          <w:rFonts w:ascii="Times New Roman" w:hAnsi="Times New Roman" w:cs="Times New Roman"/>
        </w:rPr>
        <w:br w:type="page"/>
      </w:r>
    </w:p>
    <w:p w14:paraId="7D31CEA2" w14:textId="14C3A95D" w:rsidR="00482897" w:rsidRPr="007A37C8" w:rsidRDefault="007B32EB" w:rsidP="00DC437B">
      <w:pPr>
        <w:rPr>
          <w:rFonts w:ascii="Times New Roman" w:hAnsi="Times New Roman" w:cs="Times New Roman"/>
          <w:b/>
          <w:bCs/>
        </w:rPr>
      </w:pPr>
      <w:r>
        <w:rPr>
          <w:rFonts w:ascii="Times New Roman" w:hAnsi="Times New Roman" w:cs="Times New Roman"/>
          <w:b/>
          <w:bCs/>
        </w:rPr>
        <w:lastRenderedPageBreak/>
        <w:t>Supplemental Figure</w:t>
      </w:r>
      <w:r w:rsidR="00B03EA6" w:rsidRPr="007A37C8">
        <w:rPr>
          <w:rFonts w:ascii="Times New Roman" w:hAnsi="Times New Roman" w:cs="Times New Roman"/>
          <w:b/>
          <w:bCs/>
        </w:rPr>
        <w:t xml:space="preserve"> 1. Forest plot for the comparison between intracameral injection and no prophylactic antibody.</w:t>
      </w:r>
    </w:p>
    <w:p w14:paraId="28A11BCE" w14:textId="47B4807B" w:rsidR="00B03EA6" w:rsidRDefault="00B03EA6" w:rsidP="00DC437B">
      <w:pPr>
        <w:rPr>
          <w:rFonts w:ascii="Times New Roman" w:hAnsi="Times New Roman" w:cs="Times New Roman"/>
        </w:rPr>
      </w:pPr>
    </w:p>
    <w:p w14:paraId="449C4AAF" w14:textId="77777777" w:rsidR="0036466F" w:rsidRDefault="00D93FB1" w:rsidP="00DC437B">
      <w:pPr>
        <w:rPr>
          <w:rFonts w:ascii="Times New Roman" w:hAnsi="Times New Roman" w:cs="Times New Roman"/>
        </w:rPr>
      </w:pPr>
      <w:r>
        <w:rPr>
          <w:rFonts w:ascii="Times New Roman" w:hAnsi="Times New Roman" w:cs="Times New Roman" w:hint="eastAsia"/>
          <w:noProof/>
        </w:rPr>
        <w:drawing>
          <wp:inline distT="0" distB="0" distL="0" distR="0" wp14:anchorId="29959B02" wp14:editId="0F3867CC">
            <wp:extent cx="5394960" cy="3671570"/>
            <wp:effectExtent l="0" t="0" r="0" b="5080"/>
            <wp:docPr id="5"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394960" cy="3671570"/>
                    </a:xfrm>
                    <a:prstGeom prst="rect">
                      <a:avLst/>
                    </a:prstGeom>
                    <a:noFill/>
                    <a:ln>
                      <a:noFill/>
                    </a:ln>
                  </pic:spPr>
                </pic:pic>
              </a:graphicData>
            </a:graphic>
          </wp:inline>
        </w:drawing>
      </w:r>
    </w:p>
    <w:p w14:paraId="3E392101" w14:textId="77777777" w:rsidR="0036466F" w:rsidRDefault="0036466F" w:rsidP="00DC437B">
      <w:pPr>
        <w:rPr>
          <w:rFonts w:ascii="Times New Roman" w:hAnsi="Times New Roman" w:cs="Times New Roman"/>
        </w:rPr>
      </w:pPr>
    </w:p>
    <w:p w14:paraId="72B1D5EF" w14:textId="412DE224" w:rsidR="00B03EA6" w:rsidRPr="00F3093D" w:rsidRDefault="00B03EA6" w:rsidP="00DC437B">
      <w:pPr>
        <w:rPr>
          <w:rFonts w:ascii="Times New Roman" w:hAnsi="Times New Roman" w:cs="Times New Roman"/>
        </w:rPr>
      </w:pPr>
    </w:p>
    <w:sectPr w:rsidR="00B03EA6" w:rsidRPr="00F3093D">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70F213" w14:textId="77777777" w:rsidR="00FB09CC" w:rsidRDefault="00FB09CC" w:rsidP="00D3063E">
      <w:r>
        <w:separator/>
      </w:r>
    </w:p>
  </w:endnote>
  <w:endnote w:type="continuationSeparator" w:id="0">
    <w:p w14:paraId="3B1F457F" w14:textId="77777777" w:rsidR="00FB09CC" w:rsidRDefault="00FB09CC" w:rsidP="00D306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000247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EDB4CE" w14:textId="77777777" w:rsidR="00FB09CC" w:rsidRDefault="00FB09CC" w:rsidP="00D3063E">
      <w:r>
        <w:separator/>
      </w:r>
    </w:p>
  </w:footnote>
  <w:footnote w:type="continuationSeparator" w:id="0">
    <w:p w14:paraId="1963FE20" w14:textId="77777777" w:rsidR="00FB09CC" w:rsidRDefault="00FB09CC" w:rsidP="00D3063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BF15D0"/>
    <w:multiLevelType w:val="hybridMultilevel"/>
    <w:tmpl w:val="C0029460"/>
    <w:lvl w:ilvl="0" w:tplc="ACE20276">
      <w:start w:val="1"/>
      <w:numFmt w:val="upp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6B1465F"/>
    <w:multiLevelType w:val="hybridMultilevel"/>
    <w:tmpl w:val="C95C5070"/>
    <w:lvl w:ilvl="0" w:tplc="238292F8">
      <w:start w:val="1"/>
      <w:numFmt w:val="upp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51BF501F"/>
    <w:multiLevelType w:val="hybridMultilevel"/>
    <w:tmpl w:val="071E583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5D1E2198"/>
    <w:multiLevelType w:val="hybridMultilevel"/>
    <w:tmpl w:val="136C62B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792543FC"/>
    <w:multiLevelType w:val="hybridMultilevel"/>
    <w:tmpl w:val="1D28EDDC"/>
    <w:lvl w:ilvl="0" w:tplc="83864FCE">
      <w:start w:val="1"/>
      <w:numFmt w:val="upperLetter"/>
      <w:lvlText w:val="%1."/>
      <w:lvlJc w:val="left"/>
      <w:pPr>
        <w:ind w:left="360" w:hanging="360"/>
      </w:pPr>
      <w:rPr>
        <w:rFonts w:ascii="Times New Roman" w:hAnsi="Times New Roman" w:cs="Times New Roman"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618676767">
    <w:abstractNumId w:val="2"/>
  </w:num>
  <w:num w:numId="2" w16cid:durableId="175270449">
    <w:abstractNumId w:val="3"/>
  </w:num>
  <w:num w:numId="3" w16cid:durableId="648636785">
    <w:abstractNumId w:val="1"/>
  </w:num>
  <w:num w:numId="4" w16cid:durableId="643318640">
    <w:abstractNumId w:val="0"/>
  </w:num>
  <w:num w:numId="5" w16cid:durableId="109964455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JAMA&lt;/Style&gt;&lt;LeftDelim&gt;{&lt;/LeftDelim&gt;&lt;RightDelim&gt;}&lt;/RightDelim&gt;&lt;FontName&gt;游明朝&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xt99xsaseapezeepv9p9zet5avedwpazapf&quot;&gt;EN_眼内炎メタ&lt;record-ids&gt;&lt;item&gt;8&lt;/item&gt;&lt;item&gt;9&lt;/item&gt;&lt;item&gt;23&lt;/item&gt;&lt;item&gt;32&lt;/item&gt;&lt;item&gt;36&lt;/item&gt;&lt;item&gt;44&lt;/item&gt;&lt;item&gt;47&lt;/item&gt;&lt;item&gt;49&lt;/item&gt;&lt;item&gt;51&lt;/item&gt;&lt;item&gt;54&lt;/item&gt;&lt;item&gt;55&lt;/item&gt;&lt;item&gt;56&lt;/item&gt;&lt;item&gt;57&lt;/item&gt;&lt;item&gt;58&lt;/item&gt;&lt;item&gt;59&lt;/item&gt;&lt;item&gt;60&lt;/item&gt;&lt;item&gt;61&lt;/item&gt;&lt;item&gt;62&lt;/item&gt;&lt;item&gt;63&lt;/item&gt;&lt;item&gt;64&lt;/item&gt;&lt;item&gt;65&lt;/item&gt;&lt;item&gt;66&lt;/item&gt;&lt;item&gt;67&lt;/item&gt;&lt;item&gt;68&lt;/item&gt;&lt;item&gt;69&lt;/item&gt;&lt;item&gt;70&lt;/item&gt;&lt;item&gt;71&lt;/item&gt;&lt;item&gt;72&lt;/item&gt;&lt;item&gt;73&lt;/item&gt;&lt;item&gt;74&lt;/item&gt;&lt;item&gt;75&lt;/item&gt;&lt;item&gt;76&lt;/item&gt;&lt;item&gt;77&lt;/item&gt;&lt;item&gt;78&lt;/item&gt;&lt;item&gt;79&lt;/item&gt;&lt;item&gt;80&lt;/item&gt;&lt;item&gt;81&lt;/item&gt;&lt;item&gt;82&lt;/item&gt;&lt;item&gt;83&lt;/item&gt;&lt;item&gt;84&lt;/item&gt;&lt;item&gt;85&lt;/item&gt;&lt;item&gt;86&lt;/item&gt;&lt;item&gt;87&lt;/item&gt;&lt;item&gt;88&lt;/item&gt;&lt;item&gt;89&lt;/item&gt;&lt;item&gt;90&lt;/item&gt;&lt;item&gt;91&lt;/item&gt;&lt;item&gt;92&lt;/item&gt;&lt;item&gt;93&lt;/item&gt;&lt;item&gt;94&lt;/item&gt;&lt;item&gt;95&lt;/item&gt;&lt;item&gt;96&lt;/item&gt;&lt;item&gt;97&lt;/item&gt;&lt;item&gt;98&lt;/item&gt;&lt;item&gt;99&lt;/item&gt;&lt;item&gt;100&lt;/item&gt;&lt;item&gt;101&lt;/item&gt;&lt;item&gt;102&lt;/item&gt;&lt;item&gt;103&lt;/item&gt;&lt;item&gt;104&lt;/item&gt;&lt;item&gt;105&lt;/item&gt;&lt;item&gt;106&lt;/item&gt;&lt;item&gt;107&lt;/item&gt;&lt;item&gt;108&lt;/item&gt;&lt;/record-ids&gt;&lt;/item&gt;&lt;/Libraries&gt;"/>
  </w:docVars>
  <w:rsids>
    <w:rsidRoot w:val="006A59A7"/>
    <w:rsid w:val="0000428E"/>
    <w:rsid w:val="00004CF4"/>
    <w:rsid w:val="00012A7C"/>
    <w:rsid w:val="00012FE7"/>
    <w:rsid w:val="000200B7"/>
    <w:rsid w:val="00021DE3"/>
    <w:rsid w:val="00030725"/>
    <w:rsid w:val="00043E7F"/>
    <w:rsid w:val="000455A8"/>
    <w:rsid w:val="000511AF"/>
    <w:rsid w:val="000571CD"/>
    <w:rsid w:val="0006099C"/>
    <w:rsid w:val="00066952"/>
    <w:rsid w:val="00066D65"/>
    <w:rsid w:val="000677E7"/>
    <w:rsid w:val="00067AFC"/>
    <w:rsid w:val="00072355"/>
    <w:rsid w:val="00072D28"/>
    <w:rsid w:val="00074134"/>
    <w:rsid w:val="00076467"/>
    <w:rsid w:val="00083F47"/>
    <w:rsid w:val="00087651"/>
    <w:rsid w:val="00095D24"/>
    <w:rsid w:val="00096ED0"/>
    <w:rsid w:val="000A1267"/>
    <w:rsid w:val="000A5599"/>
    <w:rsid w:val="000A66AC"/>
    <w:rsid w:val="000B04D4"/>
    <w:rsid w:val="000B0FD3"/>
    <w:rsid w:val="000C674F"/>
    <w:rsid w:val="000D2E64"/>
    <w:rsid w:val="000D351A"/>
    <w:rsid w:val="000E0651"/>
    <w:rsid w:val="000E0D75"/>
    <w:rsid w:val="000E434F"/>
    <w:rsid w:val="000E4A7B"/>
    <w:rsid w:val="000F0208"/>
    <w:rsid w:val="000F4A91"/>
    <w:rsid w:val="000F523C"/>
    <w:rsid w:val="000F5AC5"/>
    <w:rsid w:val="0010215C"/>
    <w:rsid w:val="00104507"/>
    <w:rsid w:val="0010542E"/>
    <w:rsid w:val="00110467"/>
    <w:rsid w:val="0011188A"/>
    <w:rsid w:val="00120A71"/>
    <w:rsid w:val="00127A71"/>
    <w:rsid w:val="00131783"/>
    <w:rsid w:val="001451FF"/>
    <w:rsid w:val="0015409F"/>
    <w:rsid w:val="00160214"/>
    <w:rsid w:val="001630B7"/>
    <w:rsid w:val="0016691C"/>
    <w:rsid w:val="00172B6C"/>
    <w:rsid w:val="00173B0C"/>
    <w:rsid w:val="00181B7E"/>
    <w:rsid w:val="00182C4A"/>
    <w:rsid w:val="001839E6"/>
    <w:rsid w:val="00184A40"/>
    <w:rsid w:val="00193F7D"/>
    <w:rsid w:val="00194FD0"/>
    <w:rsid w:val="001A62EF"/>
    <w:rsid w:val="001B14CA"/>
    <w:rsid w:val="001C12F2"/>
    <w:rsid w:val="001F545D"/>
    <w:rsid w:val="00200237"/>
    <w:rsid w:val="00200490"/>
    <w:rsid w:val="00204A45"/>
    <w:rsid w:val="00206730"/>
    <w:rsid w:val="00207B02"/>
    <w:rsid w:val="002126E8"/>
    <w:rsid w:val="00217C79"/>
    <w:rsid w:val="00232D74"/>
    <w:rsid w:val="00237915"/>
    <w:rsid w:val="002405BC"/>
    <w:rsid w:val="00246826"/>
    <w:rsid w:val="002503BB"/>
    <w:rsid w:val="00255318"/>
    <w:rsid w:val="0025580B"/>
    <w:rsid w:val="00256704"/>
    <w:rsid w:val="00264741"/>
    <w:rsid w:val="00276350"/>
    <w:rsid w:val="00292ACC"/>
    <w:rsid w:val="002A09C7"/>
    <w:rsid w:val="002A1EE3"/>
    <w:rsid w:val="002A2177"/>
    <w:rsid w:val="002A34AB"/>
    <w:rsid w:val="002A4CCF"/>
    <w:rsid w:val="002A51D6"/>
    <w:rsid w:val="002B1F8B"/>
    <w:rsid w:val="002B5C24"/>
    <w:rsid w:val="002B7568"/>
    <w:rsid w:val="002C0BB6"/>
    <w:rsid w:val="002C12B3"/>
    <w:rsid w:val="002C26F8"/>
    <w:rsid w:val="002D131F"/>
    <w:rsid w:val="002D3452"/>
    <w:rsid w:val="002D488D"/>
    <w:rsid w:val="002D67F7"/>
    <w:rsid w:val="002E3EC0"/>
    <w:rsid w:val="002E67D2"/>
    <w:rsid w:val="002F4D6B"/>
    <w:rsid w:val="00300C78"/>
    <w:rsid w:val="0031663E"/>
    <w:rsid w:val="00320F24"/>
    <w:rsid w:val="00323C5A"/>
    <w:rsid w:val="003267A3"/>
    <w:rsid w:val="00335F38"/>
    <w:rsid w:val="003370DA"/>
    <w:rsid w:val="00337161"/>
    <w:rsid w:val="00341E97"/>
    <w:rsid w:val="003423FC"/>
    <w:rsid w:val="003464B7"/>
    <w:rsid w:val="0035213B"/>
    <w:rsid w:val="0036466F"/>
    <w:rsid w:val="003702EF"/>
    <w:rsid w:val="00370A16"/>
    <w:rsid w:val="00374561"/>
    <w:rsid w:val="003772A5"/>
    <w:rsid w:val="003816FD"/>
    <w:rsid w:val="00381F52"/>
    <w:rsid w:val="0038525B"/>
    <w:rsid w:val="00390223"/>
    <w:rsid w:val="003A226E"/>
    <w:rsid w:val="003A3A78"/>
    <w:rsid w:val="003C101D"/>
    <w:rsid w:val="003C1757"/>
    <w:rsid w:val="003C1902"/>
    <w:rsid w:val="003C22BB"/>
    <w:rsid w:val="003C5E82"/>
    <w:rsid w:val="003D4732"/>
    <w:rsid w:val="003E0970"/>
    <w:rsid w:val="003E3739"/>
    <w:rsid w:val="003E6D27"/>
    <w:rsid w:val="003F37C5"/>
    <w:rsid w:val="003F3802"/>
    <w:rsid w:val="004006E0"/>
    <w:rsid w:val="0040188B"/>
    <w:rsid w:val="00402106"/>
    <w:rsid w:val="00404BC7"/>
    <w:rsid w:val="004110C4"/>
    <w:rsid w:val="00416E7F"/>
    <w:rsid w:val="00421AC0"/>
    <w:rsid w:val="00424601"/>
    <w:rsid w:val="004276C9"/>
    <w:rsid w:val="00430559"/>
    <w:rsid w:val="00432611"/>
    <w:rsid w:val="00432EEF"/>
    <w:rsid w:val="00437685"/>
    <w:rsid w:val="004406BB"/>
    <w:rsid w:val="0044119E"/>
    <w:rsid w:val="0044518C"/>
    <w:rsid w:val="00456257"/>
    <w:rsid w:val="00463591"/>
    <w:rsid w:val="00465756"/>
    <w:rsid w:val="00477C64"/>
    <w:rsid w:val="00481A40"/>
    <w:rsid w:val="00481C51"/>
    <w:rsid w:val="00482897"/>
    <w:rsid w:val="00485723"/>
    <w:rsid w:val="0049496C"/>
    <w:rsid w:val="004979B3"/>
    <w:rsid w:val="00497A9D"/>
    <w:rsid w:val="004A5EBE"/>
    <w:rsid w:val="004B4DB5"/>
    <w:rsid w:val="004B55A1"/>
    <w:rsid w:val="004B5B30"/>
    <w:rsid w:val="004C3A97"/>
    <w:rsid w:val="004C4AB6"/>
    <w:rsid w:val="004D3220"/>
    <w:rsid w:val="004F5EC9"/>
    <w:rsid w:val="00500947"/>
    <w:rsid w:val="00514683"/>
    <w:rsid w:val="005255F6"/>
    <w:rsid w:val="0052673F"/>
    <w:rsid w:val="00531D0F"/>
    <w:rsid w:val="00532219"/>
    <w:rsid w:val="0053316E"/>
    <w:rsid w:val="00533BAD"/>
    <w:rsid w:val="00546337"/>
    <w:rsid w:val="00555CEF"/>
    <w:rsid w:val="00567BE4"/>
    <w:rsid w:val="00567CD1"/>
    <w:rsid w:val="005716D1"/>
    <w:rsid w:val="00571CB6"/>
    <w:rsid w:val="0057666F"/>
    <w:rsid w:val="005840AB"/>
    <w:rsid w:val="005864D1"/>
    <w:rsid w:val="00594797"/>
    <w:rsid w:val="005A6AF6"/>
    <w:rsid w:val="005B060F"/>
    <w:rsid w:val="005B67CA"/>
    <w:rsid w:val="005C0D12"/>
    <w:rsid w:val="005C7D06"/>
    <w:rsid w:val="005E203F"/>
    <w:rsid w:val="005E4FD7"/>
    <w:rsid w:val="005F392F"/>
    <w:rsid w:val="005F5504"/>
    <w:rsid w:val="00600BB2"/>
    <w:rsid w:val="00600EC2"/>
    <w:rsid w:val="006216BD"/>
    <w:rsid w:val="00622440"/>
    <w:rsid w:val="0062295D"/>
    <w:rsid w:val="00624036"/>
    <w:rsid w:val="00627823"/>
    <w:rsid w:val="00630D1C"/>
    <w:rsid w:val="0063292C"/>
    <w:rsid w:val="006349E5"/>
    <w:rsid w:val="0063538B"/>
    <w:rsid w:val="00640E1C"/>
    <w:rsid w:val="006422C2"/>
    <w:rsid w:val="006505D5"/>
    <w:rsid w:val="00650CD4"/>
    <w:rsid w:val="0065596B"/>
    <w:rsid w:val="00657775"/>
    <w:rsid w:val="00657C5B"/>
    <w:rsid w:val="00661C1E"/>
    <w:rsid w:val="0066692E"/>
    <w:rsid w:val="00667BB3"/>
    <w:rsid w:val="00667E41"/>
    <w:rsid w:val="00673302"/>
    <w:rsid w:val="00674C89"/>
    <w:rsid w:val="00676F6D"/>
    <w:rsid w:val="006770A8"/>
    <w:rsid w:val="006834EC"/>
    <w:rsid w:val="00687900"/>
    <w:rsid w:val="00693781"/>
    <w:rsid w:val="006A070D"/>
    <w:rsid w:val="006A3188"/>
    <w:rsid w:val="006A59A7"/>
    <w:rsid w:val="006A7D7B"/>
    <w:rsid w:val="006A7FD8"/>
    <w:rsid w:val="006B48A3"/>
    <w:rsid w:val="006B753F"/>
    <w:rsid w:val="006C1328"/>
    <w:rsid w:val="006C228E"/>
    <w:rsid w:val="006D47F2"/>
    <w:rsid w:val="006D765E"/>
    <w:rsid w:val="006E35EE"/>
    <w:rsid w:val="006F5072"/>
    <w:rsid w:val="006F5842"/>
    <w:rsid w:val="006F7A1B"/>
    <w:rsid w:val="00700B8C"/>
    <w:rsid w:val="00700EDD"/>
    <w:rsid w:val="00702591"/>
    <w:rsid w:val="0070326D"/>
    <w:rsid w:val="00705EB7"/>
    <w:rsid w:val="0071159C"/>
    <w:rsid w:val="00715D18"/>
    <w:rsid w:val="00720A93"/>
    <w:rsid w:val="00721A3B"/>
    <w:rsid w:val="00731E0C"/>
    <w:rsid w:val="007356C8"/>
    <w:rsid w:val="00745531"/>
    <w:rsid w:val="00746C4E"/>
    <w:rsid w:val="00750EB6"/>
    <w:rsid w:val="0075239B"/>
    <w:rsid w:val="00755E9B"/>
    <w:rsid w:val="007617BD"/>
    <w:rsid w:val="007635F7"/>
    <w:rsid w:val="00767C6D"/>
    <w:rsid w:val="0077094C"/>
    <w:rsid w:val="0077287D"/>
    <w:rsid w:val="007754C0"/>
    <w:rsid w:val="007770C8"/>
    <w:rsid w:val="00787441"/>
    <w:rsid w:val="007954CD"/>
    <w:rsid w:val="007A1234"/>
    <w:rsid w:val="007A24AC"/>
    <w:rsid w:val="007A37C8"/>
    <w:rsid w:val="007A5803"/>
    <w:rsid w:val="007B029A"/>
    <w:rsid w:val="007B28B0"/>
    <w:rsid w:val="007B29DD"/>
    <w:rsid w:val="007B32EB"/>
    <w:rsid w:val="007C0EF0"/>
    <w:rsid w:val="007C24FD"/>
    <w:rsid w:val="007C32BE"/>
    <w:rsid w:val="007D6AA4"/>
    <w:rsid w:val="007E13EA"/>
    <w:rsid w:val="00803AA4"/>
    <w:rsid w:val="00804ED2"/>
    <w:rsid w:val="008138FF"/>
    <w:rsid w:val="00816A58"/>
    <w:rsid w:val="008231A5"/>
    <w:rsid w:val="00834EBE"/>
    <w:rsid w:val="0084298E"/>
    <w:rsid w:val="00845327"/>
    <w:rsid w:val="0086054D"/>
    <w:rsid w:val="00862933"/>
    <w:rsid w:val="00872268"/>
    <w:rsid w:val="00880475"/>
    <w:rsid w:val="00886D5E"/>
    <w:rsid w:val="00890F69"/>
    <w:rsid w:val="008A15EF"/>
    <w:rsid w:val="008A2370"/>
    <w:rsid w:val="008A364F"/>
    <w:rsid w:val="008A501B"/>
    <w:rsid w:val="008B5852"/>
    <w:rsid w:val="008C0F49"/>
    <w:rsid w:val="008C3024"/>
    <w:rsid w:val="008C44B8"/>
    <w:rsid w:val="008C7494"/>
    <w:rsid w:val="008D785A"/>
    <w:rsid w:val="008F2257"/>
    <w:rsid w:val="008F541F"/>
    <w:rsid w:val="008F5C6E"/>
    <w:rsid w:val="009029E6"/>
    <w:rsid w:val="00903E9E"/>
    <w:rsid w:val="00905498"/>
    <w:rsid w:val="00922D0A"/>
    <w:rsid w:val="00924AE1"/>
    <w:rsid w:val="00925A20"/>
    <w:rsid w:val="00927EAE"/>
    <w:rsid w:val="00931A34"/>
    <w:rsid w:val="00931CBA"/>
    <w:rsid w:val="00933003"/>
    <w:rsid w:val="00933211"/>
    <w:rsid w:val="00934FAB"/>
    <w:rsid w:val="0093743C"/>
    <w:rsid w:val="009418FC"/>
    <w:rsid w:val="0094565E"/>
    <w:rsid w:val="00950814"/>
    <w:rsid w:val="00957FAB"/>
    <w:rsid w:val="009607B2"/>
    <w:rsid w:val="00966827"/>
    <w:rsid w:val="00972CBB"/>
    <w:rsid w:val="009801AB"/>
    <w:rsid w:val="009809E7"/>
    <w:rsid w:val="009908BE"/>
    <w:rsid w:val="009931E0"/>
    <w:rsid w:val="00993411"/>
    <w:rsid w:val="00993653"/>
    <w:rsid w:val="00993693"/>
    <w:rsid w:val="00993FE8"/>
    <w:rsid w:val="009A38A1"/>
    <w:rsid w:val="009A38EF"/>
    <w:rsid w:val="009A46D4"/>
    <w:rsid w:val="009B179A"/>
    <w:rsid w:val="009B357C"/>
    <w:rsid w:val="009C2031"/>
    <w:rsid w:val="009C5DD1"/>
    <w:rsid w:val="009C69DD"/>
    <w:rsid w:val="009D0882"/>
    <w:rsid w:val="009D361A"/>
    <w:rsid w:val="009D45A5"/>
    <w:rsid w:val="009E2065"/>
    <w:rsid w:val="009E2270"/>
    <w:rsid w:val="009E3173"/>
    <w:rsid w:val="009E3538"/>
    <w:rsid w:val="009E5D13"/>
    <w:rsid w:val="009F1962"/>
    <w:rsid w:val="00A02DE2"/>
    <w:rsid w:val="00A05844"/>
    <w:rsid w:val="00A1028D"/>
    <w:rsid w:val="00A173D8"/>
    <w:rsid w:val="00A17710"/>
    <w:rsid w:val="00A21707"/>
    <w:rsid w:val="00A22409"/>
    <w:rsid w:val="00A229C4"/>
    <w:rsid w:val="00A24F70"/>
    <w:rsid w:val="00A25136"/>
    <w:rsid w:val="00A25DE5"/>
    <w:rsid w:val="00A27897"/>
    <w:rsid w:val="00A3290C"/>
    <w:rsid w:val="00A36422"/>
    <w:rsid w:val="00A41DA2"/>
    <w:rsid w:val="00A438F8"/>
    <w:rsid w:val="00A456F0"/>
    <w:rsid w:val="00A45889"/>
    <w:rsid w:val="00A460F8"/>
    <w:rsid w:val="00A75BAF"/>
    <w:rsid w:val="00A82DD8"/>
    <w:rsid w:val="00A9423F"/>
    <w:rsid w:val="00AA2B93"/>
    <w:rsid w:val="00AB18C6"/>
    <w:rsid w:val="00AB689B"/>
    <w:rsid w:val="00AC0A85"/>
    <w:rsid w:val="00AC61BA"/>
    <w:rsid w:val="00AD0046"/>
    <w:rsid w:val="00AD4619"/>
    <w:rsid w:val="00AE035D"/>
    <w:rsid w:val="00AE2D73"/>
    <w:rsid w:val="00AE5CFC"/>
    <w:rsid w:val="00AE6A48"/>
    <w:rsid w:val="00AF4EA3"/>
    <w:rsid w:val="00B03EA6"/>
    <w:rsid w:val="00B0593B"/>
    <w:rsid w:val="00B12A66"/>
    <w:rsid w:val="00B1531B"/>
    <w:rsid w:val="00B2404F"/>
    <w:rsid w:val="00B25AFD"/>
    <w:rsid w:val="00B33118"/>
    <w:rsid w:val="00B423FB"/>
    <w:rsid w:val="00B4603C"/>
    <w:rsid w:val="00B50D1C"/>
    <w:rsid w:val="00B55D2A"/>
    <w:rsid w:val="00B610AA"/>
    <w:rsid w:val="00B84060"/>
    <w:rsid w:val="00B84230"/>
    <w:rsid w:val="00B94F20"/>
    <w:rsid w:val="00B969FF"/>
    <w:rsid w:val="00B97A4C"/>
    <w:rsid w:val="00BA7D93"/>
    <w:rsid w:val="00BA7E23"/>
    <w:rsid w:val="00BB019A"/>
    <w:rsid w:val="00BB176C"/>
    <w:rsid w:val="00BB223F"/>
    <w:rsid w:val="00BC3A51"/>
    <w:rsid w:val="00BC5554"/>
    <w:rsid w:val="00BD492E"/>
    <w:rsid w:val="00BE2B80"/>
    <w:rsid w:val="00BE3726"/>
    <w:rsid w:val="00BF2CC9"/>
    <w:rsid w:val="00C03523"/>
    <w:rsid w:val="00C1343B"/>
    <w:rsid w:val="00C168CF"/>
    <w:rsid w:val="00C171EB"/>
    <w:rsid w:val="00C2190C"/>
    <w:rsid w:val="00C2488F"/>
    <w:rsid w:val="00C3278E"/>
    <w:rsid w:val="00C32DD8"/>
    <w:rsid w:val="00C33818"/>
    <w:rsid w:val="00C406FD"/>
    <w:rsid w:val="00C461B6"/>
    <w:rsid w:val="00C47354"/>
    <w:rsid w:val="00C54BEF"/>
    <w:rsid w:val="00C57480"/>
    <w:rsid w:val="00C64B70"/>
    <w:rsid w:val="00C66EE7"/>
    <w:rsid w:val="00C7663E"/>
    <w:rsid w:val="00C82DDD"/>
    <w:rsid w:val="00C875C8"/>
    <w:rsid w:val="00C904DF"/>
    <w:rsid w:val="00C9070F"/>
    <w:rsid w:val="00C92807"/>
    <w:rsid w:val="00C92D75"/>
    <w:rsid w:val="00C95428"/>
    <w:rsid w:val="00CA153D"/>
    <w:rsid w:val="00CB09EE"/>
    <w:rsid w:val="00CB22D1"/>
    <w:rsid w:val="00CB7AFE"/>
    <w:rsid w:val="00CC0003"/>
    <w:rsid w:val="00CC1E3C"/>
    <w:rsid w:val="00CC5D28"/>
    <w:rsid w:val="00CC7E9A"/>
    <w:rsid w:val="00CD3750"/>
    <w:rsid w:val="00CD4273"/>
    <w:rsid w:val="00CE4858"/>
    <w:rsid w:val="00CF3726"/>
    <w:rsid w:val="00CF4078"/>
    <w:rsid w:val="00D00C2F"/>
    <w:rsid w:val="00D0503F"/>
    <w:rsid w:val="00D16685"/>
    <w:rsid w:val="00D16A02"/>
    <w:rsid w:val="00D17645"/>
    <w:rsid w:val="00D21DAC"/>
    <w:rsid w:val="00D244C5"/>
    <w:rsid w:val="00D25CD5"/>
    <w:rsid w:val="00D3063E"/>
    <w:rsid w:val="00D47495"/>
    <w:rsid w:val="00D478F4"/>
    <w:rsid w:val="00D50DC6"/>
    <w:rsid w:val="00D66371"/>
    <w:rsid w:val="00D67952"/>
    <w:rsid w:val="00D7372F"/>
    <w:rsid w:val="00D73E9F"/>
    <w:rsid w:val="00D76660"/>
    <w:rsid w:val="00D8029B"/>
    <w:rsid w:val="00D93FB1"/>
    <w:rsid w:val="00D96876"/>
    <w:rsid w:val="00DA0948"/>
    <w:rsid w:val="00DB6BBA"/>
    <w:rsid w:val="00DB74A8"/>
    <w:rsid w:val="00DB776A"/>
    <w:rsid w:val="00DC327E"/>
    <w:rsid w:val="00DC437B"/>
    <w:rsid w:val="00DC769A"/>
    <w:rsid w:val="00DD00EF"/>
    <w:rsid w:val="00DD4AB8"/>
    <w:rsid w:val="00DD63BF"/>
    <w:rsid w:val="00DE0DDF"/>
    <w:rsid w:val="00DE14B0"/>
    <w:rsid w:val="00DE1F1D"/>
    <w:rsid w:val="00DE7198"/>
    <w:rsid w:val="00DF3009"/>
    <w:rsid w:val="00DF64B0"/>
    <w:rsid w:val="00E01511"/>
    <w:rsid w:val="00E01EC7"/>
    <w:rsid w:val="00E040C7"/>
    <w:rsid w:val="00E05761"/>
    <w:rsid w:val="00E0754A"/>
    <w:rsid w:val="00E13856"/>
    <w:rsid w:val="00E16F79"/>
    <w:rsid w:val="00E17198"/>
    <w:rsid w:val="00E214F0"/>
    <w:rsid w:val="00E23EBF"/>
    <w:rsid w:val="00E25403"/>
    <w:rsid w:val="00E325F4"/>
    <w:rsid w:val="00E344FE"/>
    <w:rsid w:val="00E3651C"/>
    <w:rsid w:val="00E52032"/>
    <w:rsid w:val="00E57649"/>
    <w:rsid w:val="00E57885"/>
    <w:rsid w:val="00E656BE"/>
    <w:rsid w:val="00E66E0C"/>
    <w:rsid w:val="00E673E2"/>
    <w:rsid w:val="00E74A45"/>
    <w:rsid w:val="00E76E0C"/>
    <w:rsid w:val="00E872A6"/>
    <w:rsid w:val="00E97CCF"/>
    <w:rsid w:val="00EA4680"/>
    <w:rsid w:val="00EB3AD1"/>
    <w:rsid w:val="00EB5BE5"/>
    <w:rsid w:val="00EC6CD8"/>
    <w:rsid w:val="00EC74B5"/>
    <w:rsid w:val="00ED1C67"/>
    <w:rsid w:val="00EF16D5"/>
    <w:rsid w:val="00EF228F"/>
    <w:rsid w:val="00EF3B61"/>
    <w:rsid w:val="00EF4909"/>
    <w:rsid w:val="00EF57DA"/>
    <w:rsid w:val="00EF79C3"/>
    <w:rsid w:val="00EF7FB0"/>
    <w:rsid w:val="00F020AD"/>
    <w:rsid w:val="00F03FF6"/>
    <w:rsid w:val="00F0422E"/>
    <w:rsid w:val="00F10BBA"/>
    <w:rsid w:val="00F10CFC"/>
    <w:rsid w:val="00F121A5"/>
    <w:rsid w:val="00F244B3"/>
    <w:rsid w:val="00F25D9A"/>
    <w:rsid w:val="00F26822"/>
    <w:rsid w:val="00F3093D"/>
    <w:rsid w:val="00F365B6"/>
    <w:rsid w:val="00F418B9"/>
    <w:rsid w:val="00F42C6A"/>
    <w:rsid w:val="00F51B40"/>
    <w:rsid w:val="00F55F3E"/>
    <w:rsid w:val="00F5684F"/>
    <w:rsid w:val="00F612B3"/>
    <w:rsid w:val="00F7309E"/>
    <w:rsid w:val="00F77207"/>
    <w:rsid w:val="00F806B6"/>
    <w:rsid w:val="00F812DD"/>
    <w:rsid w:val="00F8634A"/>
    <w:rsid w:val="00F94FAE"/>
    <w:rsid w:val="00FA16A7"/>
    <w:rsid w:val="00FA1B7A"/>
    <w:rsid w:val="00FA607B"/>
    <w:rsid w:val="00FA68C8"/>
    <w:rsid w:val="00FB09CC"/>
    <w:rsid w:val="00FB4B9F"/>
    <w:rsid w:val="00FB7471"/>
    <w:rsid w:val="00FC1CC2"/>
    <w:rsid w:val="00FC6854"/>
    <w:rsid w:val="00FC77C7"/>
    <w:rsid w:val="00FD2082"/>
    <w:rsid w:val="00FD3736"/>
    <w:rsid w:val="00FD5601"/>
    <w:rsid w:val="00FE01BD"/>
    <w:rsid w:val="00FE3A94"/>
    <w:rsid w:val="00FE4E49"/>
    <w:rsid w:val="00FE7D94"/>
    <w:rsid w:val="00FF09F8"/>
    <w:rsid w:val="00FF1EAB"/>
    <w:rsid w:val="00FF313D"/>
    <w:rsid w:val="00FF617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D2FFF42"/>
  <w15:chartTrackingRefBased/>
  <w15:docId w15:val="{F24C551D-979D-4A01-A125-F92B10FB95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8634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3063E"/>
    <w:pPr>
      <w:tabs>
        <w:tab w:val="center" w:pos="4252"/>
        <w:tab w:val="right" w:pos="8504"/>
      </w:tabs>
      <w:snapToGrid w:val="0"/>
    </w:pPr>
  </w:style>
  <w:style w:type="character" w:customStyle="1" w:styleId="a4">
    <w:name w:val="ヘッダー (文字)"/>
    <w:basedOn w:val="a0"/>
    <w:link w:val="a3"/>
    <w:uiPriority w:val="99"/>
    <w:rsid w:val="00D3063E"/>
  </w:style>
  <w:style w:type="paragraph" w:styleId="a5">
    <w:name w:val="footer"/>
    <w:basedOn w:val="a"/>
    <w:link w:val="a6"/>
    <w:uiPriority w:val="99"/>
    <w:unhideWhenUsed/>
    <w:rsid w:val="00D3063E"/>
    <w:pPr>
      <w:tabs>
        <w:tab w:val="center" w:pos="4252"/>
        <w:tab w:val="right" w:pos="8504"/>
      </w:tabs>
      <w:snapToGrid w:val="0"/>
    </w:pPr>
  </w:style>
  <w:style w:type="character" w:customStyle="1" w:styleId="a6">
    <w:name w:val="フッター (文字)"/>
    <w:basedOn w:val="a0"/>
    <w:link w:val="a5"/>
    <w:uiPriority w:val="99"/>
    <w:rsid w:val="00D3063E"/>
  </w:style>
  <w:style w:type="table" w:styleId="a7">
    <w:name w:val="Table Grid"/>
    <w:basedOn w:val="a1"/>
    <w:uiPriority w:val="39"/>
    <w:rsid w:val="005C7D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Hyperlink"/>
    <w:basedOn w:val="a0"/>
    <w:uiPriority w:val="99"/>
    <w:unhideWhenUsed/>
    <w:rsid w:val="00C171EB"/>
    <w:rPr>
      <w:color w:val="0563C1" w:themeColor="hyperlink"/>
      <w:u w:val="single"/>
    </w:rPr>
  </w:style>
  <w:style w:type="character" w:customStyle="1" w:styleId="1">
    <w:name w:val="未解決のメンション1"/>
    <w:basedOn w:val="a0"/>
    <w:uiPriority w:val="99"/>
    <w:semiHidden/>
    <w:unhideWhenUsed/>
    <w:rsid w:val="00C171EB"/>
    <w:rPr>
      <w:color w:val="605E5C"/>
      <w:shd w:val="clear" w:color="auto" w:fill="E1DFDD"/>
    </w:rPr>
  </w:style>
  <w:style w:type="paragraph" w:customStyle="1" w:styleId="EndNoteBibliography">
    <w:name w:val="EndNote Bibliography"/>
    <w:basedOn w:val="a"/>
    <w:link w:val="EndNoteBibliography0"/>
    <w:rsid w:val="00C1343B"/>
    <w:rPr>
      <w:rFonts w:ascii="游明朝" w:eastAsia="游明朝" w:hAnsi="游明朝"/>
      <w:noProof/>
      <w:sz w:val="20"/>
    </w:rPr>
  </w:style>
  <w:style w:type="character" w:customStyle="1" w:styleId="EndNoteBibliography0">
    <w:name w:val="EndNote Bibliography (文字)"/>
    <w:basedOn w:val="a0"/>
    <w:link w:val="EndNoteBibliography"/>
    <w:rsid w:val="00C1343B"/>
    <w:rPr>
      <w:rFonts w:ascii="游明朝" w:eastAsia="游明朝" w:hAnsi="游明朝"/>
      <w:noProof/>
      <w:sz w:val="20"/>
    </w:rPr>
  </w:style>
  <w:style w:type="paragraph" w:customStyle="1" w:styleId="Default">
    <w:name w:val="Default"/>
    <w:rsid w:val="009C5DD1"/>
    <w:pPr>
      <w:widowControl w:val="0"/>
      <w:autoSpaceDE w:val="0"/>
      <w:autoSpaceDN w:val="0"/>
      <w:adjustRightInd w:val="0"/>
    </w:pPr>
    <w:rPr>
      <w:rFonts w:ascii="Calibri" w:eastAsia="Times New Roman" w:hAnsi="Calibri" w:cs="Calibri"/>
      <w:color w:val="000000"/>
      <w:kern w:val="0"/>
      <w:sz w:val="24"/>
      <w:szCs w:val="24"/>
      <w:lang w:eastAsia="en-CA"/>
    </w:rPr>
  </w:style>
  <w:style w:type="character" w:styleId="a9">
    <w:name w:val="annotation reference"/>
    <w:basedOn w:val="a0"/>
    <w:uiPriority w:val="99"/>
    <w:semiHidden/>
    <w:unhideWhenUsed/>
    <w:rsid w:val="00702591"/>
    <w:rPr>
      <w:sz w:val="18"/>
      <w:szCs w:val="18"/>
    </w:rPr>
  </w:style>
  <w:style w:type="paragraph" w:styleId="aa">
    <w:name w:val="annotation text"/>
    <w:basedOn w:val="a"/>
    <w:link w:val="ab"/>
    <w:uiPriority w:val="99"/>
    <w:semiHidden/>
    <w:unhideWhenUsed/>
    <w:rsid w:val="00702591"/>
    <w:pPr>
      <w:jc w:val="left"/>
    </w:pPr>
  </w:style>
  <w:style w:type="character" w:customStyle="1" w:styleId="ab">
    <w:name w:val="コメント文字列 (文字)"/>
    <w:basedOn w:val="a0"/>
    <w:link w:val="aa"/>
    <w:uiPriority w:val="99"/>
    <w:semiHidden/>
    <w:rsid w:val="00702591"/>
  </w:style>
  <w:style w:type="paragraph" w:styleId="ac">
    <w:name w:val="annotation subject"/>
    <w:basedOn w:val="aa"/>
    <w:next w:val="aa"/>
    <w:link w:val="ad"/>
    <w:uiPriority w:val="99"/>
    <w:semiHidden/>
    <w:unhideWhenUsed/>
    <w:rsid w:val="00702591"/>
    <w:rPr>
      <w:b/>
      <w:bCs/>
    </w:rPr>
  </w:style>
  <w:style w:type="character" w:customStyle="1" w:styleId="ad">
    <w:name w:val="コメント内容 (文字)"/>
    <w:basedOn w:val="ab"/>
    <w:link w:val="ac"/>
    <w:uiPriority w:val="99"/>
    <w:semiHidden/>
    <w:rsid w:val="00702591"/>
    <w:rPr>
      <w:b/>
      <w:bCs/>
    </w:rPr>
  </w:style>
  <w:style w:type="paragraph" w:styleId="ae">
    <w:name w:val="Revision"/>
    <w:hidden/>
    <w:uiPriority w:val="99"/>
    <w:semiHidden/>
    <w:rsid w:val="00702591"/>
  </w:style>
  <w:style w:type="paragraph" w:styleId="af">
    <w:name w:val="Balloon Text"/>
    <w:basedOn w:val="a"/>
    <w:link w:val="af0"/>
    <w:uiPriority w:val="99"/>
    <w:semiHidden/>
    <w:unhideWhenUsed/>
    <w:rsid w:val="0036466F"/>
    <w:rPr>
      <w:rFonts w:asciiTheme="majorHAnsi" w:eastAsiaTheme="majorEastAsia" w:hAnsiTheme="majorHAnsi" w:cstheme="majorBidi"/>
      <w:sz w:val="18"/>
      <w:szCs w:val="18"/>
    </w:rPr>
  </w:style>
  <w:style w:type="character" w:customStyle="1" w:styleId="af0">
    <w:name w:val="吹き出し (文字)"/>
    <w:basedOn w:val="a0"/>
    <w:link w:val="af"/>
    <w:uiPriority w:val="99"/>
    <w:semiHidden/>
    <w:rsid w:val="0036466F"/>
    <w:rPr>
      <w:rFonts w:asciiTheme="majorHAnsi" w:eastAsiaTheme="majorEastAsia" w:hAnsiTheme="majorHAnsi" w:cstheme="majorBidi"/>
      <w:sz w:val="18"/>
      <w:szCs w:val="18"/>
    </w:rPr>
  </w:style>
  <w:style w:type="paragraph" w:customStyle="1" w:styleId="EndNoteBibliographyTitle">
    <w:name w:val="EndNote Bibliography Title"/>
    <w:basedOn w:val="a"/>
    <w:link w:val="EndNoteBibliographyTitle0"/>
    <w:rsid w:val="0036466F"/>
    <w:pPr>
      <w:jc w:val="center"/>
    </w:pPr>
    <w:rPr>
      <w:rFonts w:ascii="游明朝" w:eastAsia="游明朝" w:hAnsi="游明朝"/>
      <w:noProof/>
      <w:sz w:val="20"/>
    </w:rPr>
  </w:style>
  <w:style w:type="character" w:customStyle="1" w:styleId="EndNoteBibliographyTitle0">
    <w:name w:val="EndNote Bibliography Title (文字)"/>
    <w:basedOn w:val="a0"/>
    <w:link w:val="EndNoteBibliographyTitle"/>
    <w:rsid w:val="0036466F"/>
    <w:rPr>
      <w:rFonts w:ascii="游明朝" w:eastAsia="游明朝" w:hAnsi="游明朝"/>
      <w:noProof/>
      <w:sz w:val="20"/>
    </w:rPr>
  </w:style>
  <w:style w:type="paragraph" w:styleId="af1">
    <w:name w:val="List Paragraph"/>
    <w:basedOn w:val="a"/>
    <w:uiPriority w:val="34"/>
    <w:qFormat/>
    <w:rsid w:val="00E23EBF"/>
    <w:pPr>
      <w:ind w:leftChars="400" w:left="840"/>
    </w:pPr>
  </w:style>
  <w:style w:type="character" w:styleId="af2">
    <w:name w:val="Unresolved Mention"/>
    <w:basedOn w:val="a0"/>
    <w:uiPriority w:val="99"/>
    <w:semiHidden/>
    <w:unhideWhenUsed/>
    <w:rsid w:val="0040188B"/>
    <w:rPr>
      <w:color w:val="605E5C"/>
      <w:shd w:val="clear" w:color="auto" w:fill="E1DFDD"/>
    </w:rPr>
  </w:style>
  <w:style w:type="paragraph" w:customStyle="1" w:styleId="CM1">
    <w:name w:val="CM1"/>
    <w:basedOn w:val="Default"/>
    <w:next w:val="Default"/>
    <w:rsid w:val="00C168CF"/>
    <w:rPr>
      <w:rFonts w:eastAsiaTheme="minorEastAsia" w:cs="Times New Roman"/>
      <w:color w:val="auto"/>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110">
      <w:bodyDiv w:val="1"/>
      <w:marLeft w:val="0"/>
      <w:marRight w:val="0"/>
      <w:marTop w:val="0"/>
      <w:marBottom w:val="0"/>
      <w:divBdr>
        <w:top w:val="none" w:sz="0" w:space="0" w:color="auto"/>
        <w:left w:val="none" w:sz="0" w:space="0" w:color="auto"/>
        <w:bottom w:val="none" w:sz="0" w:space="0" w:color="auto"/>
        <w:right w:val="none" w:sz="0" w:space="0" w:color="auto"/>
      </w:divBdr>
    </w:div>
    <w:div w:id="5863949">
      <w:bodyDiv w:val="1"/>
      <w:marLeft w:val="0"/>
      <w:marRight w:val="0"/>
      <w:marTop w:val="0"/>
      <w:marBottom w:val="0"/>
      <w:divBdr>
        <w:top w:val="none" w:sz="0" w:space="0" w:color="auto"/>
        <w:left w:val="none" w:sz="0" w:space="0" w:color="auto"/>
        <w:bottom w:val="none" w:sz="0" w:space="0" w:color="auto"/>
        <w:right w:val="none" w:sz="0" w:space="0" w:color="auto"/>
      </w:divBdr>
    </w:div>
    <w:div w:id="6031922">
      <w:bodyDiv w:val="1"/>
      <w:marLeft w:val="0"/>
      <w:marRight w:val="0"/>
      <w:marTop w:val="0"/>
      <w:marBottom w:val="0"/>
      <w:divBdr>
        <w:top w:val="none" w:sz="0" w:space="0" w:color="auto"/>
        <w:left w:val="none" w:sz="0" w:space="0" w:color="auto"/>
        <w:bottom w:val="none" w:sz="0" w:space="0" w:color="auto"/>
        <w:right w:val="none" w:sz="0" w:space="0" w:color="auto"/>
      </w:divBdr>
    </w:div>
    <w:div w:id="14695368">
      <w:bodyDiv w:val="1"/>
      <w:marLeft w:val="0"/>
      <w:marRight w:val="0"/>
      <w:marTop w:val="0"/>
      <w:marBottom w:val="0"/>
      <w:divBdr>
        <w:top w:val="none" w:sz="0" w:space="0" w:color="auto"/>
        <w:left w:val="none" w:sz="0" w:space="0" w:color="auto"/>
        <w:bottom w:val="none" w:sz="0" w:space="0" w:color="auto"/>
        <w:right w:val="none" w:sz="0" w:space="0" w:color="auto"/>
      </w:divBdr>
    </w:div>
    <w:div w:id="19168896">
      <w:bodyDiv w:val="1"/>
      <w:marLeft w:val="0"/>
      <w:marRight w:val="0"/>
      <w:marTop w:val="0"/>
      <w:marBottom w:val="0"/>
      <w:divBdr>
        <w:top w:val="none" w:sz="0" w:space="0" w:color="auto"/>
        <w:left w:val="none" w:sz="0" w:space="0" w:color="auto"/>
        <w:bottom w:val="none" w:sz="0" w:space="0" w:color="auto"/>
        <w:right w:val="none" w:sz="0" w:space="0" w:color="auto"/>
      </w:divBdr>
    </w:div>
    <w:div w:id="24453106">
      <w:bodyDiv w:val="1"/>
      <w:marLeft w:val="0"/>
      <w:marRight w:val="0"/>
      <w:marTop w:val="0"/>
      <w:marBottom w:val="0"/>
      <w:divBdr>
        <w:top w:val="none" w:sz="0" w:space="0" w:color="auto"/>
        <w:left w:val="none" w:sz="0" w:space="0" w:color="auto"/>
        <w:bottom w:val="none" w:sz="0" w:space="0" w:color="auto"/>
        <w:right w:val="none" w:sz="0" w:space="0" w:color="auto"/>
      </w:divBdr>
    </w:div>
    <w:div w:id="28143009">
      <w:bodyDiv w:val="1"/>
      <w:marLeft w:val="0"/>
      <w:marRight w:val="0"/>
      <w:marTop w:val="0"/>
      <w:marBottom w:val="0"/>
      <w:divBdr>
        <w:top w:val="none" w:sz="0" w:space="0" w:color="auto"/>
        <w:left w:val="none" w:sz="0" w:space="0" w:color="auto"/>
        <w:bottom w:val="none" w:sz="0" w:space="0" w:color="auto"/>
        <w:right w:val="none" w:sz="0" w:space="0" w:color="auto"/>
      </w:divBdr>
    </w:div>
    <w:div w:id="29109570">
      <w:bodyDiv w:val="1"/>
      <w:marLeft w:val="0"/>
      <w:marRight w:val="0"/>
      <w:marTop w:val="0"/>
      <w:marBottom w:val="0"/>
      <w:divBdr>
        <w:top w:val="none" w:sz="0" w:space="0" w:color="auto"/>
        <w:left w:val="none" w:sz="0" w:space="0" w:color="auto"/>
        <w:bottom w:val="none" w:sz="0" w:space="0" w:color="auto"/>
        <w:right w:val="none" w:sz="0" w:space="0" w:color="auto"/>
      </w:divBdr>
    </w:div>
    <w:div w:id="30083519">
      <w:bodyDiv w:val="1"/>
      <w:marLeft w:val="0"/>
      <w:marRight w:val="0"/>
      <w:marTop w:val="0"/>
      <w:marBottom w:val="0"/>
      <w:divBdr>
        <w:top w:val="none" w:sz="0" w:space="0" w:color="auto"/>
        <w:left w:val="none" w:sz="0" w:space="0" w:color="auto"/>
        <w:bottom w:val="none" w:sz="0" w:space="0" w:color="auto"/>
        <w:right w:val="none" w:sz="0" w:space="0" w:color="auto"/>
      </w:divBdr>
    </w:div>
    <w:div w:id="42756224">
      <w:bodyDiv w:val="1"/>
      <w:marLeft w:val="0"/>
      <w:marRight w:val="0"/>
      <w:marTop w:val="0"/>
      <w:marBottom w:val="0"/>
      <w:divBdr>
        <w:top w:val="none" w:sz="0" w:space="0" w:color="auto"/>
        <w:left w:val="none" w:sz="0" w:space="0" w:color="auto"/>
        <w:bottom w:val="none" w:sz="0" w:space="0" w:color="auto"/>
        <w:right w:val="none" w:sz="0" w:space="0" w:color="auto"/>
      </w:divBdr>
    </w:div>
    <w:div w:id="43799931">
      <w:bodyDiv w:val="1"/>
      <w:marLeft w:val="0"/>
      <w:marRight w:val="0"/>
      <w:marTop w:val="0"/>
      <w:marBottom w:val="0"/>
      <w:divBdr>
        <w:top w:val="none" w:sz="0" w:space="0" w:color="auto"/>
        <w:left w:val="none" w:sz="0" w:space="0" w:color="auto"/>
        <w:bottom w:val="none" w:sz="0" w:space="0" w:color="auto"/>
        <w:right w:val="none" w:sz="0" w:space="0" w:color="auto"/>
      </w:divBdr>
    </w:div>
    <w:div w:id="45224912">
      <w:bodyDiv w:val="1"/>
      <w:marLeft w:val="0"/>
      <w:marRight w:val="0"/>
      <w:marTop w:val="0"/>
      <w:marBottom w:val="0"/>
      <w:divBdr>
        <w:top w:val="none" w:sz="0" w:space="0" w:color="auto"/>
        <w:left w:val="none" w:sz="0" w:space="0" w:color="auto"/>
        <w:bottom w:val="none" w:sz="0" w:space="0" w:color="auto"/>
        <w:right w:val="none" w:sz="0" w:space="0" w:color="auto"/>
      </w:divBdr>
    </w:div>
    <w:div w:id="45227292">
      <w:bodyDiv w:val="1"/>
      <w:marLeft w:val="0"/>
      <w:marRight w:val="0"/>
      <w:marTop w:val="0"/>
      <w:marBottom w:val="0"/>
      <w:divBdr>
        <w:top w:val="none" w:sz="0" w:space="0" w:color="auto"/>
        <w:left w:val="none" w:sz="0" w:space="0" w:color="auto"/>
        <w:bottom w:val="none" w:sz="0" w:space="0" w:color="auto"/>
        <w:right w:val="none" w:sz="0" w:space="0" w:color="auto"/>
      </w:divBdr>
    </w:div>
    <w:div w:id="61678978">
      <w:bodyDiv w:val="1"/>
      <w:marLeft w:val="0"/>
      <w:marRight w:val="0"/>
      <w:marTop w:val="0"/>
      <w:marBottom w:val="0"/>
      <w:divBdr>
        <w:top w:val="none" w:sz="0" w:space="0" w:color="auto"/>
        <w:left w:val="none" w:sz="0" w:space="0" w:color="auto"/>
        <w:bottom w:val="none" w:sz="0" w:space="0" w:color="auto"/>
        <w:right w:val="none" w:sz="0" w:space="0" w:color="auto"/>
      </w:divBdr>
    </w:div>
    <w:div w:id="61761706">
      <w:bodyDiv w:val="1"/>
      <w:marLeft w:val="0"/>
      <w:marRight w:val="0"/>
      <w:marTop w:val="0"/>
      <w:marBottom w:val="0"/>
      <w:divBdr>
        <w:top w:val="none" w:sz="0" w:space="0" w:color="auto"/>
        <w:left w:val="none" w:sz="0" w:space="0" w:color="auto"/>
        <w:bottom w:val="none" w:sz="0" w:space="0" w:color="auto"/>
        <w:right w:val="none" w:sz="0" w:space="0" w:color="auto"/>
      </w:divBdr>
    </w:div>
    <w:div w:id="62340231">
      <w:bodyDiv w:val="1"/>
      <w:marLeft w:val="0"/>
      <w:marRight w:val="0"/>
      <w:marTop w:val="0"/>
      <w:marBottom w:val="0"/>
      <w:divBdr>
        <w:top w:val="none" w:sz="0" w:space="0" w:color="auto"/>
        <w:left w:val="none" w:sz="0" w:space="0" w:color="auto"/>
        <w:bottom w:val="none" w:sz="0" w:space="0" w:color="auto"/>
        <w:right w:val="none" w:sz="0" w:space="0" w:color="auto"/>
      </w:divBdr>
    </w:div>
    <w:div w:id="74908076">
      <w:bodyDiv w:val="1"/>
      <w:marLeft w:val="0"/>
      <w:marRight w:val="0"/>
      <w:marTop w:val="0"/>
      <w:marBottom w:val="0"/>
      <w:divBdr>
        <w:top w:val="none" w:sz="0" w:space="0" w:color="auto"/>
        <w:left w:val="none" w:sz="0" w:space="0" w:color="auto"/>
        <w:bottom w:val="none" w:sz="0" w:space="0" w:color="auto"/>
        <w:right w:val="none" w:sz="0" w:space="0" w:color="auto"/>
      </w:divBdr>
    </w:div>
    <w:div w:id="77604567">
      <w:bodyDiv w:val="1"/>
      <w:marLeft w:val="0"/>
      <w:marRight w:val="0"/>
      <w:marTop w:val="0"/>
      <w:marBottom w:val="0"/>
      <w:divBdr>
        <w:top w:val="none" w:sz="0" w:space="0" w:color="auto"/>
        <w:left w:val="none" w:sz="0" w:space="0" w:color="auto"/>
        <w:bottom w:val="none" w:sz="0" w:space="0" w:color="auto"/>
        <w:right w:val="none" w:sz="0" w:space="0" w:color="auto"/>
      </w:divBdr>
    </w:div>
    <w:div w:id="87972421">
      <w:bodyDiv w:val="1"/>
      <w:marLeft w:val="0"/>
      <w:marRight w:val="0"/>
      <w:marTop w:val="0"/>
      <w:marBottom w:val="0"/>
      <w:divBdr>
        <w:top w:val="none" w:sz="0" w:space="0" w:color="auto"/>
        <w:left w:val="none" w:sz="0" w:space="0" w:color="auto"/>
        <w:bottom w:val="none" w:sz="0" w:space="0" w:color="auto"/>
        <w:right w:val="none" w:sz="0" w:space="0" w:color="auto"/>
      </w:divBdr>
    </w:div>
    <w:div w:id="89738445">
      <w:bodyDiv w:val="1"/>
      <w:marLeft w:val="0"/>
      <w:marRight w:val="0"/>
      <w:marTop w:val="0"/>
      <w:marBottom w:val="0"/>
      <w:divBdr>
        <w:top w:val="none" w:sz="0" w:space="0" w:color="auto"/>
        <w:left w:val="none" w:sz="0" w:space="0" w:color="auto"/>
        <w:bottom w:val="none" w:sz="0" w:space="0" w:color="auto"/>
        <w:right w:val="none" w:sz="0" w:space="0" w:color="auto"/>
      </w:divBdr>
    </w:div>
    <w:div w:id="90125102">
      <w:bodyDiv w:val="1"/>
      <w:marLeft w:val="0"/>
      <w:marRight w:val="0"/>
      <w:marTop w:val="0"/>
      <w:marBottom w:val="0"/>
      <w:divBdr>
        <w:top w:val="none" w:sz="0" w:space="0" w:color="auto"/>
        <w:left w:val="none" w:sz="0" w:space="0" w:color="auto"/>
        <w:bottom w:val="none" w:sz="0" w:space="0" w:color="auto"/>
        <w:right w:val="none" w:sz="0" w:space="0" w:color="auto"/>
      </w:divBdr>
    </w:div>
    <w:div w:id="107546709">
      <w:bodyDiv w:val="1"/>
      <w:marLeft w:val="0"/>
      <w:marRight w:val="0"/>
      <w:marTop w:val="0"/>
      <w:marBottom w:val="0"/>
      <w:divBdr>
        <w:top w:val="none" w:sz="0" w:space="0" w:color="auto"/>
        <w:left w:val="none" w:sz="0" w:space="0" w:color="auto"/>
        <w:bottom w:val="none" w:sz="0" w:space="0" w:color="auto"/>
        <w:right w:val="none" w:sz="0" w:space="0" w:color="auto"/>
      </w:divBdr>
    </w:div>
    <w:div w:id="114101634">
      <w:bodyDiv w:val="1"/>
      <w:marLeft w:val="0"/>
      <w:marRight w:val="0"/>
      <w:marTop w:val="0"/>
      <w:marBottom w:val="0"/>
      <w:divBdr>
        <w:top w:val="none" w:sz="0" w:space="0" w:color="auto"/>
        <w:left w:val="none" w:sz="0" w:space="0" w:color="auto"/>
        <w:bottom w:val="none" w:sz="0" w:space="0" w:color="auto"/>
        <w:right w:val="none" w:sz="0" w:space="0" w:color="auto"/>
      </w:divBdr>
    </w:div>
    <w:div w:id="116070753">
      <w:bodyDiv w:val="1"/>
      <w:marLeft w:val="0"/>
      <w:marRight w:val="0"/>
      <w:marTop w:val="0"/>
      <w:marBottom w:val="0"/>
      <w:divBdr>
        <w:top w:val="none" w:sz="0" w:space="0" w:color="auto"/>
        <w:left w:val="none" w:sz="0" w:space="0" w:color="auto"/>
        <w:bottom w:val="none" w:sz="0" w:space="0" w:color="auto"/>
        <w:right w:val="none" w:sz="0" w:space="0" w:color="auto"/>
      </w:divBdr>
    </w:div>
    <w:div w:id="117646373">
      <w:bodyDiv w:val="1"/>
      <w:marLeft w:val="0"/>
      <w:marRight w:val="0"/>
      <w:marTop w:val="0"/>
      <w:marBottom w:val="0"/>
      <w:divBdr>
        <w:top w:val="none" w:sz="0" w:space="0" w:color="auto"/>
        <w:left w:val="none" w:sz="0" w:space="0" w:color="auto"/>
        <w:bottom w:val="none" w:sz="0" w:space="0" w:color="auto"/>
        <w:right w:val="none" w:sz="0" w:space="0" w:color="auto"/>
      </w:divBdr>
    </w:div>
    <w:div w:id="118497590">
      <w:bodyDiv w:val="1"/>
      <w:marLeft w:val="0"/>
      <w:marRight w:val="0"/>
      <w:marTop w:val="0"/>
      <w:marBottom w:val="0"/>
      <w:divBdr>
        <w:top w:val="none" w:sz="0" w:space="0" w:color="auto"/>
        <w:left w:val="none" w:sz="0" w:space="0" w:color="auto"/>
        <w:bottom w:val="none" w:sz="0" w:space="0" w:color="auto"/>
        <w:right w:val="none" w:sz="0" w:space="0" w:color="auto"/>
      </w:divBdr>
    </w:div>
    <w:div w:id="127088661">
      <w:bodyDiv w:val="1"/>
      <w:marLeft w:val="0"/>
      <w:marRight w:val="0"/>
      <w:marTop w:val="0"/>
      <w:marBottom w:val="0"/>
      <w:divBdr>
        <w:top w:val="none" w:sz="0" w:space="0" w:color="auto"/>
        <w:left w:val="none" w:sz="0" w:space="0" w:color="auto"/>
        <w:bottom w:val="none" w:sz="0" w:space="0" w:color="auto"/>
        <w:right w:val="none" w:sz="0" w:space="0" w:color="auto"/>
      </w:divBdr>
    </w:div>
    <w:div w:id="127629196">
      <w:bodyDiv w:val="1"/>
      <w:marLeft w:val="0"/>
      <w:marRight w:val="0"/>
      <w:marTop w:val="0"/>
      <w:marBottom w:val="0"/>
      <w:divBdr>
        <w:top w:val="none" w:sz="0" w:space="0" w:color="auto"/>
        <w:left w:val="none" w:sz="0" w:space="0" w:color="auto"/>
        <w:bottom w:val="none" w:sz="0" w:space="0" w:color="auto"/>
        <w:right w:val="none" w:sz="0" w:space="0" w:color="auto"/>
      </w:divBdr>
    </w:div>
    <w:div w:id="132912845">
      <w:bodyDiv w:val="1"/>
      <w:marLeft w:val="0"/>
      <w:marRight w:val="0"/>
      <w:marTop w:val="0"/>
      <w:marBottom w:val="0"/>
      <w:divBdr>
        <w:top w:val="none" w:sz="0" w:space="0" w:color="auto"/>
        <w:left w:val="none" w:sz="0" w:space="0" w:color="auto"/>
        <w:bottom w:val="none" w:sz="0" w:space="0" w:color="auto"/>
        <w:right w:val="none" w:sz="0" w:space="0" w:color="auto"/>
      </w:divBdr>
    </w:div>
    <w:div w:id="154802561">
      <w:bodyDiv w:val="1"/>
      <w:marLeft w:val="0"/>
      <w:marRight w:val="0"/>
      <w:marTop w:val="0"/>
      <w:marBottom w:val="0"/>
      <w:divBdr>
        <w:top w:val="none" w:sz="0" w:space="0" w:color="auto"/>
        <w:left w:val="none" w:sz="0" w:space="0" w:color="auto"/>
        <w:bottom w:val="none" w:sz="0" w:space="0" w:color="auto"/>
        <w:right w:val="none" w:sz="0" w:space="0" w:color="auto"/>
      </w:divBdr>
    </w:div>
    <w:div w:id="156770902">
      <w:bodyDiv w:val="1"/>
      <w:marLeft w:val="0"/>
      <w:marRight w:val="0"/>
      <w:marTop w:val="0"/>
      <w:marBottom w:val="0"/>
      <w:divBdr>
        <w:top w:val="none" w:sz="0" w:space="0" w:color="auto"/>
        <w:left w:val="none" w:sz="0" w:space="0" w:color="auto"/>
        <w:bottom w:val="none" w:sz="0" w:space="0" w:color="auto"/>
        <w:right w:val="none" w:sz="0" w:space="0" w:color="auto"/>
      </w:divBdr>
    </w:div>
    <w:div w:id="165480024">
      <w:bodyDiv w:val="1"/>
      <w:marLeft w:val="0"/>
      <w:marRight w:val="0"/>
      <w:marTop w:val="0"/>
      <w:marBottom w:val="0"/>
      <w:divBdr>
        <w:top w:val="none" w:sz="0" w:space="0" w:color="auto"/>
        <w:left w:val="none" w:sz="0" w:space="0" w:color="auto"/>
        <w:bottom w:val="none" w:sz="0" w:space="0" w:color="auto"/>
        <w:right w:val="none" w:sz="0" w:space="0" w:color="auto"/>
      </w:divBdr>
    </w:div>
    <w:div w:id="172230096">
      <w:bodyDiv w:val="1"/>
      <w:marLeft w:val="0"/>
      <w:marRight w:val="0"/>
      <w:marTop w:val="0"/>
      <w:marBottom w:val="0"/>
      <w:divBdr>
        <w:top w:val="none" w:sz="0" w:space="0" w:color="auto"/>
        <w:left w:val="none" w:sz="0" w:space="0" w:color="auto"/>
        <w:bottom w:val="none" w:sz="0" w:space="0" w:color="auto"/>
        <w:right w:val="none" w:sz="0" w:space="0" w:color="auto"/>
      </w:divBdr>
    </w:div>
    <w:div w:id="174421055">
      <w:bodyDiv w:val="1"/>
      <w:marLeft w:val="0"/>
      <w:marRight w:val="0"/>
      <w:marTop w:val="0"/>
      <w:marBottom w:val="0"/>
      <w:divBdr>
        <w:top w:val="none" w:sz="0" w:space="0" w:color="auto"/>
        <w:left w:val="none" w:sz="0" w:space="0" w:color="auto"/>
        <w:bottom w:val="none" w:sz="0" w:space="0" w:color="auto"/>
        <w:right w:val="none" w:sz="0" w:space="0" w:color="auto"/>
      </w:divBdr>
    </w:div>
    <w:div w:id="175847496">
      <w:bodyDiv w:val="1"/>
      <w:marLeft w:val="0"/>
      <w:marRight w:val="0"/>
      <w:marTop w:val="0"/>
      <w:marBottom w:val="0"/>
      <w:divBdr>
        <w:top w:val="none" w:sz="0" w:space="0" w:color="auto"/>
        <w:left w:val="none" w:sz="0" w:space="0" w:color="auto"/>
        <w:bottom w:val="none" w:sz="0" w:space="0" w:color="auto"/>
        <w:right w:val="none" w:sz="0" w:space="0" w:color="auto"/>
      </w:divBdr>
    </w:div>
    <w:div w:id="180362950">
      <w:bodyDiv w:val="1"/>
      <w:marLeft w:val="0"/>
      <w:marRight w:val="0"/>
      <w:marTop w:val="0"/>
      <w:marBottom w:val="0"/>
      <w:divBdr>
        <w:top w:val="none" w:sz="0" w:space="0" w:color="auto"/>
        <w:left w:val="none" w:sz="0" w:space="0" w:color="auto"/>
        <w:bottom w:val="none" w:sz="0" w:space="0" w:color="auto"/>
        <w:right w:val="none" w:sz="0" w:space="0" w:color="auto"/>
      </w:divBdr>
    </w:div>
    <w:div w:id="187333122">
      <w:bodyDiv w:val="1"/>
      <w:marLeft w:val="0"/>
      <w:marRight w:val="0"/>
      <w:marTop w:val="0"/>
      <w:marBottom w:val="0"/>
      <w:divBdr>
        <w:top w:val="none" w:sz="0" w:space="0" w:color="auto"/>
        <w:left w:val="none" w:sz="0" w:space="0" w:color="auto"/>
        <w:bottom w:val="none" w:sz="0" w:space="0" w:color="auto"/>
        <w:right w:val="none" w:sz="0" w:space="0" w:color="auto"/>
      </w:divBdr>
    </w:div>
    <w:div w:id="224067724">
      <w:bodyDiv w:val="1"/>
      <w:marLeft w:val="0"/>
      <w:marRight w:val="0"/>
      <w:marTop w:val="0"/>
      <w:marBottom w:val="0"/>
      <w:divBdr>
        <w:top w:val="none" w:sz="0" w:space="0" w:color="auto"/>
        <w:left w:val="none" w:sz="0" w:space="0" w:color="auto"/>
        <w:bottom w:val="none" w:sz="0" w:space="0" w:color="auto"/>
        <w:right w:val="none" w:sz="0" w:space="0" w:color="auto"/>
      </w:divBdr>
    </w:div>
    <w:div w:id="227424497">
      <w:bodyDiv w:val="1"/>
      <w:marLeft w:val="0"/>
      <w:marRight w:val="0"/>
      <w:marTop w:val="0"/>
      <w:marBottom w:val="0"/>
      <w:divBdr>
        <w:top w:val="none" w:sz="0" w:space="0" w:color="auto"/>
        <w:left w:val="none" w:sz="0" w:space="0" w:color="auto"/>
        <w:bottom w:val="none" w:sz="0" w:space="0" w:color="auto"/>
        <w:right w:val="none" w:sz="0" w:space="0" w:color="auto"/>
      </w:divBdr>
    </w:div>
    <w:div w:id="235752765">
      <w:bodyDiv w:val="1"/>
      <w:marLeft w:val="0"/>
      <w:marRight w:val="0"/>
      <w:marTop w:val="0"/>
      <w:marBottom w:val="0"/>
      <w:divBdr>
        <w:top w:val="none" w:sz="0" w:space="0" w:color="auto"/>
        <w:left w:val="none" w:sz="0" w:space="0" w:color="auto"/>
        <w:bottom w:val="none" w:sz="0" w:space="0" w:color="auto"/>
        <w:right w:val="none" w:sz="0" w:space="0" w:color="auto"/>
      </w:divBdr>
    </w:div>
    <w:div w:id="237250681">
      <w:bodyDiv w:val="1"/>
      <w:marLeft w:val="0"/>
      <w:marRight w:val="0"/>
      <w:marTop w:val="0"/>
      <w:marBottom w:val="0"/>
      <w:divBdr>
        <w:top w:val="none" w:sz="0" w:space="0" w:color="auto"/>
        <w:left w:val="none" w:sz="0" w:space="0" w:color="auto"/>
        <w:bottom w:val="none" w:sz="0" w:space="0" w:color="auto"/>
        <w:right w:val="none" w:sz="0" w:space="0" w:color="auto"/>
      </w:divBdr>
    </w:div>
    <w:div w:id="267353883">
      <w:bodyDiv w:val="1"/>
      <w:marLeft w:val="0"/>
      <w:marRight w:val="0"/>
      <w:marTop w:val="0"/>
      <w:marBottom w:val="0"/>
      <w:divBdr>
        <w:top w:val="none" w:sz="0" w:space="0" w:color="auto"/>
        <w:left w:val="none" w:sz="0" w:space="0" w:color="auto"/>
        <w:bottom w:val="none" w:sz="0" w:space="0" w:color="auto"/>
        <w:right w:val="none" w:sz="0" w:space="0" w:color="auto"/>
      </w:divBdr>
    </w:div>
    <w:div w:id="276956359">
      <w:bodyDiv w:val="1"/>
      <w:marLeft w:val="0"/>
      <w:marRight w:val="0"/>
      <w:marTop w:val="0"/>
      <w:marBottom w:val="0"/>
      <w:divBdr>
        <w:top w:val="none" w:sz="0" w:space="0" w:color="auto"/>
        <w:left w:val="none" w:sz="0" w:space="0" w:color="auto"/>
        <w:bottom w:val="none" w:sz="0" w:space="0" w:color="auto"/>
        <w:right w:val="none" w:sz="0" w:space="0" w:color="auto"/>
      </w:divBdr>
    </w:div>
    <w:div w:id="284194178">
      <w:bodyDiv w:val="1"/>
      <w:marLeft w:val="0"/>
      <w:marRight w:val="0"/>
      <w:marTop w:val="0"/>
      <w:marBottom w:val="0"/>
      <w:divBdr>
        <w:top w:val="none" w:sz="0" w:space="0" w:color="auto"/>
        <w:left w:val="none" w:sz="0" w:space="0" w:color="auto"/>
        <w:bottom w:val="none" w:sz="0" w:space="0" w:color="auto"/>
        <w:right w:val="none" w:sz="0" w:space="0" w:color="auto"/>
      </w:divBdr>
    </w:div>
    <w:div w:id="284318198">
      <w:bodyDiv w:val="1"/>
      <w:marLeft w:val="0"/>
      <w:marRight w:val="0"/>
      <w:marTop w:val="0"/>
      <w:marBottom w:val="0"/>
      <w:divBdr>
        <w:top w:val="none" w:sz="0" w:space="0" w:color="auto"/>
        <w:left w:val="none" w:sz="0" w:space="0" w:color="auto"/>
        <w:bottom w:val="none" w:sz="0" w:space="0" w:color="auto"/>
        <w:right w:val="none" w:sz="0" w:space="0" w:color="auto"/>
      </w:divBdr>
    </w:div>
    <w:div w:id="289016920">
      <w:bodyDiv w:val="1"/>
      <w:marLeft w:val="0"/>
      <w:marRight w:val="0"/>
      <w:marTop w:val="0"/>
      <w:marBottom w:val="0"/>
      <w:divBdr>
        <w:top w:val="none" w:sz="0" w:space="0" w:color="auto"/>
        <w:left w:val="none" w:sz="0" w:space="0" w:color="auto"/>
        <w:bottom w:val="none" w:sz="0" w:space="0" w:color="auto"/>
        <w:right w:val="none" w:sz="0" w:space="0" w:color="auto"/>
      </w:divBdr>
    </w:div>
    <w:div w:id="329212546">
      <w:bodyDiv w:val="1"/>
      <w:marLeft w:val="0"/>
      <w:marRight w:val="0"/>
      <w:marTop w:val="0"/>
      <w:marBottom w:val="0"/>
      <w:divBdr>
        <w:top w:val="none" w:sz="0" w:space="0" w:color="auto"/>
        <w:left w:val="none" w:sz="0" w:space="0" w:color="auto"/>
        <w:bottom w:val="none" w:sz="0" w:space="0" w:color="auto"/>
        <w:right w:val="none" w:sz="0" w:space="0" w:color="auto"/>
      </w:divBdr>
    </w:div>
    <w:div w:id="335806735">
      <w:bodyDiv w:val="1"/>
      <w:marLeft w:val="0"/>
      <w:marRight w:val="0"/>
      <w:marTop w:val="0"/>
      <w:marBottom w:val="0"/>
      <w:divBdr>
        <w:top w:val="none" w:sz="0" w:space="0" w:color="auto"/>
        <w:left w:val="none" w:sz="0" w:space="0" w:color="auto"/>
        <w:bottom w:val="none" w:sz="0" w:space="0" w:color="auto"/>
        <w:right w:val="none" w:sz="0" w:space="0" w:color="auto"/>
      </w:divBdr>
    </w:div>
    <w:div w:id="351499274">
      <w:bodyDiv w:val="1"/>
      <w:marLeft w:val="0"/>
      <w:marRight w:val="0"/>
      <w:marTop w:val="0"/>
      <w:marBottom w:val="0"/>
      <w:divBdr>
        <w:top w:val="none" w:sz="0" w:space="0" w:color="auto"/>
        <w:left w:val="none" w:sz="0" w:space="0" w:color="auto"/>
        <w:bottom w:val="none" w:sz="0" w:space="0" w:color="auto"/>
        <w:right w:val="none" w:sz="0" w:space="0" w:color="auto"/>
      </w:divBdr>
    </w:div>
    <w:div w:id="372967450">
      <w:bodyDiv w:val="1"/>
      <w:marLeft w:val="0"/>
      <w:marRight w:val="0"/>
      <w:marTop w:val="0"/>
      <w:marBottom w:val="0"/>
      <w:divBdr>
        <w:top w:val="none" w:sz="0" w:space="0" w:color="auto"/>
        <w:left w:val="none" w:sz="0" w:space="0" w:color="auto"/>
        <w:bottom w:val="none" w:sz="0" w:space="0" w:color="auto"/>
        <w:right w:val="none" w:sz="0" w:space="0" w:color="auto"/>
      </w:divBdr>
    </w:div>
    <w:div w:id="373310120">
      <w:bodyDiv w:val="1"/>
      <w:marLeft w:val="0"/>
      <w:marRight w:val="0"/>
      <w:marTop w:val="0"/>
      <w:marBottom w:val="0"/>
      <w:divBdr>
        <w:top w:val="none" w:sz="0" w:space="0" w:color="auto"/>
        <w:left w:val="none" w:sz="0" w:space="0" w:color="auto"/>
        <w:bottom w:val="none" w:sz="0" w:space="0" w:color="auto"/>
        <w:right w:val="none" w:sz="0" w:space="0" w:color="auto"/>
      </w:divBdr>
    </w:div>
    <w:div w:id="373701131">
      <w:bodyDiv w:val="1"/>
      <w:marLeft w:val="0"/>
      <w:marRight w:val="0"/>
      <w:marTop w:val="0"/>
      <w:marBottom w:val="0"/>
      <w:divBdr>
        <w:top w:val="none" w:sz="0" w:space="0" w:color="auto"/>
        <w:left w:val="none" w:sz="0" w:space="0" w:color="auto"/>
        <w:bottom w:val="none" w:sz="0" w:space="0" w:color="auto"/>
        <w:right w:val="none" w:sz="0" w:space="0" w:color="auto"/>
      </w:divBdr>
    </w:div>
    <w:div w:id="382564272">
      <w:bodyDiv w:val="1"/>
      <w:marLeft w:val="0"/>
      <w:marRight w:val="0"/>
      <w:marTop w:val="0"/>
      <w:marBottom w:val="0"/>
      <w:divBdr>
        <w:top w:val="none" w:sz="0" w:space="0" w:color="auto"/>
        <w:left w:val="none" w:sz="0" w:space="0" w:color="auto"/>
        <w:bottom w:val="none" w:sz="0" w:space="0" w:color="auto"/>
        <w:right w:val="none" w:sz="0" w:space="0" w:color="auto"/>
      </w:divBdr>
    </w:div>
    <w:div w:id="383138326">
      <w:bodyDiv w:val="1"/>
      <w:marLeft w:val="0"/>
      <w:marRight w:val="0"/>
      <w:marTop w:val="0"/>
      <w:marBottom w:val="0"/>
      <w:divBdr>
        <w:top w:val="none" w:sz="0" w:space="0" w:color="auto"/>
        <w:left w:val="none" w:sz="0" w:space="0" w:color="auto"/>
        <w:bottom w:val="none" w:sz="0" w:space="0" w:color="auto"/>
        <w:right w:val="none" w:sz="0" w:space="0" w:color="auto"/>
      </w:divBdr>
    </w:div>
    <w:div w:id="386534316">
      <w:bodyDiv w:val="1"/>
      <w:marLeft w:val="0"/>
      <w:marRight w:val="0"/>
      <w:marTop w:val="0"/>
      <w:marBottom w:val="0"/>
      <w:divBdr>
        <w:top w:val="none" w:sz="0" w:space="0" w:color="auto"/>
        <w:left w:val="none" w:sz="0" w:space="0" w:color="auto"/>
        <w:bottom w:val="none" w:sz="0" w:space="0" w:color="auto"/>
        <w:right w:val="none" w:sz="0" w:space="0" w:color="auto"/>
      </w:divBdr>
    </w:div>
    <w:div w:id="400753507">
      <w:bodyDiv w:val="1"/>
      <w:marLeft w:val="0"/>
      <w:marRight w:val="0"/>
      <w:marTop w:val="0"/>
      <w:marBottom w:val="0"/>
      <w:divBdr>
        <w:top w:val="none" w:sz="0" w:space="0" w:color="auto"/>
        <w:left w:val="none" w:sz="0" w:space="0" w:color="auto"/>
        <w:bottom w:val="none" w:sz="0" w:space="0" w:color="auto"/>
        <w:right w:val="none" w:sz="0" w:space="0" w:color="auto"/>
      </w:divBdr>
    </w:div>
    <w:div w:id="400907616">
      <w:bodyDiv w:val="1"/>
      <w:marLeft w:val="0"/>
      <w:marRight w:val="0"/>
      <w:marTop w:val="0"/>
      <w:marBottom w:val="0"/>
      <w:divBdr>
        <w:top w:val="none" w:sz="0" w:space="0" w:color="auto"/>
        <w:left w:val="none" w:sz="0" w:space="0" w:color="auto"/>
        <w:bottom w:val="none" w:sz="0" w:space="0" w:color="auto"/>
        <w:right w:val="none" w:sz="0" w:space="0" w:color="auto"/>
      </w:divBdr>
    </w:div>
    <w:div w:id="401105829">
      <w:bodyDiv w:val="1"/>
      <w:marLeft w:val="0"/>
      <w:marRight w:val="0"/>
      <w:marTop w:val="0"/>
      <w:marBottom w:val="0"/>
      <w:divBdr>
        <w:top w:val="none" w:sz="0" w:space="0" w:color="auto"/>
        <w:left w:val="none" w:sz="0" w:space="0" w:color="auto"/>
        <w:bottom w:val="none" w:sz="0" w:space="0" w:color="auto"/>
        <w:right w:val="none" w:sz="0" w:space="0" w:color="auto"/>
      </w:divBdr>
    </w:div>
    <w:div w:id="418869228">
      <w:bodyDiv w:val="1"/>
      <w:marLeft w:val="0"/>
      <w:marRight w:val="0"/>
      <w:marTop w:val="0"/>
      <w:marBottom w:val="0"/>
      <w:divBdr>
        <w:top w:val="none" w:sz="0" w:space="0" w:color="auto"/>
        <w:left w:val="none" w:sz="0" w:space="0" w:color="auto"/>
        <w:bottom w:val="none" w:sz="0" w:space="0" w:color="auto"/>
        <w:right w:val="none" w:sz="0" w:space="0" w:color="auto"/>
      </w:divBdr>
    </w:div>
    <w:div w:id="425930455">
      <w:bodyDiv w:val="1"/>
      <w:marLeft w:val="0"/>
      <w:marRight w:val="0"/>
      <w:marTop w:val="0"/>
      <w:marBottom w:val="0"/>
      <w:divBdr>
        <w:top w:val="none" w:sz="0" w:space="0" w:color="auto"/>
        <w:left w:val="none" w:sz="0" w:space="0" w:color="auto"/>
        <w:bottom w:val="none" w:sz="0" w:space="0" w:color="auto"/>
        <w:right w:val="none" w:sz="0" w:space="0" w:color="auto"/>
      </w:divBdr>
    </w:div>
    <w:div w:id="427889084">
      <w:bodyDiv w:val="1"/>
      <w:marLeft w:val="0"/>
      <w:marRight w:val="0"/>
      <w:marTop w:val="0"/>
      <w:marBottom w:val="0"/>
      <w:divBdr>
        <w:top w:val="none" w:sz="0" w:space="0" w:color="auto"/>
        <w:left w:val="none" w:sz="0" w:space="0" w:color="auto"/>
        <w:bottom w:val="none" w:sz="0" w:space="0" w:color="auto"/>
        <w:right w:val="none" w:sz="0" w:space="0" w:color="auto"/>
      </w:divBdr>
    </w:div>
    <w:div w:id="433938836">
      <w:bodyDiv w:val="1"/>
      <w:marLeft w:val="0"/>
      <w:marRight w:val="0"/>
      <w:marTop w:val="0"/>
      <w:marBottom w:val="0"/>
      <w:divBdr>
        <w:top w:val="none" w:sz="0" w:space="0" w:color="auto"/>
        <w:left w:val="none" w:sz="0" w:space="0" w:color="auto"/>
        <w:bottom w:val="none" w:sz="0" w:space="0" w:color="auto"/>
        <w:right w:val="none" w:sz="0" w:space="0" w:color="auto"/>
      </w:divBdr>
    </w:div>
    <w:div w:id="435515928">
      <w:bodyDiv w:val="1"/>
      <w:marLeft w:val="0"/>
      <w:marRight w:val="0"/>
      <w:marTop w:val="0"/>
      <w:marBottom w:val="0"/>
      <w:divBdr>
        <w:top w:val="none" w:sz="0" w:space="0" w:color="auto"/>
        <w:left w:val="none" w:sz="0" w:space="0" w:color="auto"/>
        <w:bottom w:val="none" w:sz="0" w:space="0" w:color="auto"/>
        <w:right w:val="none" w:sz="0" w:space="0" w:color="auto"/>
      </w:divBdr>
    </w:div>
    <w:div w:id="438843795">
      <w:bodyDiv w:val="1"/>
      <w:marLeft w:val="0"/>
      <w:marRight w:val="0"/>
      <w:marTop w:val="0"/>
      <w:marBottom w:val="0"/>
      <w:divBdr>
        <w:top w:val="none" w:sz="0" w:space="0" w:color="auto"/>
        <w:left w:val="none" w:sz="0" w:space="0" w:color="auto"/>
        <w:bottom w:val="none" w:sz="0" w:space="0" w:color="auto"/>
        <w:right w:val="none" w:sz="0" w:space="0" w:color="auto"/>
      </w:divBdr>
    </w:div>
    <w:div w:id="439763930">
      <w:bodyDiv w:val="1"/>
      <w:marLeft w:val="0"/>
      <w:marRight w:val="0"/>
      <w:marTop w:val="0"/>
      <w:marBottom w:val="0"/>
      <w:divBdr>
        <w:top w:val="none" w:sz="0" w:space="0" w:color="auto"/>
        <w:left w:val="none" w:sz="0" w:space="0" w:color="auto"/>
        <w:bottom w:val="none" w:sz="0" w:space="0" w:color="auto"/>
        <w:right w:val="none" w:sz="0" w:space="0" w:color="auto"/>
      </w:divBdr>
    </w:div>
    <w:div w:id="445580071">
      <w:bodyDiv w:val="1"/>
      <w:marLeft w:val="0"/>
      <w:marRight w:val="0"/>
      <w:marTop w:val="0"/>
      <w:marBottom w:val="0"/>
      <w:divBdr>
        <w:top w:val="none" w:sz="0" w:space="0" w:color="auto"/>
        <w:left w:val="none" w:sz="0" w:space="0" w:color="auto"/>
        <w:bottom w:val="none" w:sz="0" w:space="0" w:color="auto"/>
        <w:right w:val="none" w:sz="0" w:space="0" w:color="auto"/>
      </w:divBdr>
    </w:div>
    <w:div w:id="448622186">
      <w:bodyDiv w:val="1"/>
      <w:marLeft w:val="0"/>
      <w:marRight w:val="0"/>
      <w:marTop w:val="0"/>
      <w:marBottom w:val="0"/>
      <w:divBdr>
        <w:top w:val="none" w:sz="0" w:space="0" w:color="auto"/>
        <w:left w:val="none" w:sz="0" w:space="0" w:color="auto"/>
        <w:bottom w:val="none" w:sz="0" w:space="0" w:color="auto"/>
        <w:right w:val="none" w:sz="0" w:space="0" w:color="auto"/>
      </w:divBdr>
    </w:div>
    <w:div w:id="451287489">
      <w:bodyDiv w:val="1"/>
      <w:marLeft w:val="0"/>
      <w:marRight w:val="0"/>
      <w:marTop w:val="0"/>
      <w:marBottom w:val="0"/>
      <w:divBdr>
        <w:top w:val="none" w:sz="0" w:space="0" w:color="auto"/>
        <w:left w:val="none" w:sz="0" w:space="0" w:color="auto"/>
        <w:bottom w:val="none" w:sz="0" w:space="0" w:color="auto"/>
        <w:right w:val="none" w:sz="0" w:space="0" w:color="auto"/>
      </w:divBdr>
    </w:div>
    <w:div w:id="453643182">
      <w:bodyDiv w:val="1"/>
      <w:marLeft w:val="0"/>
      <w:marRight w:val="0"/>
      <w:marTop w:val="0"/>
      <w:marBottom w:val="0"/>
      <w:divBdr>
        <w:top w:val="none" w:sz="0" w:space="0" w:color="auto"/>
        <w:left w:val="none" w:sz="0" w:space="0" w:color="auto"/>
        <w:bottom w:val="none" w:sz="0" w:space="0" w:color="auto"/>
        <w:right w:val="none" w:sz="0" w:space="0" w:color="auto"/>
      </w:divBdr>
    </w:div>
    <w:div w:id="460659513">
      <w:bodyDiv w:val="1"/>
      <w:marLeft w:val="0"/>
      <w:marRight w:val="0"/>
      <w:marTop w:val="0"/>
      <w:marBottom w:val="0"/>
      <w:divBdr>
        <w:top w:val="none" w:sz="0" w:space="0" w:color="auto"/>
        <w:left w:val="none" w:sz="0" w:space="0" w:color="auto"/>
        <w:bottom w:val="none" w:sz="0" w:space="0" w:color="auto"/>
        <w:right w:val="none" w:sz="0" w:space="0" w:color="auto"/>
      </w:divBdr>
    </w:div>
    <w:div w:id="461581815">
      <w:bodyDiv w:val="1"/>
      <w:marLeft w:val="0"/>
      <w:marRight w:val="0"/>
      <w:marTop w:val="0"/>
      <w:marBottom w:val="0"/>
      <w:divBdr>
        <w:top w:val="none" w:sz="0" w:space="0" w:color="auto"/>
        <w:left w:val="none" w:sz="0" w:space="0" w:color="auto"/>
        <w:bottom w:val="none" w:sz="0" w:space="0" w:color="auto"/>
        <w:right w:val="none" w:sz="0" w:space="0" w:color="auto"/>
      </w:divBdr>
    </w:div>
    <w:div w:id="470169984">
      <w:bodyDiv w:val="1"/>
      <w:marLeft w:val="0"/>
      <w:marRight w:val="0"/>
      <w:marTop w:val="0"/>
      <w:marBottom w:val="0"/>
      <w:divBdr>
        <w:top w:val="none" w:sz="0" w:space="0" w:color="auto"/>
        <w:left w:val="none" w:sz="0" w:space="0" w:color="auto"/>
        <w:bottom w:val="none" w:sz="0" w:space="0" w:color="auto"/>
        <w:right w:val="none" w:sz="0" w:space="0" w:color="auto"/>
      </w:divBdr>
    </w:div>
    <w:div w:id="472257302">
      <w:bodyDiv w:val="1"/>
      <w:marLeft w:val="0"/>
      <w:marRight w:val="0"/>
      <w:marTop w:val="0"/>
      <w:marBottom w:val="0"/>
      <w:divBdr>
        <w:top w:val="none" w:sz="0" w:space="0" w:color="auto"/>
        <w:left w:val="none" w:sz="0" w:space="0" w:color="auto"/>
        <w:bottom w:val="none" w:sz="0" w:space="0" w:color="auto"/>
        <w:right w:val="none" w:sz="0" w:space="0" w:color="auto"/>
      </w:divBdr>
    </w:div>
    <w:div w:id="476382961">
      <w:bodyDiv w:val="1"/>
      <w:marLeft w:val="0"/>
      <w:marRight w:val="0"/>
      <w:marTop w:val="0"/>
      <w:marBottom w:val="0"/>
      <w:divBdr>
        <w:top w:val="none" w:sz="0" w:space="0" w:color="auto"/>
        <w:left w:val="none" w:sz="0" w:space="0" w:color="auto"/>
        <w:bottom w:val="none" w:sz="0" w:space="0" w:color="auto"/>
        <w:right w:val="none" w:sz="0" w:space="0" w:color="auto"/>
      </w:divBdr>
    </w:div>
    <w:div w:id="489712585">
      <w:bodyDiv w:val="1"/>
      <w:marLeft w:val="0"/>
      <w:marRight w:val="0"/>
      <w:marTop w:val="0"/>
      <w:marBottom w:val="0"/>
      <w:divBdr>
        <w:top w:val="none" w:sz="0" w:space="0" w:color="auto"/>
        <w:left w:val="none" w:sz="0" w:space="0" w:color="auto"/>
        <w:bottom w:val="none" w:sz="0" w:space="0" w:color="auto"/>
        <w:right w:val="none" w:sz="0" w:space="0" w:color="auto"/>
      </w:divBdr>
    </w:div>
    <w:div w:id="497842038">
      <w:bodyDiv w:val="1"/>
      <w:marLeft w:val="0"/>
      <w:marRight w:val="0"/>
      <w:marTop w:val="0"/>
      <w:marBottom w:val="0"/>
      <w:divBdr>
        <w:top w:val="none" w:sz="0" w:space="0" w:color="auto"/>
        <w:left w:val="none" w:sz="0" w:space="0" w:color="auto"/>
        <w:bottom w:val="none" w:sz="0" w:space="0" w:color="auto"/>
        <w:right w:val="none" w:sz="0" w:space="0" w:color="auto"/>
      </w:divBdr>
    </w:div>
    <w:div w:id="501774510">
      <w:bodyDiv w:val="1"/>
      <w:marLeft w:val="0"/>
      <w:marRight w:val="0"/>
      <w:marTop w:val="0"/>
      <w:marBottom w:val="0"/>
      <w:divBdr>
        <w:top w:val="none" w:sz="0" w:space="0" w:color="auto"/>
        <w:left w:val="none" w:sz="0" w:space="0" w:color="auto"/>
        <w:bottom w:val="none" w:sz="0" w:space="0" w:color="auto"/>
        <w:right w:val="none" w:sz="0" w:space="0" w:color="auto"/>
      </w:divBdr>
    </w:div>
    <w:div w:id="502161973">
      <w:bodyDiv w:val="1"/>
      <w:marLeft w:val="0"/>
      <w:marRight w:val="0"/>
      <w:marTop w:val="0"/>
      <w:marBottom w:val="0"/>
      <w:divBdr>
        <w:top w:val="none" w:sz="0" w:space="0" w:color="auto"/>
        <w:left w:val="none" w:sz="0" w:space="0" w:color="auto"/>
        <w:bottom w:val="none" w:sz="0" w:space="0" w:color="auto"/>
        <w:right w:val="none" w:sz="0" w:space="0" w:color="auto"/>
      </w:divBdr>
    </w:div>
    <w:div w:id="505903463">
      <w:bodyDiv w:val="1"/>
      <w:marLeft w:val="0"/>
      <w:marRight w:val="0"/>
      <w:marTop w:val="0"/>
      <w:marBottom w:val="0"/>
      <w:divBdr>
        <w:top w:val="none" w:sz="0" w:space="0" w:color="auto"/>
        <w:left w:val="none" w:sz="0" w:space="0" w:color="auto"/>
        <w:bottom w:val="none" w:sz="0" w:space="0" w:color="auto"/>
        <w:right w:val="none" w:sz="0" w:space="0" w:color="auto"/>
      </w:divBdr>
    </w:div>
    <w:div w:id="507982195">
      <w:bodyDiv w:val="1"/>
      <w:marLeft w:val="0"/>
      <w:marRight w:val="0"/>
      <w:marTop w:val="0"/>
      <w:marBottom w:val="0"/>
      <w:divBdr>
        <w:top w:val="none" w:sz="0" w:space="0" w:color="auto"/>
        <w:left w:val="none" w:sz="0" w:space="0" w:color="auto"/>
        <w:bottom w:val="none" w:sz="0" w:space="0" w:color="auto"/>
        <w:right w:val="none" w:sz="0" w:space="0" w:color="auto"/>
      </w:divBdr>
    </w:div>
    <w:div w:id="508562825">
      <w:bodyDiv w:val="1"/>
      <w:marLeft w:val="0"/>
      <w:marRight w:val="0"/>
      <w:marTop w:val="0"/>
      <w:marBottom w:val="0"/>
      <w:divBdr>
        <w:top w:val="none" w:sz="0" w:space="0" w:color="auto"/>
        <w:left w:val="none" w:sz="0" w:space="0" w:color="auto"/>
        <w:bottom w:val="none" w:sz="0" w:space="0" w:color="auto"/>
        <w:right w:val="none" w:sz="0" w:space="0" w:color="auto"/>
      </w:divBdr>
    </w:div>
    <w:div w:id="514347757">
      <w:bodyDiv w:val="1"/>
      <w:marLeft w:val="0"/>
      <w:marRight w:val="0"/>
      <w:marTop w:val="0"/>
      <w:marBottom w:val="0"/>
      <w:divBdr>
        <w:top w:val="none" w:sz="0" w:space="0" w:color="auto"/>
        <w:left w:val="none" w:sz="0" w:space="0" w:color="auto"/>
        <w:bottom w:val="none" w:sz="0" w:space="0" w:color="auto"/>
        <w:right w:val="none" w:sz="0" w:space="0" w:color="auto"/>
      </w:divBdr>
    </w:div>
    <w:div w:id="519928685">
      <w:bodyDiv w:val="1"/>
      <w:marLeft w:val="0"/>
      <w:marRight w:val="0"/>
      <w:marTop w:val="0"/>
      <w:marBottom w:val="0"/>
      <w:divBdr>
        <w:top w:val="none" w:sz="0" w:space="0" w:color="auto"/>
        <w:left w:val="none" w:sz="0" w:space="0" w:color="auto"/>
        <w:bottom w:val="none" w:sz="0" w:space="0" w:color="auto"/>
        <w:right w:val="none" w:sz="0" w:space="0" w:color="auto"/>
      </w:divBdr>
    </w:div>
    <w:div w:id="521171009">
      <w:bodyDiv w:val="1"/>
      <w:marLeft w:val="0"/>
      <w:marRight w:val="0"/>
      <w:marTop w:val="0"/>
      <w:marBottom w:val="0"/>
      <w:divBdr>
        <w:top w:val="none" w:sz="0" w:space="0" w:color="auto"/>
        <w:left w:val="none" w:sz="0" w:space="0" w:color="auto"/>
        <w:bottom w:val="none" w:sz="0" w:space="0" w:color="auto"/>
        <w:right w:val="none" w:sz="0" w:space="0" w:color="auto"/>
      </w:divBdr>
    </w:div>
    <w:div w:id="521355591">
      <w:bodyDiv w:val="1"/>
      <w:marLeft w:val="0"/>
      <w:marRight w:val="0"/>
      <w:marTop w:val="0"/>
      <w:marBottom w:val="0"/>
      <w:divBdr>
        <w:top w:val="none" w:sz="0" w:space="0" w:color="auto"/>
        <w:left w:val="none" w:sz="0" w:space="0" w:color="auto"/>
        <w:bottom w:val="none" w:sz="0" w:space="0" w:color="auto"/>
        <w:right w:val="none" w:sz="0" w:space="0" w:color="auto"/>
      </w:divBdr>
    </w:div>
    <w:div w:id="526259125">
      <w:bodyDiv w:val="1"/>
      <w:marLeft w:val="0"/>
      <w:marRight w:val="0"/>
      <w:marTop w:val="0"/>
      <w:marBottom w:val="0"/>
      <w:divBdr>
        <w:top w:val="none" w:sz="0" w:space="0" w:color="auto"/>
        <w:left w:val="none" w:sz="0" w:space="0" w:color="auto"/>
        <w:bottom w:val="none" w:sz="0" w:space="0" w:color="auto"/>
        <w:right w:val="none" w:sz="0" w:space="0" w:color="auto"/>
      </w:divBdr>
    </w:div>
    <w:div w:id="528687951">
      <w:bodyDiv w:val="1"/>
      <w:marLeft w:val="0"/>
      <w:marRight w:val="0"/>
      <w:marTop w:val="0"/>
      <w:marBottom w:val="0"/>
      <w:divBdr>
        <w:top w:val="none" w:sz="0" w:space="0" w:color="auto"/>
        <w:left w:val="none" w:sz="0" w:space="0" w:color="auto"/>
        <w:bottom w:val="none" w:sz="0" w:space="0" w:color="auto"/>
        <w:right w:val="none" w:sz="0" w:space="0" w:color="auto"/>
      </w:divBdr>
    </w:div>
    <w:div w:id="540436592">
      <w:bodyDiv w:val="1"/>
      <w:marLeft w:val="0"/>
      <w:marRight w:val="0"/>
      <w:marTop w:val="0"/>
      <w:marBottom w:val="0"/>
      <w:divBdr>
        <w:top w:val="none" w:sz="0" w:space="0" w:color="auto"/>
        <w:left w:val="none" w:sz="0" w:space="0" w:color="auto"/>
        <w:bottom w:val="none" w:sz="0" w:space="0" w:color="auto"/>
        <w:right w:val="none" w:sz="0" w:space="0" w:color="auto"/>
      </w:divBdr>
    </w:div>
    <w:div w:id="552734566">
      <w:bodyDiv w:val="1"/>
      <w:marLeft w:val="0"/>
      <w:marRight w:val="0"/>
      <w:marTop w:val="0"/>
      <w:marBottom w:val="0"/>
      <w:divBdr>
        <w:top w:val="none" w:sz="0" w:space="0" w:color="auto"/>
        <w:left w:val="none" w:sz="0" w:space="0" w:color="auto"/>
        <w:bottom w:val="none" w:sz="0" w:space="0" w:color="auto"/>
        <w:right w:val="none" w:sz="0" w:space="0" w:color="auto"/>
      </w:divBdr>
    </w:div>
    <w:div w:id="574095740">
      <w:bodyDiv w:val="1"/>
      <w:marLeft w:val="0"/>
      <w:marRight w:val="0"/>
      <w:marTop w:val="0"/>
      <w:marBottom w:val="0"/>
      <w:divBdr>
        <w:top w:val="none" w:sz="0" w:space="0" w:color="auto"/>
        <w:left w:val="none" w:sz="0" w:space="0" w:color="auto"/>
        <w:bottom w:val="none" w:sz="0" w:space="0" w:color="auto"/>
        <w:right w:val="none" w:sz="0" w:space="0" w:color="auto"/>
      </w:divBdr>
    </w:div>
    <w:div w:id="583227940">
      <w:bodyDiv w:val="1"/>
      <w:marLeft w:val="0"/>
      <w:marRight w:val="0"/>
      <w:marTop w:val="0"/>
      <w:marBottom w:val="0"/>
      <w:divBdr>
        <w:top w:val="none" w:sz="0" w:space="0" w:color="auto"/>
        <w:left w:val="none" w:sz="0" w:space="0" w:color="auto"/>
        <w:bottom w:val="none" w:sz="0" w:space="0" w:color="auto"/>
        <w:right w:val="none" w:sz="0" w:space="0" w:color="auto"/>
      </w:divBdr>
    </w:div>
    <w:div w:id="598873390">
      <w:bodyDiv w:val="1"/>
      <w:marLeft w:val="0"/>
      <w:marRight w:val="0"/>
      <w:marTop w:val="0"/>
      <w:marBottom w:val="0"/>
      <w:divBdr>
        <w:top w:val="none" w:sz="0" w:space="0" w:color="auto"/>
        <w:left w:val="none" w:sz="0" w:space="0" w:color="auto"/>
        <w:bottom w:val="none" w:sz="0" w:space="0" w:color="auto"/>
        <w:right w:val="none" w:sz="0" w:space="0" w:color="auto"/>
      </w:divBdr>
    </w:div>
    <w:div w:id="599069518">
      <w:bodyDiv w:val="1"/>
      <w:marLeft w:val="0"/>
      <w:marRight w:val="0"/>
      <w:marTop w:val="0"/>
      <w:marBottom w:val="0"/>
      <w:divBdr>
        <w:top w:val="none" w:sz="0" w:space="0" w:color="auto"/>
        <w:left w:val="none" w:sz="0" w:space="0" w:color="auto"/>
        <w:bottom w:val="none" w:sz="0" w:space="0" w:color="auto"/>
        <w:right w:val="none" w:sz="0" w:space="0" w:color="auto"/>
      </w:divBdr>
    </w:div>
    <w:div w:id="600182550">
      <w:bodyDiv w:val="1"/>
      <w:marLeft w:val="0"/>
      <w:marRight w:val="0"/>
      <w:marTop w:val="0"/>
      <w:marBottom w:val="0"/>
      <w:divBdr>
        <w:top w:val="none" w:sz="0" w:space="0" w:color="auto"/>
        <w:left w:val="none" w:sz="0" w:space="0" w:color="auto"/>
        <w:bottom w:val="none" w:sz="0" w:space="0" w:color="auto"/>
        <w:right w:val="none" w:sz="0" w:space="0" w:color="auto"/>
      </w:divBdr>
    </w:div>
    <w:div w:id="604459622">
      <w:bodyDiv w:val="1"/>
      <w:marLeft w:val="0"/>
      <w:marRight w:val="0"/>
      <w:marTop w:val="0"/>
      <w:marBottom w:val="0"/>
      <w:divBdr>
        <w:top w:val="none" w:sz="0" w:space="0" w:color="auto"/>
        <w:left w:val="none" w:sz="0" w:space="0" w:color="auto"/>
        <w:bottom w:val="none" w:sz="0" w:space="0" w:color="auto"/>
        <w:right w:val="none" w:sz="0" w:space="0" w:color="auto"/>
      </w:divBdr>
    </w:div>
    <w:div w:id="604964145">
      <w:bodyDiv w:val="1"/>
      <w:marLeft w:val="0"/>
      <w:marRight w:val="0"/>
      <w:marTop w:val="0"/>
      <w:marBottom w:val="0"/>
      <w:divBdr>
        <w:top w:val="none" w:sz="0" w:space="0" w:color="auto"/>
        <w:left w:val="none" w:sz="0" w:space="0" w:color="auto"/>
        <w:bottom w:val="none" w:sz="0" w:space="0" w:color="auto"/>
        <w:right w:val="none" w:sz="0" w:space="0" w:color="auto"/>
      </w:divBdr>
    </w:div>
    <w:div w:id="606431930">
      <w:bodyDiv w:val="1"/>
      <w:marLeft w:val="0"/>
      <w:marRight w:val="0"/>
      <w:marTop w:val="0"/>
      <w:marBottom w:val="0"/>
      <w:divBdr>
        <w:top w:val="none" w:sz="0" w:space="0" w:color="auto"/>
        <w:left w:val="none" w:sz="0" w:space="0" w:color="auto"/>
        <w:bottom w:val="none" w:sz="0" w:space="0" w:color="auto"/>
        <w:right w:val="none" w:sz="0" w:space="0" w:color="auto"/>
      </w:divBdr>
    </w:div>
    <w:div w:id="608271410">
      <w:bodyDiv w:val="1"/>
      <w:marLeft w:val="0"/>
      <w:marRight w:val="0"/>
      <w:marTop w:val="0"/>
      <w:marBottom w:val="0"/>
      <w:divBdr>
        <w:top w:val="none" w:sz="0" w:space="0" w:color="auto"/>
        <w:left w:val="none" w:sz="0" w:space="0" w:color="auto"/>
        <w:bottom w:val="none" w:sz="0" w:space="0" w:color="auto"/>
        <w:right w:val="none" w:sz="0" w:space="0" w:color="auto"/>
      </w:divBdr>
    </w:div>
    <w:div w:id="618489918">
      <w:bodyDiv w:val="1"/>
      <w:marLeft w:val="0"/>
      <w:marRight w:val="0"/>
      <w:marTop w:val="0"/>
      <w:marBottom w:val="0"/>
      <w:divBdr>
        <w:top w:val="none" w:sz="0" w:space="0" w:color="auto"/>
        <w:left w:val="none" w:sz="0" w:space="0" w:color="auto"/>
        <w:bottom w:val="none" w:sz="0" w:space="0" w:color="auto"/>
        <w:right w:val="none" w:sz="0" w:space="0" w:color="auto"/>
      </w:divBdr>
    </w:div>
    <w:div w:id="623582129">
      <w:bodyDiv w:val="1"/>
      <w:marLeft w:val="0"/>
      <w:marRight w:val="0"/>
      <w:marTop w:val="0"/>
      <w:marBottom w:val="0"/>
      <w:divBdr>
        <w:top w:val="none" w:sz="0" w:space="0" w:color="auto"/>
        <w:left w:val="none" w:sz="0" w:space="0" w:color="auto"/>
        <w:bottom w:val="none" w:sz="0" w:space="0" w:color="auto"/>
        <w:right w:val="none" w:sz="0" w:space="0" w:color="auto"/>
      </w:divBdr>
    </w:div>
    <w:div w:id="637612715">
      <w:bodyDiv w:val="1"/>
      <w:marLeft w:val="0"/>
      <w:marRight w:val="0"/>
      <w:marTop w:val="0"/>
      <w:marBottom w:val="0"/>
      <w:divBdr>
        <w:top w:val="none" w:sz="0" w:space="0" w:color="auto"/>
        <w:left w:val="none" w:sz="0" w:space="0" w:color="auto"/>
        <w:bottom w:val="none" w:sz="0" w:space="0" w:color="auto"/>
        <w:right w:val="none" w:sz="0" w:space="0" w:color="auto"/>
      </w:divBdr>
    </w:div>
    <w:div w:id="645278666">
      <w:bodyDiv w:val="1"/>
      <w:marLeft w:val="0"/>
      <w:marRight w:val="0"/>
      <w:marTop w:val="0"/>
      <w:marBottom w:val="0"/>
      <w:divBdr>
        <w:top w:val="none" w:sz="0" w:space="0" w:color="auto"/>
        <w:left w:val="none" w:sz="0" w:space="0" w:color="auto"/>
        <w:bottom w:val="none" w:sz="0" w:space="0" w:color="auto"/>
        <w:right w:val="none" w:sz="0" w:space="0" w:color="auto"/>
      </w:divBdr>
    </w:div>
    <w:div w:id="646669746">
      <w:bodyDiv w:val="1"/>
      <w:marLeft w:val="0"/>
      <w:marRight w:val="0"/>
      <w:marTop w:val="0"/>
      <w:marBottom w:val="0"/>
      <w:divBdr>
        <w:top w:val="none" w:sz="0" w:space="0" w:color="auto"/>
        <w:left w:val="none" w:sz="0" w:space="0" w:color="auto"/>
        <w:bottom w:val="none" w:sz="0" w:space="0" w:color="auto"/>
        <w:right w:val="none" w:sz="0" w:space="0" w:color="auto"/>
      </w:divBdr>
    </w:div>
    <w:div w:id="676620874">
      <w:bodyDiv w:val="1"/>
      <w:marLeft w:val="0"/>
      <w:marRight w:val="0"/>
      <w:marTop w:val="0"/>
      <w:marBottom w:val="0"/>
      <w:divBdr>
        <w:top w:val="none" w:sz="0" w:space="0" w:color="auto"/>
        <w:left w:val="none" w:sz="0" w:space="0" w:color="auto"/>
        <w:bottom w:val="none" w:sz="0" w:space="0" w:color="auto"/>
        <w:right w:val="none" w:sz="0" w:space="0" w:color="auto"/>
      </w:divBdr>
    </w:div>
    <w:div w:id="686059629">
      <w:bodyDiv w:val="1"/>
      <w:marLeft w:val="0"/>
      <w:marRight w:val="0"/>
      <w:marTop w:val="0"/>
      <w:marBottom w:val="0"/>
      <w:divBdr>
        <w:top w:val="none" w:sz="0" w:space="0" w:color="auto"/>
        <w:left w:val="none" w:sz="0" w:space="0" w:color="auto"/>
        <w:bottom w:val="none" w:sz="0" w:space="0" w:color="auto"/>
        <w:right w:val="none" w:sz="0" w:space="0" w:color="auto"/>
      </w:divBdr>
    </w:div>
    <w:div w:id="701710336">
      <w:bodyDiv w:val="1"/>
      <w:marLeft w:val="0"/>
      <w:marRight w:val="0"/>
      <w:marTop w:val="0"/>
      <w:marBottom w:val="0"/>
      <w:divBdr>
        <w:top w:val="none" w:sz="0" w:space="0" w:color="auto"/>
        <w:left w:val="none" w:sz="0" w:space="0" w:color="auto"/>
        <w:bottom w:val="none" w:sz="0" w:space="0" w:color="auto"/>
        <w:right w:val="none" w:sz="0" w:space="0" w:color="auto"/>
      </w:divBdr>
    </w:div>
    <w:div w:id="703095353">
      <w:bodyDiv w:val="1"/>
      <w:marLeft w:val="0"/>
      <w:marRight w:val="0"/>
      <w:marTop w:val="0"/>
      <w:marBottom w:val="0"/>
      <w:divBdr>
        <w:top w:val="none" w:sz="0" w:space="0" w:color="auto"/>
        <w:left w:val="none" w:sz="0" w:space="0" w:color="auto"/>
        <w:bottom w:val="none" w:sz="0" w:space="0" w:color="auto"/>
        <w:right w:val="none" w:sz="0" w:space="0" w:color="auto"/>
      </w:divBdr>
    </w:div>
    <w:div w:id="706950128">
      <w:bodyDiv w:val="1"/>
      <w:marLeft w:val="0"/>
      <w:marRight w:val="0"/>
      <w:marTop w:val="0"/>
      <w:marBottom w:val="0"/>
      <w:divBdr>
        <w:top w:val="none" w:sz="0" w:space="0" w:color="auto"/>
        <w:left w:val="none" w:sz="0" w:space="0" w:color="auto"/>
        <w:bottom w:val="none" w:sz="0" w:space="0" w:color="auto"/>
        <w:right w:val="none" w:sz="0" w:space="0" w:color="auto"/>
      </w:divBdr>
    </w:div>
    <w:div w:id="710542548">
      <w:bodyDiv w:val="1"/>
      <w:marLeft w:val="0"/>
      <w:marRight w:val="0"/>
      <w:marTop w:val="0"/>
      <w:marBottom w:val="0"/>
      <w:divBdr>
        <w:top w:val="none" w:sz="0" w:space="0" w:color="auto"/>
        <w:left w:val="none" w:sz="0" w:space="0" w:color="auto"/>
        <w:bottom w:val="none" w:sz="0" w:space="0" w:color="auto"/>
        <w:right w:val="none" w:sz="0" w:space="0" w:color="auto"/>
      </w:divBdr>
    </w:div>
    <w:div w:id="717434943">
      <w:bodyDiv w:val="1"/>
      <w:marLeft w:val="0"/>
      <w:marRight w:val="0"/>
      <w:marTop w:val="0"/>
      <w:marBottom w:val="0"/>
      <w:divBdr>
        <w:top w:val="none" w:sz="0" w:space="0" w:color="auto"/>
        <w:left w:val="none" w:sz="0" w:space="0" w:color="auto"/>
        <w:bottom w:val="none" w:sz="0" w:space="0" w:color="auto"/>
        <w:right w:val="none" w:sz="0" w:space="0" w:color="auto"/>
      </w:divBdr>
    </w:div>
    <w:div w:id="720327007">
      <w:bodyDiv w:val="1"/>
      <w:marLeft w:val="0"/>
      <w:marRight w:val="0"/>
      <w:marTop w:val="0"/>
      <w:marBottom w:val="0"/>
      <w:divBdr>
        <w:top w:val="none" w:sz="0" w:space="0" w:color="auto"/>
        <w:left w:val="none" w:sz="0" w:space="0" w:color="auto"/>
        <w:bottom w:val="none" w:sz="0" w:space="0" w:color="auto"/>
        <w:right w:val="none" w:sz="0" w:space="0" w:color="auto"/>
      </w:divBdr>
    </w:div>
    <w:div w:id="725497699">
      <w:bodyDiv w:val="1"/>
      <w:marLeft w:val="0"/>
      <w:marRight w:val="0"/>
      <w:marTop w:val="0"/>
      <w:marBottom w:val="0"/>
      <w:divBdr>
        <w:top w:val="none" w:sz="0" w:space="0" w:color="auto"/>
        <w:left w:val="none" w:sz="0" w:space="0" w:color="auto"/>
        <w:bottom w:val="none" w:sz="0" w:space="0" w:color="auto"/>
        <w:right w:val="none" w:sz="0" w:space="0" w:color="auto"/>
      </w:divBdr>
    </w:div>
    <w:div w:id="726034471">
      <w:bodyDiv w:val="1"/>
      <w:marLeft w:val="0"/>
      <w:marRight w:val="0"/>
      <w:marTop w:val="0"/>
      <w:marBottom w:val="0"/>
      <w:divBdr>
        <w:top w:val="none" w:sz="0" w:space="0" w:color="auto"/>
        <w:left w:val="none" w:sz="0" w:space="0" w:color="auto"/>
        <w:bottom w:val="none" w:sz="0" w:space="0" w:color="auto"/>
        <w:right w:val="none" w:sz="0" w:space="0" w:color="auto"/>
      </w:divBdr>
    </w:div>
    <w:div w:id="734014135">
      <w:bodyDiv w:val="1"/>
      <w:marLeft w:val="0"/>
      <w:marRight w:val="0"/>
      <w:marTop w:val="0"/>
      <w:marBottom w:val="0"/>
      <w:divBdr>
        <w:top w:val="none" w:sz="0" w:space="0" w:color="auto"/>
        <w:left w:val="none" w:sz="0" w:space="0" w:color="auto"/>
        <w:bottom w:val="none" w:sz="0" w:space="0" w:color="auto"/>
        <w:right w:val="none" w:sz="0" w:space="0" w:color="auto"/>
      </w:divBdr>
    </w:div>
    <w:div w:id="739598719">
      <w:bodyDiv w:val="1"/>
      <w:marLeft w:val="0"/>
      <w:marRight w:val="0"/>
      <w:marTop w:val="0"/>
      <w:marBottom w:val="0"/>
      <w:divBdr>
        <w:top w:val="none" w:sz="0" w:space="0" w:color="auto"/>
        <w:left w:val="none" w:sz="0" w:space="0" w:color="auto"/>
        <w:bottom w:val="none" w:sz="0" w:space="0" w:color="auto"/>
        <w:right w:val="none" w:sz="0" w:space="0" w:color="auto"/>
      </w:divBdr>
    </w:div>
    <w:div w:id="743839565">
      <w:bodyDiv w:val="1"/>
      <w:marLeft w:val="0"/>
      <w:marRight w:val="0"/>
      <w:marTop w:val="0"/>
      <w:marBottom w:val="0"/>
      <w:divBdr>
        <w:top w:val="none" w:sz="0" w:space="0" w:color="auto"/>
        <w:left w:val="none" w:sz="0" w:space="0" w:color="auto"/>
        <w:bottom w:val="none" w:sz="0" w:space="0" w:color="auto"/>
        <w:right w:val="none" w:sz="0" w:space="0" w:color="auto"/>
      </w:divBdr>
    </w:div>
    <w:div w:id="746995256">
      <w:bodyDiv w:val="1"/>
      <w:marLeft w:val="0"/>
      <w:marRight w:val="0"/>
      <w:marTop w:val="0"/>
      <w:marBottom w:val="0"/>
      <w:divBdr>
        <w:top w:val="none" w:sz="0" w:space="0" w:color="auto"/>
        <w:left w:val="none" w:sz="0" w:space="0" w:color="auto"/>
        <w:bottom w:val="none" w:sz="0" w:space="0" w:color="auto"/>
        <w:right w:val="none" w:sz="0" w:space="0" w:color="auto"/>
      </w:divBdr>
    </w:div>
    <w:div w:id="756175667">
      <w:bodyDiv w:val="1"/>
      <w:marLeft w:val="0"/>
      <w:marRight w:val="0"/>
      <w:marTop w:val="0"/>
      <w:marBottom w:val="0"/>
      <w:divBdr>
        <w:top w:val="none" w:sz="0" w:space="0" w:color="auto"/>
        <w:left w:val="none" w:sz="0" w:space="0" w:color="auto"/>
        <w:bottom w:val="none" w:sz="0" w:space="0" w:color="auto"/>
        <w:right w:val="none" w:sz="0" w:space="0" w:color="auto"/>
      </w:divBdr>
    </w:div>
    <w:div w:id="765537684">
      <w:bodyDiv w:val="1"/>
      <w:marLeft w:val="0"/>
      <w:marRight w:val="0"/>
      <w:marTop w:val="0"/>
      <w:marBottom w:val="0"/>
      <w:divBdr>
        <w:top w:val="none" w:sz="0" w:space="0" w:color="auto"/>
        <w:left w:val="none" w:sz="0" w:space="0" w:color="auto"/>
        <w:bottom w:val="none" w:sz="0" w:space="0" w:color="auto"/>
        <w:right w:val="none" w:sz="0" w:space="0" w:color="auto"/>
      </w:divBdr>
    </w:div>
    <w:div w:id="797383514">
      <w:bodyDiv w:val="1"/>
      <w:marLeft w:val="0"/>
      <w:marRight w:val="0"/>
      <w:marTop w:val="0"/>
      <w:marBottom w:val="0"/>
      <w:divBdr>
        <w:top w:val="none" w:sz="0" w:space="0" w:color="auto"/>
        <w:left w:val="none" w:sz="0" w:space="0" w:color="auto"/>
        <w:bottom w:val="none" w:sz="0" w:space="0" w:color="auto"/>
        <w:right w:val="none" w:sz="0" w:space="0" w:color="auto"/>
      </w:divBdr>
    </w:div>
    <w:div w:id="799609631">
      <w:bodyDiv w:val="1"/>
      <w:marLeft w:val="0"/>
      <w:marRight w:val="0"/>
      <w:marTop w:val="0"/>
      <w:marBottom w:val="0"/>
      <w:divBdr>
        <w:top w:val="none" w:sz="0" w:space="0" w:color="auto"/>
        <w:left w:val="none" w:sz="0" w:space="0" w:color="auto"/>
        <w:bottom w:val="none" w:sz="0" w:space="0" w:color="auto"/>
        <w:right w:val="none" w:sz="0" w:space="0" w:color="auto"/>
      </w:divBdr>
    </w:div>
    <w:div w:id="800925066">
      <w:bodyDiv w:val="1"/>
      <w:marLeft w:val="0"/>
      <w:marRight w:val="0"/>
      <w:marTop w:val="0"/>
      <w:marBottom w:val="0"/>
      <w:divBdr>
        <w:top w:val="none" w:sz="0" w:space="0" w:color="auto"/>
        <w:left w:val="none" w:sz="0" w:space="0" w:color="auto"/>
        <w:bottom w:val="none" w:sz="0" w:space="0" w:color="auto"/>
        <w:right w:val="none" w:sz="0" w:space="0" w:color="auto"/>
      </w:divBdr>
    </w:div>
    <w:div w:id="803234289">
      <w:bodyDiv w:val="1"/>
      <w:marLeft w:val="0"/>
      <w:marRight w:val="0"/>
      <w:marTop w:val="0"/>
      <w:marBottom w:val="0"/>
      <w:divBdr>
        <w:top w:val="none" w:sz="0" w:space="0" w:color="auto"/>
        <w:left w:val="none" w:sz="0" w:space="0" w:color="auto"/>
        <w:bottom w:val="none" w:sz="0" w:space="0" w:color="auto"/>
        <w:right w:val="none" w:sz="0" w:space="0" w:color="auto"/>
      </w:divBdr>
    </w:div>
    <w:div w:id="807939173">
      <w:bodyDiv w:val="1"/>
      <w:marLeft w:val="0"/>
      <w:marRight w:val="0"/>
      <w:marTop w:val="0"/>
      <w:marBottom w:val="0"/>
      <w:divBdr>
        <w:top w:val="none" w:sz="0" w:space="0" w:color="auto"/>
        <w:left w:val="none" w:sz="0" w:space="0" w:color="auto"/>
        <w:bottom w:val="none" w:sz="0" w:space="0" w:color="auto"/>
        <w:right w:val="none" w:sz="0" w:space="0" w:color="auto"/>
      </w:divBdr>
    </w:div>
    <w:div w:id="813372729">
      <w:bodyDiv w:val="1"/>
      <w:marLeft w:val="0"/>
      <w:marRight w:val="0"/>
      <w:marTop w:val="0"/>
      <w:marBottom w:val="0"/>
      <w:divBdr>
        <w:top w:val="none" w:sz="0" w:space="0" w:color="auto"/>
        <w:left w:val="none" w:sz="0" w:space="0" w:color="auto"/>
        <w:bottom w:val="none" w:sz="0" w:space="0" w:color="auto"/>
        <w:right w:val="none" w:sz="0" w:space="0" w:color="auto"/>
      </w:divBdr>
    </w:div>
    <w:div w:id="817500230">
      <w:bodyDiv w:val="1"/>
      <w:marLeft w:val="0"/>
      <w:marRight w:val="0"/>
      <w:marTop w:val="0"/>
      <w:marBottom w:val="0"/>
      <w:divBdr>
        <w:top w:val="none" w:sz="0" w:space="0" w:color="auto"/>
        <w:left w:val="none" w:sz="0" w:space="0" w:color="auto"/>
        <w:bottom w:val="none" w:sz="0" w:space="0" w:color="auto"/>
        <w:right w:val="none" w:sz="0" w:space="0" w:color="auto"/>
      </w:divBdr>
    </w:div>
    <w:div w:id="823082314">
      <w:bodyDiv w:val="1"/>
      <w:marLeft w:val="0"/>
      <w:marRight w:val="0"/>
      <w:marTop w:val="0"/>
      <w:marBottom w:val="0"/>
      <w:divBdr>
        <w:top w:val="none" w:sz="0" w:space="0" w:color="auto"/>
        <w:left w:val="none" w:sz="0" w:space="0" w:color="auto"/>
        <w:bottom w:val="none" w:sz="0" w:space="0" w:color="auto"/>
        <w:right w:val="none" w:sz="0" w:space="0" w:color="auto"/>
      </w:divBdr>
    </w:div>
    <w:div w:id="831796398">
      <w:bodyDiv w:val="1"/>
      <w:marLeft w:val="0"/>
      <w:marRight w:val="0"/>
      <w:marTop w:val="0"/>
      <w:marBottom w:val="0"/>
      <w:divBdr>
        <w:top w:val="none" w:sz="0" w:space="0" w:color="auto"/>
        <w:left w:val="none" w:sz="0" w:space="0" w:color="auto"/>
        <w:bottom w:val="none" w:sz="0" w:space="0" w:color="auto"/>
        <w:right w:val="none" w:sz="0" w:space="0" w:color="auto"/>
      </w:divBdr>
    </w:div>
    <w:div w:id="836924656">
      <w:bodyDiv w:val="1"/>
      <w:marLeft w:val="0"/>
      <w:marRight w:val="0"/>
      <w:marTop w:val="0"/>
      <w:marBottom w:val="0"/>
      <w:divBdr>
        <w:top w:val="none" w:sz="0" w:space="0" w:color="auto"/>
        <w:left w:val="none" w:sz="0" w:space="0" w:color="auto"/>
        <w:bottom w:val="none" w:sz="0" w:space="0" w:color="auto"/>
        <w:right w:val="none" w:sz="0" w:space="0" w:color="auto"/>
      </w:divBdr>
    </w:div>
    <w:div w:id="837578836">
      <w:bodyDiv w:val="1"/>
      <w:marLeft w:val="0"/>
      <w:marRight w:val="0"/>
      <w:marTop w:val="0"/>
      <w:marBottom w:val="0"/>
      <w:divBdr>
        <w:top w:val="none" w:sz="0" w:space="0" w:color="auto"/>
        <w:left w:val="none" w:sz="0" w:space="0" w:color="auto"/>
        <w:bottom w:val="none" w:sz="0" w:space="0" w:color="auto"/>
        <w:right w:val="none" w:sz="0" w:space="0" w:color="auto"/>
      </w:divBdr>
    </w:div>
    <w:div w:id="840269329">
      <w:bodyDiv w:val="1"/>
      <w:marLeft w:val="0"/>
      <w:marRight w:val="0"/>
      <w:marTop w:val="0"/>
      <w:marBottom w:val="0"/>
      <w:divBdr>
        <w:top w:val="none" w:sz="0" w:space="0" w:color="auto"/>
        <w:left w:val="none" w:sz="0" w:space="0" w:color="auto"/>
        <w:bottom w:val="none" w:sz="0" w:space="0" w:color="auto"/>
        <w:right w:val="none" w:sz="0" w:space="0" w:color="auto"/>
      </w:divBdr>
    </w:div>
    <w:div w:id="841821364">
      <w:bodyDiv w:val="1"/>
      <w:marLeft w:val="0"/>
      <w:marRight w:val="0"/>
      <w:marTop w:val="0"/>
      <w:marBottom w:val="0"/>
      <w:divBdr>
        <w:top w:val="none" w:sz="0" w:space="0" w:color="auto"/>
        <w:left w:val="none" w:sz="0" w:space="0" w:color="auto"/>
        <w:bottom w:val="none" w:sz="0" w:space="0" w:color="auto"/>
        <w:right w:val="none" w:sz="0" w:space="0" w:color="auto"/>
      </w:divBdr>
    </w:div>
    <w:div w:id="843327234">
      <w:bodyDiv w:val="1"/>
      <w:marLeft w:val="0"/>
      <w:marRight w:val="0"/>
      <w:marTop w:val="0"/>
      <w:marBottom w:val="0"/>
      <w:divBdr>
        <w:top w:val="none" w:sz="0" w:space="0" w:color="auto"/>
        <w:left w:val="none" w:sz="0" w:space="0" w:color="auto"/>
        <w:bottom w:val="none" w:sz="0" w:space="0" w:color="auto"/>
        <w:right w:val="none" w:sz="0" w:space="0" w:color="auto"/>
      </w:divBdr>
    </w:div>
    <w:div w:id="851605423">
      <w:bodyDiv w:val="1"/>
      <w:marLeft w:val="0"/>
      <w:marRight w:val="0"/>
      <w:marTop w:val="0"/>
      <w:marBottom w:val="0"/>
      <w:divBdr>
        <w:top w:val="none" w:sz="0" w:space="0" w:color="auto"/>
        <w:left w:val="none" w:sz="0" w:space="0" w:color="auto"/>
        <w:bottom w:val="none" w:sz="0" w:space="0" w:color="auto"/>
        <w:right w:val="none" w:sz="0" w:space="0" w:color="auto"/>
      </w:divBdr>
    </w:div>
    <w:div w:id="859583890">
      <w:bodyDiv w:val="1"/>
      <w:marLeft w:val="0"/>
      <w:marRight w:val="0"/>
      <w:marTop w:val="0"/>
      <w:marBottom w:val="0"/>
      <w:divBdr>
        <w:top w:val="none" w:sz="0" w:space="0" w:color="auto"/>
        <w:left w:val="none" w:sz="0" w:space="0" w:color="auto"/>
        <w:bottom w:val="none" w:sz="0" w:space="0" w:color="auto"/>
        <w:right w:val="none" w:sz="0" w:space="0" w:color="auto"/>
      </w:divBdr>
    </w:div>
    <w:div w:id="861479453">
      <w:bodyDiv w:val="1"/>
      <w:marLeft w:val="0"/>
      <w:marRight w:val="0"/>
      <w:marTop w:val="0"/>
      <w:marBottom w:val="0"/>
      <w:divBdr>
        <w:top w:val="none" w:sz="0" w:space="0" w:color="auto"/>
        <w:left w:val="none" w:sz="0" w:space="0" w:color="auto"/>
        <w:bottom w:val="none" w:sz="0" w:space="0" w:color="auto"/>
        <w:right w:val="none" w:sz="0" w:space="0" w:color="auto"/>
      </w:divBdr>
    </w:div>
    <w:div w:id="873423163">
      <w:bodyDiv w:val="1"/>
      <w:marLeft w:val="0"/>
      <w:marRight w:val="0"/>
      <w:marTop w:val="0"/>
      <w:marBottom w:val="0"/>
      <w:divBdr>
        <w:top w:val="none" w:sz="0" w:space="0" w:color="auto"/>
        <w:left w:val="none" w:sz="0" w:space="0" w:color="auto"/>
        <w:bottom w:val="none" w:sz="0" w:space="0" w:color="auto"/>
        <w:right w:val="none" w:sz="0" w:space="0" w:color="auto"/>
      </w:divBdr>
    </w:div>
    <w:div w:id="875311135">
      <w:bodyDiv w:val="1"/>
      <w:marLeft w:val="0"/>
      <w:marRight w:val="0"/>
      <w:marTop w:val="0"/>
      <w:marBottom w:val="0"/>
      <w:divBdr>
        <w:top w:val="none" w:sz="0" w:space="0" w:color="auto"/>
        <w:left w:val="none" w:sz="0" w:space="0" w:color="auto"/>
        <w:bottom w:val="none" w:sz="0" w:space="0" w:color="auto"/>
        <w:right w:val="none" w:sz="0" w:space="0" w:color="auto"/>
      </w:divBdr>
    </w:div>
    <w:div w:id="884633595">
      <w:bodyDiv w:val="1"/>
      <w:marLeft w:val="0"/>
      <w:marRight w:val="0"/>
      <w:marTop w:val="0"/>
      <w:marBottom w:val="0"/>
      <w:divBdr>
        <w:top w:val="none" w:sz="0" w:space="0" w:color="auto"/>
        <w:left w:val="none" w:sz="0" w:space="0" w:color="auto"/>
        <w:bottom w:val="none" w:sz="0" w:space="0" w:color="auto"/>
        <w:right w:val="none" w:sz="0" w:space="0" w:color="auto"/>
      </w:divBdr>
    </w:div>
    <w:div w:id="884634816">
      <w:bodyDiv w:val="1"/>
      <w:marLeft w:val="0"/>
      <w:marRight w:val="0"/>
      <w:marTop w:val="0"/>
      <w:marBottom w:val="0"/>
      <w:divBdr>
        <w:top w:val="none" w:sz="0" w:space="0" w:color="auto"/>
        <w:left w:val="none" w:sz="0" w:space="0" w:color="auto"/>
        <w:bottom w:val="none" w:sz="0" w:space="0" w:color="auto"/>
        <w:right w:val="none" w:sz="0" w:space="0" w:color="auto"/>
      </w:divBdr>
    </w:div>
    <w:div w:id="886533102">
      <w:bodyDiv w:val="1"/>
      <w:marLeft w:val="0"/>
      <w:marRight w:val="0"/>
      <w:marTop w:val="0"/>
      <w:marBottom w:val="0"/>
      <w:divBdr>
        <w:top w:val="none" w:sz="0" w:space="0" w:color="auto"/>
        <w:left w:val="none" w:sz="0" w:space="0" w:color="auto"/>
        <w:bottom w:val="none" w:sz="0" w:space="0" w:color="auto"/>
        <w:right w:val="none" w:sz="0" w:space="0" w:color="auto"/>
      </w:divBdr>
    </w:div>
    <w:div w:id="899441828">
      <w:bodyDiv w:val="1"/>
      <w:marLeft w:val="0"/>
      <w:marRight w:val="0"/>
      <w:marTop w:val="0"/>
      <w:marBottom w:val="0"/>
      <w:divBdr>
        <w:top w:val="none" w:sz="0" w:space="0" w:color="auto"/>
        <w:left w:val="none" w:sz="0" w:space="0" w:color="auto"/>
        <w:bottom w:val="none" w:sz="0" w:space="0" w:color="auto"/>
        <w:right w:val="none" w:sz="0" w:space="0" w:color="auto"/>
      </w:divBdr>
    </w:div>
    <w:div w:id="907808206">
      <w:bodyDiv w:val="1"/>
      <w:marLeft w:val="0"/>
      <w:marRight w:val="0"/>
      <w:marTop w:val="0"/>
      <w:marBottom w:val="0"/>
      <w:divBdr>
        <w:top w:val="none" w:sz="0" w:space="0" w:color="auto"/>
        <w:left w:val="none" w:sz="0" w:space="0" w:color="auto"/>
        <w:bottom w:val="none" w:sz="0" w:space="0" w:color="auto"/>
        <w:right w:val="none" w:sz="0" w:space="0" w:color="auto"/>
      </w:divBdr>
    </w:div>
    <w:div w:id="919556771">
      <w:bodyDiv w:val="1"/>
      <w:marLeft w:val="0"/>
      <w:marRight w:val="0"/>
      <w:marTop w:val="0"/>
      <w:marBottom w:val="0"/>
      <w:divBdr>
        <w:top w:val="none" w:sz="0" w:space="0" w:color="auto"/>
        <w:left w:val="none" w:sz="0" w:space="0" w:color="auto"/>
        <w:bottom w:val="none" w:sz="0" w:space="0" w:color="auto"/>
        <w:right w:val="none" w:sz="0" w:space="0" w:color="auto"/>
      </w:divBdr>
    </w:div>
    <w:div w:id="920793641">
      <w:bodyDiv w:val="1"/>
      <w:marLeft w:val="0"/>
      <w:marRight w:val="0"/>
      <w:marTop w:val="0"/>
      <w:marBottom w:val="0"/>
      <w:divBdr>
        <w:top w:val="none" w:sz="0" w:space="0" w:color="auto"/>
        <w:left w:val="none" w:sz="0" w:space="0" w:color="auto"/>
        <w:bottom w:val="none" w:sz="0" w:space="0" w:color="auto"/>
        <w:right w:val="none" w:sz="0" w:space="0" w:color="auto"/>
      </w:divBdr>
    </w:div>
    <w:div w:id="928346447">
      <w:bodyDiv w:val="1"/>
      <w:marLeft w:val="0"/>
      <w:marRight w:val="0"/>
      <w:marTop w:val="0"/>
      <w:marBottom w:val="0"/>
      <w:divBdr>
        <w:top w:val="none" w:sz="0" w:space="0" w:color="auto"/>
        <w:left w:val="none" w:sz="0" w:space="0" w:color="auto"/>
        <w:bottom w:val="none" w:sz="0" w:space="0" w:color="auto"/>
        <w:right w:val="none" w:sz="0" w:space="0" w:color="auto"/>
      </w:divBdr>
    </w:div>
    <w:div w:id="938484076">
      <w:bodyDiv w:val="1"/>
      <w:marLeft w:val="0"/>
      <w:marRight w:val="0"/>
      <w:marTop w:val="0"/>
      <w:marBottom w:val="0"/>
      <w:divBdr>
        <w:top w:val="none" w:sz="0" w:space="0" w:color="auto"/>
        <w:left w:val="none" w:sz="0" w:space="0" w:color="auto"/>
        <w:bottom w:val="none" w:sz="0" w:space="0" w:color="auto"/>
        <w:right w:val="none" w:sz="0" w:space="0" w:color="auto"/>
      </w:divBdr>
    </w:div>
    <w:div w:id="945231598">
      <w:bodyDiv w:val="1"/>
      <w:marLeft w:val="0"/>
      <w:marRight w:val="0"/>
      <w:marTop w:val="0"/>
      <w:marBottom w:val="0"/>
      <w:divBdr>
        <w:top w:val="none" w:sz="0" w:space="0" w:color="auto"/>
        <w:left w:val="none" w:sz="0" w:space="0" w:color="auto"/>
        <w:bottom w:val="none" w:sz="0" w:space="0" w:color="auto"/>
        <w:right w:val="none" w:sz="0" w:space="0" w:color="auto"/>
      </w:divBdr>
    </w:div>
    <w:div w:id="952134543">
      <w:bodyDiv w:val="1"/>
      <w:marLeft w:val="0"/>
      <w:marRight w:val="0"/>
      <w:marTop w:val="0"/>
      <w:marBottom w:val="0"/>
      <w:divBdr>
        <w:top w:val="none" w:sz="0" w:space="0" w:color="auto"/>
        <w:left w:val="none" w:sz="0" w:space="0" w:color="auto"/>
        <w:bottom w:val="none" w:sz="0" w:space="0" w:color="auto"/>
        <w:right w:val="none" w:sz="0" w:space="0" w:color="auto"/>
      </w:divBdr>
    </w:div>
    <w:div w:id="956834422">
      <w:bodyDiv w:val="1"/>
      <w:marLeft w:val="0"/>
      <w:marRight w:val="0"/>
      <w:marTop w:val="0"/>
      <w:marBottom w:val="0"/>
      <w:divBdr>
        <w:top w:val="none" w:sz="0" w:space="0" w:color="auto"/>
        <w:left w:val="none" w:sz="0" w:space="0" w:color="auto"/>
        <w:bottom w:val="none" w:sz="0" w:space="0" w:color="auto"/>
        <w:right w:val="none" w:sz="0" w:space="0" w:color="auto"/>
      </w:divBdr>
    </w:div>
    <w:div w:id="965768663">
      <w:bodyDiv w:val="1"/>
      <w:marLeft w:val="0"/>
      <w:marRight w:val="0"/>
      <w:marTop w:val="0"/>
      <w:marBottom w:val="0"/>
      <w:divBdr>
        <w:top w:val="none" w:sz="0" w:space="0" w:color="auto"/>
        <w:left w:val="none" w:sz="0" w:space="0" w:color="auto"/>
        <w:bottom w:val="none" w:sz="0" w:space="0" w:color="auto"/>
        <w:right w:val="none" w:sz="0" w:space="0" w:color="auto"/>
      </w:divBdr>
    </w:div>
    <w:div w:id="978994394">
      <w:bodyDiv w:val="1"/>
      <w:marLeft w:val="0"/>
      <w:marRight w:val="0"/>
      <w:marTop w:val="0"/>
      <w:marBottom w:val="0"/>
      <w:divBdr>
        <w:top w:val="none" w:sz="0" w:space="0" w:color="auto"/>
        <w:left w:val="none" w:sz="0" w:space="0" w:color="auto"/>
        <w:bottom w:val="none" w:sz="0" w:space="0" w:color="auto"/>
        <w:right w:val="none" w:sz="0" w:space="0" w:color="auto"/>
      </w:divBdr>
    </w:div>
    <w:div w:id="986517053">
      <w:bodyDiv w:val="1"/>
      <w:marLeft w:val="0"/>
      <w:marRight w:val="0"/>
      <w:marTop w:val="0"/>
      <w:marBottom w:val="0"/>
      <w:divBdr>
        <w:top w:val="none" w:sz="0" w:space="0" w:color="auto"/>
        <w:left w:val="none" w:sz="0" w:space="0" w:color="auto"/>
        <w:bottom w:val="none" w:sz="0" w:space="0" w:color="auto"/>
        <w:right w:val="none" w:sz="0" w:space="0" w:color="auto"/>
      </w:divBdr>
    </w:div>
    <w:div w:id="995256541">
      <w:bodyDiv w:val="1"/>
      <w:marLeft w:val="0"/>
      <w:marRight w:val="0"/>
      <w:marTop w:val="0"/>
      <w:marBottom w:val="0"/>
      <w:divBdr>
        <w:top w:val="none" w:sz="0" w:space="0" w:color="auto"/>
        <w:left w:val="none" w:sz="0" w:space="0" w:color="auto"/>
        <w:bottom w:val="none" w:sz="0" w:space="0" w:color="auto"/>
        <w:right w:val="none" w:sz="0" w:space="0" w:color="auto"/>
      </w:divBdr>
    </w:div>
    <w:div w:id="1001347345">
      <w:bodyDiv w:val="1"/>
      <w:marLeft w:val="0"/>
      <w:marRight w:val="0"/>
      <w:marTop w:val="0"/>
      <w:marBottom w:val="0"/>
      <w:divBdr>
        <w:top w:val="none" w:sz="0" w:space="0" w:color="auto"/>
        <w:left w:val="none" w:sz="0" w:space="0" w:color="auto"/>
        <w:bottom w:val="none" w:sz="0" w:space="0" w:color="auto"/>
        <w:right w:val="none" w:sz="0" w:space="0" w:color="auto"/>
      </w:divBdr>
    </w:div>
    <w:div w:id="1016081103">
      <w:bodyDiv w:val="1"/>
      <w:marLeft w:val="0"/>
      <w:marRight w:val="0"/>
      <w:marTop w:val="0"/>
      <w:marBottom w:val="0"/>
      <w:divBdr>
        <w:top w:val="none" w:sz="0" w:space="0" w:color="auto"/>
        <w:left w:val="none" w:sz="0" w:space="0" w:color="auto"/>
        <w:bottom w:val="none" w:sz="0" w:space="0" w:color="auto"/>
        <w:right w:val="none" w:sz="0" w:space="0" w:color="auto"/>
      </w:divBdr>
    </w:div>
    <w:div w:id="1019552040">
      <w:bodyDiv w:val="1"/>
      <w:marLeft w:val="0"/>
      <w:marRight w:val="0"/>
      <w:marTop w:val="0"/>
      <w:marBottom w:val="0"/>
      <w:divBdr>
        <w:top w:val="none" w:sz="0" w:space="0" w:color="auto"/>
        <w:left w:val="none" w:sz="0" w:space="0" w:color="auto"/>
        <w:bottom w:val="none" w:sz="0" w:space="0" w:color="auto"/>
        <w:right w:val="none" w:sz="0" w:space="0" w:color="auto"/>
      </w:divBdr>
    </w:div>
    <w:div w:id="1026447616">
      <w:bodyDiv w:val="1"/>
      <w:marLeft w:val="0"/>
      <w:marRight w:val="0"/>
      <w:marTop w:val="0"/>
      <w:marBottom w:val="0"/>
      <w:divBdr>
        <w:top w:val="none" w:sz="0" w:space="0" w:color="auto"/>
        <w:left w:val="none" w:sz="0" w:space="0" w:color="auto"/>
        <w:bottom w:val="none" w:sz="0" w:space="0" w:color="auto"/>
        <w:right w:val="none" w:sz="0" w:space="0" w:color="auto"/>
      </w:divBdr>
    </w:div>
    <w:div w:id="1035884406">
      <w:bodyDiv w:val="1"/>
      <w:marLeft w:val="0"/>
      <w:marRight w:val="0"/>
      <w:marTop w:val="0"/>
      <w:marBottom w:val="0"/>
      <w:divBdr>
        <w:top w:val="none" w:sz="0" w:space="0" w:color="auto"/>
        <w:left w:val="none" w:sz="0" w:space="0" w:color="auto"/>
        <w:bottom w:val="none" w:sz="0" w:space="0" w:color="auto"/>
        <w:right w:val="none" w:sz="0" w:space="0" w:color="auto"/>
      </w:divBdr>
    </w:div>
    <w:div w:id="1039011969">
      <w:bodyDiv w:val="1"/>
      <w:marLeft w:val="0"/>
      <w:marRight w:val="0"/>
      <w:marTop w:val="0"/>
      <w:marBottom w:val="0"/>
      <w:divBdr>
        <w:top w:val="none" w:sz="0" w:space="0" w:color="auto"/>
        <w:left w:val="none" w:sz="0" w:space="0" w:color="auto"/>
        <w:bottom w:val="none" w:sz="0" w:space="0" w:color="auto"/>
        <w:right w:val="none" w:sz="0" w:space="0" w:color="auto"/>
      </w:divBdr>
    </w:div>
    <w:div w:id="1044796431">
      <w:bodyDiv w:val="1"/>
      <w:marLeft w:val="0"/>
      <w:marRight w:val="0"/>
      <w:marTop w:val="0"/>
      <w:marBottom w:val="0"/>
      <w:divBdr>
        <w:top w:val="none" w:sz="0" w:space="0" w:color="auto"/>
        <w:left w:val="none" w:sz="0" w:space="0" w:color="auto"/>
        <w:bottom w:val="none" w:sz="0" w:space="0" w:color="auto"/>
        <w:right w:val="none" w:sz="0" w:space="0" w:color="auto"/>
      </w:divBdr>
    </w:div>
    <w:div w:id="1066804608">
      <w:bodyDiv w:val="1"/>
      <w:marLeft w:val="0"/>
      <w:marRight w:val="0"/>
      <w:marTop w:val="0"/>
      <w:marBottom w:val="0"/>
      <w:divBdr>
        <w:top w:val="none" w:sz="0" w:space="0" w:color="auto"/>
        <w:left w:val="none" w:sz="0" w:space="0" w:color="auto"/>
        <w:bottom w:val="none" w:sz="0" w:space="0" w:color="auto"/>
        <w:right w:val="none" w:sz="0" w:space="0" w:color="auto"/>
      </w:divBdr>
    </w:div>
    <w:div w:id="1068722432">
      <w:bodyDiv w:val="1"/>
      <w:marLeft w:val="0"/>
      <w:marRight w:val="0"/>
      <w:marTop w:val="0"/>
      <w:marBottom w:val="0"/>
      <w:divBdr>
        <w:top w:val="none" w:sz="0" w:space="0" w:color="auto"/>
        <w:left w:val="none" w:sz="0" w:space="0" w:color="auto"/>
        <w:bottom w:val="none" w:sz="0" w:space="0" w:color="auto"/>
        <w:right w:val="none" w:sz="0" w:space="0" w:color="auto"/>
      </w:divBdr>
    </w:div>
    <w:div w:id="1069310125">
      <w:bodyDiv w:val="1"/>
      <w:marLeft w:val="0"/>
      <w:marRight w:val="0"/>
      <w:marTop w:val="0"/>
      <w:marBottom w:val="0"/>
      <w:divBdr>
        <w:top w:val="none" w:sz="0" w:space="0" w:color="auto"/>
        <w:left w:val="none" w:sz="0" w:space="0" w:color="auto"/>
        <w:bottom w:val="none" w:sz="0" w:space="0" w:color="auto"/>
        <w:right w:val="none" w:sz="0" w:space="0" w:color="auto"/>
      </w:divBdr>
    </w:div>
    <w:div w:id="1081759569">
      <w:bodyDiv w:val="1"/>
      <w:marLeft w:val="0"/>
      <w:marRight w:val="0"/>
      <w:marTop w:val="0"/>
      <w:marBottom w:val="0"/>
      <w:divBdr>
        <w:top w:val="none" w:sz="0" w:space="0" w:color="auto"/>
        <w:left w:val="none" w:sz="0" w:space="0" w:color="auto"/>
        <w:bottom w:val="none" w:sz="0" w:space="0" w:color="auto"/>
        <w:right w:val="none" w:sz="0" w:space="0" w:color="auto"/>
      </w:divBdr>
    </w:div>
    <w:div w:id="1086221330">
      <w:bodyDiv w:val="1"/>
      <w:marLeft w:val="0"/>
      <w:marRight w:val="0"/>
      <w:marTop w:val="0"/>
      <w:marBottom w:val="0"/>
      <w:divBdr>
        <w:top w:val="none" w:sz="0" w:space="0" w:color="auto"/>
        <w:left w:val="none" w:sz="0" w:space="0" w:color="auto"/>
        <w:bottom w:val="none" w:sz="0" w:space="0" w:color="auto"/>
        <w:right w:val="none" w:sz="0" w:space="0" w:color="auto"/>
      </w:divBdr>
    </w:div>
    <w:div w:id="1090001787">
      <w:bodyDiv w:val="1"/>
      <w:marLeft w:val="0"/>
      <w:marRight w:val="0"/>
      <w:marTop w:val="0"/>
      <w:marBottom w:val="0"/>
      <w:divBdr>
        <w:top w:val="none" w:sz="0" w:space="0" w:color="auto"/>
        <w:left w:val="none" w:sz="0" w:space="0" w:color="auto"/>
        <w:bottom w:val="none" w:sz="0" w:space="0" w:color="auto"/>
        <w:right w:val="none" w:sz="0" w:space="0" w:color="auto"/>
      </w:divBdr>
    </w:div>
    <w:div w:id="1103837467">
      <w:bodyDiv w:val="1"/>
      <w:marLeft w:val="0"/>
      <w:marRight w:val="0"/>
      <w:marTop w:val="0"/>
      <w:marBottom w:val="0"/>
      <w:divBdr>
        <w:top w:val="none" w:sz="0" w:space="0" w:color="auto"/>
        <w:left w:val="none" w:sz="0" w:space="0" w:color="auto"/>
        <w:bottom w:val="none" w:sz="0" w:space="0" w:color="auto"/>
        <w:right w:val="none" w:sz="0" w:space="0" w:color="auto"/>
      </w:divBdr>
    </w:div>
    <w:div w:id="1115751995">
      <w:bodyDiv w:val="1"/>
      <w:marLeft w:val="0"/>
      <w:marRight w:val="0"/>
      <w:marTop w:val="0"/>
      <w:marBottom w:val="0"/>
      <w:divBdr>
        <w:top w:val="none" w:sz="0" w:space="0" w:color="auto"/>
        <w:left w:val="none" w:sz="0" w:space="0" w:color="auto"/>
        <w:bottom w:val="none" w:sz="0" w:space="0" w:color="auto"/>
        <w:right w:val="none" w:sz="0" w:space="0" w:color="auto"/>
      </w:divBdr>
    </w:div>
    <w:div w:id="1117066977">
      <w:bodyDiv w:val="1"/>
      <w:marLeft w:val="0"/>
      <w:marRight w:val="0"/>
      <w:marTop w:val="0"/>
      <w:marBottom w:val="0"/>
      <w:divBdr>
        <w:top w:val="none" w:sz="0" w:space="0" w:color="auto"/>
        <w:left w:val="none" w:sz="0" w:space="0" w:color="auto"/>
        <w:bottom w:val="none" w:sz="0" w:space="0" w:color="auto"/>
        <w:right w:val="none" w:sz="0" w:space="0" w:color="auto"/>
      </w:divBdr>
    </w:div>
    <w:div w:id="1119186143">
      <w:bodyDiv w:val="1"/>
      <w:marLeft w:val="0"/>
      <w:marRight w:val="0"/>
      <w:marTop w:val="0"/>
      <w:marBottom w:val="0"/>
      <w:divBdr>
        <w:top w:val="none" w:sz="0" w:space="0" w:color="auto"/>
        <w:left w:val="none" w:sz="0" w:space="0" w:color="auto"/>
        <w:bottom w:val="none" w:sz="0" w:space="0" w:color="auto"/>
        <w:right w:val="none" w:sz="0" w:space="0" w:color="auto"/>
      </w:divBdr>
    </w:div>
    <w:div w:id="1122649056">
      <w:bodyDiv w:val="1"/>
      <w:marLeft w:val="0"/>
      <w:marRight w:val="0"/>
      <w:marTop w:val="0"/>
      <w:marBottom w:val="0"/>
      <w:divBdr>
        <w:top w:val="none" w:sz="0" w:space="0" w:color="auto"/>
        <w:left w:val="none" w:sz="0" w:space="0" w:color="auto"/>
        <w:bottom w:val="none" w:sz="0" w:space="0" w:color="auto"/>
        <w:right w:val="none" w:sz="0" w:space="0" w:color="auto"/>
      </w:divBdr>
    </w:div>
    <w:div w:id="1136145533">
      <w:bodyDiv w:val="1"/>
      <w:marLeft w:val="0"/>
      <w:marRight w:val="0"/>
      <w:marTop w:val="0"/>
      <w:marBottom w:val="0"/>
      <w:divBdr>
        <w:top w:val="none" w:sz="0" w:space="0" w:color="auto"/>
        <w:left w:val="none" w:sz="0" w:space="0" w:color="auto"/>
        <w:bottom w:val="none" w:sz="0" w:space="0" w:color="auto"/>
        <w:right w:val="none" w:sz="0" w:space="0" w:color="auto"/>
      </w:divBdr>
    </w:div>
    <w:div w:id="1140271832">
      <w:bodyDiv w:val="1"/>
      <w:marLeft w:val="0"/>
      <w:marRight w:val="0"/>
      <w:marTop w:val="0"/>
      <w:marBottom w:val="0"/>
      <w:divBdr>
        <w:top w:val="none" w:sz="0" w:space="0" w:color="auto"/>
        <w:left w:val="none" w:sz="0" w:space="0" w:color="auto"/>
        <w:bottom w:val="none" w:sz="0" w:space="0" w:color="auto"/>
        <w:right w:val="none" w:sz="0" w:space="0" w:color="auto"/>
      </w:divBdr>
    </w:div>
    <w:div w:id="1149639288">
      <w:bodyDiv w:val="1"/>
      <w:marLeft w:val="0"/>
      <w:marRight w:val="0"/>
      <w:marTop w:val="0"/>
      <w:marBottom w:val="0"/>
      <w:divBdr>
        <w:top w:val="none" w:sz="0" w:space="0" w:color="auto"/>
        <w:left w:val="none" w:sz="0" w:space="0" w:color="auto"/>
        <w:bottom w:val="none" w:sz="0" w:space="0" w:color="auto"/>
        <w:right w:val="none" w:sz="0" w:space="0" w:color="auto"/>
      </w:divBdr>
    </w:div>
    <w:div w:id="1178689097">
      <w:bodyDiv w:val="1"/>
      <w:marLeft w:val="0"/>
      <w:marRight w:val="0"/>
      <w:marTop w:val="0"/>
      <w:marBottom w:val="0"/>
      <w:divBdr>
        <w:top w:val="none" w:sz="0" w:space="0" w:color="auto"/>
        <w:left w:val="none" w:sz="0" w:space="0" w:color="auto"/>
        <w:bottom w:val="none" w:sz="0" w:space="0" w:color="auto"/>
        <w:right w:val="none" w:sz="0" w:space="0" w:color="auto"/>
      </w:divBdr>
    </w:div>
    <w:div w:id="1180655803">
      <w:bodyDiv w:val="1"/>
      <w:marLeft w:val="0"/>
      <w:marRight w:val="0"/>
      <w:marTop w:val="0"/>
      <w:marBottom w:val="0"/>
      <w:divBdr>
        <w:top w:val="none" w:sz="0" w:space="0" w:color="auto"/>
        <w:left w:val="none" w:sz="0" w:space="0" w:color="auto"/>
        <w:bottom w:val="none" w:sz="0" w:space="0" w:color="auto"/>
        <w:right w:val="none" w:sz="0" w:space="0" w:color="auto"/>
      </w:divBdr>
    </w:div>
    <w:div w:id="1192302368">
      <w:bodyDiv w:val="1"/>
      <w:marLeft w:val="0"/>
      <w:marRight w:val="0"/>
      <w:marTop w:val="0"/>
      <w:marBottom w:val="0"/>
      <w:divBdr>
        <w:top w:val="none" w:sz="0" w:space="0" w:color="auto"/>
        <w:left w:val="none" w:sz="0" w:space="0" w:color="auto"/>
        <w:bottom w:val="none" w:sz="0" w:space="0" w:color="auto"/>
        <w:right w:val="none" w:sz="0" w:space="0" w:color="auto"/>
      </w:divBdr>
    </w:div>
    <w:div w:id="1195921086">
      <w:bodyDiv w:val="1"/>
      <w:marLeft w:val="0"/>
      <w:marRight w:val="0"/>
      <w:marTop w:val="0"/>
      <w:marBottom w:val="0"/>
      <w:divBdr>
        <w:top w:val="none" w:sz="0" w:space="0" w:color="auto"/>
        <w:left w:val="none" w:sz="0" w:space="0" w:color="auto"/>
        <w:bottom w:val="none" w:sz="0" w:space="0" w:color="auto"/>
        <w:right w:val="none" w:sz="0" w:space="0" w:color="auto"/>
      </w:divBdr>
    </w:div>
    <w:div w:id="1201281006">
      <w:bodyDiv w:val="1"/>
      <w:marLeft w:val="0"/>
      <w:marRight w:val="0"/>
      <w:marTop w:val="0"/>
      <w:marBottom w:val="0"/>
      <w:divBdr>
        <w:top w:val="none" w:sz="0" w:space="0" w:color="auto"/>
        <w:left w:val="none" w:sz="0" w:space="0" w:color="auto"/>
        <w:bottom w:val="none" w:sz="0" w:space="0" w:color="auto"/>
        <w:right w:val="none" w:sz="0" w:space="0" w:color="auto"/>
      </w:divBdr>
    </w:div>
    <w:div w:id="1204294650">
      <w:bodyDiv w:val="1"/>
      <w:marLeft w:val="0"/>
      <w:marRight w:val="0"/>
      <w:marTop w:val="0"/>
      <w:marBottom w:val="0"/>
      <w:divBdr>
        <w:top w:val="none" w:sz="0" w:space="0" w:color="auto"/>
        <w:left w:val="none" w:sz="0" w:space="0" w:color="auto"/>
        <w:bottom w:val="none" w:sz="0" w:space="0" w:color="auto"/>
        <w:right w:val="none" w:sz="0" w:space="0" w:color="auto"/>
      </w:divBdr>
    </w:div>
    <w:div w:id="1204631937">
      <w:bodyDiv w:val="1"/>
      <w:marLeft w:val="0"/>
      <w:marRight w:val="0"/>
      <w:marTop w:val="0"/>
      <w:marBottom w:val="0"/>
      <w:divBdr>
        <w:top w:val="none" w:sz="0" w:space="0" w:color="auto"/>
        <w:left w:val="none" w:sz="0" w:space="0" w:color="auto"/>
        <w:bottom w:val="none" w:sz="0" w:space="0" w:color="auto"/>
        <w:right w:val="none" w:sz="0" w:space="0" w:color="auto"/>
      </w:divBdr>
    </w:div>
    <w:div w:id="1212957501">
      <w:bodyDiv w:val="1"/>
      <w:marLeft w:val="0"/>
      <w:marRight w:val="0"/>
      <w:marTop w:val="0"/>
      <w:marBottom w:val="0"/>
      <w:divBdr>
        <w:top w:val="none" w:sz="0" w:space="0" w:color="auto"/>
        <w:left w:val="none" w:sz="0" w:space="0" w:color="auto"/>
        <w:bottom w:val="none" w:sz="0" w:space="0" w:color="auto"/>
        <w:right w:val="none" w:sz="0" w:space="0" w:color="auto"/>
      </w:divBdr>
    </w:div>
    <w:div w:id="1220168660">
      <w:bodyDiv w:val="1"/>
      <w:marLeft w:val="0"/>
      <w:marRight w:val="0"/>
      <w:marTop w:val="0"/>
      <w:marBottom w:val="0"/>
      <w:divBdr>
        <w:top w:val="none" w:sz="0" w:space="0" w:color="auto"/>
        <w:left w:val="none" w:sz="0" w:space="0" w:color="auto"/>
        <w:bottom w:val="none" w:sz="0" w:space="0" w:color="auto"/>
        <w:right w:val="none" w:sz="0" w:space="0" w:color="auto"/>
      </w:divBdr>
    </w:div>
    <w:div w:id="1222250474">
      <w:bodyDiv w:val="1"/>
      <w:marLeft w:val="0"/>
      <w:marRight w:val="0"/>
      <w:marTop w:val="0"/>
      <w:marBottom w:val="0"/>
      <w:divBdr>
        <w:top w:val="none" w:sz="0" w:space="0" w:color="auto"/>
        <w:left w:val="none" w:sz="0" w:space="0" w:color="auto"/>
        <w:bottom w:val="none" w:sz="0" w:space="0" w:color="auto"/>
        <w:right w:val="none" w:sz="0" w:space="0" w:color="auto"/>
      </w:divBdr>
    </w:div>
    <w:div w:id="1229924693">
      <w:bodyDiv w:val="1"/>
      <w:marLeft w:val="0"/>
      <w:marRight w:val="0"/>
      <w:marTop w:val="0"/>
      <w:marBottom w:val="0"/>
      <w:divBdr>
        <w:top w:val="none" w:sz="0" w:space="0" w:color="auto"/>
        <w:left w:val="none" w:sz="0" w:space="0" w:color="auto"/>
        <w:bottom w:val="none" w:sz="0" w:space="0" w:color="auto"/>
        <w:right w:val="none" w:sz="0" w:space="0" w:color="auto"/>
      </w:divBdr>
    </w:div>
    <w:div w:id="1231578604">
      <w:bodyDiv w:val="1"/>
      <w:marLeft w:val="0"/>
      <w:marRight w:val="0"/>
      <w:marTop w:val="0"/>
      <w:marBottom w:val="0"/>
      <w:divBdr>
        <w:top w:val="none" w:sz="0" w:space="0" w:color="auto"/>
        <w:left w:val="none" w:sz="0" w:space="0" w:color="auto"/>
        <w:bottom w:val="none" w:sz="0" w:space="0" w:color="auto"/>
        <w:right w:val="none" w:sz="0" w:space="0" w:color="auto"/>
      </w:divBdr>
    </w:div>
    <w:div w:id="1250234590">
      <w:bodyDiv w:val="1"/>
      <w:marLeft w:val="0"/>
      <w:marRight w:val="0"/>
      <w:marTop w:val="0"/>
      <w:marBottom w:val="0"/>
      <w:divBdr>
        <w:top w:val="none" w:sz="0" w:space="0" w:color="auto"/>
        <w:left w:val="none" w:sz="0" w:space="0" w:color="auto"/>
        <w:bottom w:val="none" w:sz="0" w:space="0" w:color="auto"/>
        <w:right w:val="none" w:sz="0" w:space="0" w:color="auto"/>
      </w:divBdr>
    </w:div>
    <w:div w:id="1251889271">
      <w:bodyDiv w:val="1"/>
      <w:marLeft w:val="0"/>
      <w:marRight w:val="0"/>
      <w:marTop w:val="0"/>
      <w:marBottom w:val="0"/>
      <w:divBdr>
        <w:top w:val="none" w:sz="0" w:space="0" w:color="auto"/>
        <w:left w:val="none" w:sz="0" w:space="0" w:color="auto"/>
        <w:bottom w:val="none" w:sz="0" w:space="0" w:color="auto"/>
        <w:right w:val="none" w:sz="0" w:space="0" w:color="auto"/>
      </w:divBdr>
    </w:div>
    <w:div w:id="1256859982">
      <w:bodyDiv w:val="1"/>
      <w:marLeft w:val="0"/>
      <w:marRight w:val="0"/>
      <w:marTop w:val="0"/>
      <w:marBottom w:val="0"/>
      <w:divBdr>
        <w:top w:val="none" w:sz="0" w:space="0" w:color="auto"/>
        <w:left w:val="none" w:sz="0" w:space="0" w:color="auto"/>
        <w:bottom w:val="none" w:sz="0" w:space="0" w:color="auto"/>
        <w:right w:val="none" w:sz="0" w:space="0" w:color="auto"/>
      </w:divBdr>
    </w:div>
    <w:div w:id="1263150226">
      <w:bodyDiv w:val="1"/>
      <w:marLeft w:val="0"/>
      <w:marRight w:val="0"/>
      <w:marTop w:val="0"/>
      <w:marBottom w:val="0"/>
      <w:divBdr>
        <w:top w:val="none" w:sz="0" w:space="0" w:color="auto"/>
        <w:left w:val="none" w:sz="0" w:space="0" w:color="auto"/>
        <w:bottom w:val="none" w:sz="0" w:space="0" w:color="auto"/>
        <w:right w:val="none" w:sz="0" w:space="0" w:color="auto"/>
      </w:divBdr>
    </w:div>
    <w:div w:id="1267690183">
      <w:bodyDiv w:val="1"/>
      <w:marLeft w:val="0"/>
      <w:marRight w:val="0"/>
      <w:marTop w:val="0"/>
      <w:marBottom w:val="0"/>
      <w:divBdr>
        <w:top w:val="none" w:sz="0" w:space="0" w:color="auto"/>
        <w:left w:val="none" w:sz="0" w:space="0" w:color="auto"/>
        <w:bottom w:val="none" w:sz="0" w:space="0" w:color="auto"/>
        <w:right w:val="none" w:sz="0" w:space="0" w:color="auto"/>
      </w:divBdr>
    </w:div>
    <w:div w:id="1279995851">
      <w:bodyDiv w:val="1"/>
      <w:marLeft w:val="0"/>
      <w:marRight w:val="0"/>
      <w:marTop w:val="0"/>
      <w:marBottom w:val="0"/>
      <w:divBdr>
        <w:top w:val="none" w:sz="0" w:space="0" w:color="auto"/>
        <w:left w:val="none" w:sz="0" w:space="0" w:color="auto"/>
        <w:bottom w:val="none" w:sz="0" w:space="0" w:color="auto"/>
        <w:right w:val="none" w:sz="0" w:space="0" w:color="auto"/>
      </w:divBdr>
    </w:div>
    <w:div w:id="1287590123">
      <w:bodyDiv w:val="1"/>
      <w:marLeft w:val="0"/>
      <w:marRight w:val="0"/>
      <w:marTop w:val="0"/>
      <w:marBottom w:val="0"/>
      <w:divBdr>
        <w:top w:val="none" w:sz="0" w:space="0" w:color="auto"/>
        <w:left w:val="none" w:sz="0" w:space="0" w:color="auto"/>
        <w:bottom w:val="none" w:sz="0" w:space="0" w:color="auto"/>
        <w:right w:val="none" w:sz="0" w:space="0" w:color="auto"/>
      </w:divBdr>
    </w:div>
    <w:div w:id="1302885446">
      <w:bodyDiv w:val="1"/>
      <w:marLeft w:val="0"/>
      <w:marRight w:val="0"/>
      <w:marTop w:val="0"/>
      <w:marBottom w:val="0"/>
      <w:divBdr>
        <w:top w:val="none" w:sz="0" w:space="0" w:color="auto"/>
        <w:left w:val="none" w:sz="0" w:space="0" w:color="auto"/>
        <w:bottom w:val="none" w:sz="0" w:space="0" w:color="auto"/>
        <w:right w:val="none" w:sz="0" w:space="0" w:color="auto"/>
      </w:divBdr>
    </w:div>
    <w:div w:id="1304315269">
      <w:bodyDiv w:val="1"/>
      <w:marLeft w:val="0"/>
      <w:marRight w:val="0"/>
      <w:marTop w:val="0"/>
      <w:marBottom w:val="0"/>
      <w:divBdr>
        <w:top w:val="none" w:sz="0" w:space="0" w:color="auto"/>
        <w:left w:val="none" w:sz="0" w:space="0" w:color="auto"/>
        <w:bottom w:val="none" w:sz="0" w:space="0" w:color="auto"/>
        <w:right w:val="none" w:sz="0" w:space="0" w:color="auto"/>
      </w:divBdr>
    </w:div>
    <w:div w:id="1311402621">
      <w:bodyDiv w:val="1"/>
      <w:marLeft w:val="0"/>
      <w:marRight w:val="0"/>
      <w:marTop w:val="0"/>
      <w:marBottom w:val="0"/>
      <w:divBdr>
        <w:top w:val="none" w:sz="0" w:space="0" w:color="auto"/>
        <w:left w:val="none" w:sz="0" w:space="0" w:color="auto"/>
        <w:bottom w:val="none" w:sz="0" w:space="0" w:color="auto"/>
        <w:right w:val="none" w:sz="0" w:space="0" w:color="auto"/>
      </w:divBdr>
    </w:div>
    <w:div w:id="1313438946">
      <w:bodyDiv w:val="1"/>
      <w:marLeft w:val="0"/>
      <w:marRight w:val="0"/>
      <w:marTop w:val="0"/>
      <w:marBottom w:val="0"/>
      <w:divBdr>
        <w:top w:val="none" w:sz="0" w:space="0" w:color="auto"/>
        <w:left w:val="none" w:sz="0" w:space="0" w:color="auto"/>
        <w:bottom w:val="none" w:sz="0" w:space="0" w:color="auto"/>
        <w:right w:val="none" w:sz="0" w:space="0" w:color="auto"/>
      </w:divBdr>
    </w:div>
    <w:div w:id="1321347578">
      <w:bodyDiv w:val="1"/>
      <w:marLeft w:val="0"/>
      <w:marRight w:val="0"/>
      <w:marTop w:val="0"/>
      <w:marBottom w:val="0"/>
      <w:divBdr>
        <w:top w:val="none" w:sz="0" w:space="0" w:color="auto"/>
        <w:left w:val="none" w:sz="0" w:space="0" w:color="auto"/>
        <w:bottom w:val="none" w:sz="0" w:space="0" w:color="auto"/>
        <w:right w:val="none" w:sz="0" w:space="0" w:color="auto"/>
      </w:divBdr>
    </w:div>
    <w:div w:id="1327394610">
      <w:bodyDiv w:val="1"/>
      <w:marLeft w:val="0"/>
      <w:marRight w:val="0"/>
      <w:marTop w:val="0"/>
      <w:marBottom w:val="0"/>
      <w:divBdr>
        <w:top w:val="none" w:sz="0" w:space="0" w:color="auto"/>
        <w:left w:val="none" w:sz="0" w:space="0" w:color="auto"/>
        <w:bottom w:val="none" w:sz="0" w:space="0" w:color="auto"/>
        <w:right w:val="none" w:sz="0" w:space="0" w:color="auto"/>
      </w:divBdr>
    </w:div>
    <w:div w:id="1331757787">
      <w:bodyDiv w:val="1"/>
      <w:marLeft w:val="0"/>
      <w:marRight w:val="0"/>
      <w:marTop w:val="0"/>
      <w:marBottom w:val="0"/>
      <w:divBdr>
        <w:top w:val="none" w:sz="0" w:space="0" w:color="auto"/>
        <w:left w:val="none" w:sz="0" w:space="0" w:color="auto"/>
        <w:bottom w:val="none" w:sz="0" w:space="0" w:color="auto"/>
        <w:right w:val="none" w:sz="0" w:space="0" w:color="auto"/>
      </w:divBdr>
    </w:div>
    <w:div w:id="1341010285">
      <w:bodyDiv w:val="1"/>
      <w:marLeft w:val="0"/>
      <w:marRight w:val="0"/>
      <w:marTop w:val="0"/>
      <w:marBottom w:val="0"/>
      <w:divBdr>
        <w:top w:val="none" w:sz="0" w:space="0" w:color="auto"/>
        <w:left w:val="none" w:sz="0" w:space="0" w:color="auto"/>
        <w:bottom w:val="none" w:sz="0" w:space="0" w:color="auto"/>
        <w:right w:val="none" w:sz="0" w:space="0" w:color="auto"/>
      </w:divBdr>
    </w:div>
    <w:div w:id="1345093406">
      <w:bodyDiv w:val="1"/>
      <w:marLeft w:val="0"/>
      <w:marRight w:val="0"/>
      <w:marTop w:val="0"/>
      <w:marBottom w:val="0"/>
      <w:divBdr>
        <w:top w:val="none" w:sz="0" w:space="0" w:color="auto"/>
        <w:left w:val="none" w:sz="0" w:space="0" w:color="auto"/>
        <w:bottom w:val="none" w:sz="0" w:space="0" w:color="auto"/>
        <w:right w:val="none" w:sz="0" w:space="0" w:color="auto"/>
      </w:divBdr>
    </w:div>
    <w:div w:id="1345133475">
      <w:bodyDiv w:val="1"/>
      <w:marLeft w:val="0"/>
      <w:marRight w:val="0"/>
      <w:marTop w:val="0"/>
      <w:marBottom w:val="0"/>
      <w:divBdr>
        <w:top w:val="none" w:sz="0" w:space="0" w:color="auto"/>
        <w:left w:val="none" w:sz="0" w:space="0" w:color="auto"/>
        <w:bottom w:val="none" w:sz="0" w:space="0" w:color="auto"/>
        <w:right w:val="none" w:sz="0" w:space="0" w:color="auto"/>
      </w:divBdr>
    </w:div>
    <w:div w:id="1346009471">
      <w:bodyDiv w:val="1"/>
      <w:marLeft w:val="0"/>
      <w:marRight w:val="0"/>
      <w:marTop w:val="0"/>
      <w:marBottom w:val="0"/>
      <w:divBdr>
        <w:top w:val="none" w:sz="0" w:space="0" w:color="auto"/>
        <w:left w:val="none" w:sz="0" w:space="0" w:color="auto"/>
        <w:bottom w:val="none" w:sz="0" w:space="0" w:color="auto"/>
        <w:right w:val="none" w:sz="0" w:space="0" w:color="auto"/>
      </w:divBdr>
    </w:div>
    <w:div w:id="1349597954">
      <w:bodyDiv w:val="1"/>
      <w:marLeft w:val="0"/>
      <w:marRight w:val="0"/>
      <w:marTop w:val="0"/>
      <w:marBottom w:val="0"/>
      <w:divBdr>
        <w:top w:val="none" w:sz="0" w:space="0" w:color="auto"/>
        <w:left w:val="none" w:sz="0" w:space="0" w:color="auto"/>
        <w:bottom w:val="none" w:sz="0" w:space="0" w:color="auto"/>
        <w:right w:val="none" w:sz="0" w:space="0" w:color="auto"/>
      </w:divBdr>
    </w:div>
    <w:div w:id="1355305056">
      <w:bodyDiv w:val="1"/>
      <w:marLeft w:val="0"/>
      <w:marRight w:val="0"/>
      <w:marTop w:val="0"/>
      <w:marBottom w:val="0"/>
      <w:divBdr>
        <w:top w:val="none" w:sz="0" w:space="0" w:color="auto"/>
        <w:left w:val="none" w:sz="0" w:space="0" w:color="auto"/>
        <w:bottom w:val="none" w:sz="0" w:space="0" w:color="auto"/>
        <w:right w:val="none" w:sz="0" w:space="0" w:color="auto"/>
      </w:divBdr>
    </w:div>
    <w:div w:id="1358502624">
      <w:bodyDiv w:val="1"/>
      <w:marLeft w:val="0"/>
      <w:marRight w:val="0"/>
      <w:marTop w:val="0"/>
      <w:marBottom w:val="0"/>
      <w:divBdr>
        <w:top w:val="none" w:sz="0" w:space="0" w:color="auto"/>
        <w:left w:val="none" w:sz="0" w:space="0" w:color="auto"/>
        <w:bottom w:val="none" w:sz="0" w:space="0" w:color="auto"/>
        <w:right w:val="none" w:sz="0" w:space="0" w:color="auto"/>
      </w:divBdr>
    </w:div>
    <w:div w:id="1361735438">
      <w:bodyDiv w:val="1"/>
      <w:marLeft w:val="0"/>
      <w:marRight w:val="0"/>
      <w:marTop w:val="0"/>
      <w:marBottom w:val="0"/>
      <w:divBdr>
        <w:top w:val="none" w:sz="0" w:space="0" w:color="auto"/>
        <w:left w:val="none" w:sz="0" w:space="0" w:color="auto"/>
        <w:bottom w:val="none" w:sz="0" w:space="0" w:color="auto"/>
        <w:right w:val="none" w:sz="0" w:space="0" w:color="auto"/>
      </w:divBdr>
    </w:div>
    <w:div w:id="1369337842">
      <w:bodyDiv w:val="1"/>
      <w:marLeft w:val="0"/>
      <w:marRight w:val="0"/>
      <w:marTop w:val="0"/>
      <w:marBottom w:val="0"/>
      <w:divBdr>
        <w:top w:val="none" w:sz="0" w:space="0" w:color="auto"/>
        <w:left w:val="none" w:sz="0" w:space="0" w:color="auto"/>
        <w:bottom w:val="none" w:sz="0" w:space="0" w:color="auto"/>
        <w:right w:val="none" w:sz="0" w:space="0" w:color="auto"/>
      </w:divBdr>
    </w:div>
    <w:div w:id="1382243503">
      <w:bodyDiv w:val="1"/>
      <w:marLeft w:val="0"/>
      <w:marRight w:val="0"/>
      <w:marTop w:val="0"/>
      <w:marBottom w:val="0"/>
      <w:divBdr>
        <w:top w:val="none" w:sz="0" w:space="0" w:color="auto"/>
        <w:left w:val="none" w:sz="0" w:space="0" w:color="auto"/>
        <w:bottom w:val="none" w:sz="0" w:space="0" w:color="auto"/>
        <w:right w:val="none" w:sz="0" w:space="0" w:color="auto"/>
      </w:divBdr>
    </w:div>
    <w:div w:id="1389917137">
      <w:bodyDiv w:val="1"/>
      <w:marLeft w:val="0"/>
      <w:marRight w:val="0"/>
      <w:marTop w:val="0"/>
      <w:marBottom w:val="0"/>
      <w:divBdr>
        <w:top w:val="none" w:sz="0" w:space="0" w:color="auto"/>
        <w:left w:val="none" w:sz="0" w:space="0" w:color="auto"/>
        <w:bottom w:val="none" w:sz="0" w:space="0" w:color="auto"/>
        <w:right w:val="none" w:sz="0" w:space="0" w:color="auto"/>
      </w:divBdr>
    </w:div>
    <w:div w:id="1392541681">
      <w:bodyDiv w:val="1"/>
      <w:marLeft w:val="0"/>
      <w:marRight w:val="0"/>
      <w:marTop w:val="0"/>
      <w:marBottom w:val="0"/>
      <w:divBdr>
        <w:top w:val="none" w:sz="0" w:space="0" w:color="auto"/>
        <w:left w:val="none" w:sz="0" w:space="0" w:color="auto"/>
        <w:bottom w:val="none" w:sz="0" w:space="0" w:color="auto"/>
        <w:right w:val="none" w:sz="0" w:space="0" w:color="auto"/>
      </w:divBdr>
    </w:div>
    <w:div w:id="1415399860">
      <w:bodyDiv w:val="1"/>
      <w:marLeft w:val="0"/>
      <w:marRight w:val="0"/>
      <w:marTop w:val="0"/>
      <w:marBottom w:val="0"/>
      <w:divBdr>
        <w:top w:val="none" w:sz="0" w:space="0" w:color="auto"/>
        <w:left w:val="none" w:sz="0" w:space="0" w:color="auto"/>
        <w:bottom w:val="none" w:sz="0" w:space="0" w:color="auto"/>
        <w:right w:val="none" w:sz="0" w:space="0" w:color="auto"/>
      </w:divBdr>
    </w:div>
    <w:div w:id="1416972509">
      <w:bodyDiv w:val="1"/>
      <w:marLeft w:val="0"/>
      <w:marRight w:val="0"/>
      <w:marTop w:val="0"/>
      <w:marBottom w:val="0"/>
      <w:divBdr>
        <w:top w:val="none" w:sz="0" w:space="0" w:color="auto"/>
        <w:left w:val="none" w:sz="0" w:space="0" w:color="auto"/>
        <w:bottom w:val="none" w:sz="0" w:space="0" w:color="auto"/>
        <w:right w:val="none" w:sz="0" w:space="0" w:color="auto"/>
      </w:divBdr>
    </w:div>
    <w:div w:id="1434666380">
      <w:bodyDiv w:val="1"/>
      <w:marLeft w:val="0"/>
      <w:marRight w:val="0"/>
      <w:marTop w:val="0"/>
      <w:marBottom w:val="0"/>
      <w:divBdr>
        <w:top w:val="none" w:sz="0" w:space="0" w:color="auto"/>
        <w:left w:val="none" w:sz="0" w:space="0" w:color="auto"/>
        <w:bottom w:val="none" w:sz="0" w:space="0" w:color="auto"/>
        <w:right w:val="none" w:sz="0" w:space="0" w:color="auto"/>
      </w:divBdr>
    </w:div>
    <w:div w:id="1445462026">
      <w:bodyDiv w:val="1"/>
      <w:marLeft w:val="0"/>
      <w:marRight w:val="0"/>
      <w:marTop w:val="0"/>
      <w:marBottom w:val="0"/>
      <w:divBdr>
        <w:top w:val="none" w:sz="0" w:space="0" w:color="auto"/>
        <w:left w:val="none" w:sz="0" w:space="0" w:color="auto"/>
        <w:bottom w:val="none" w:sz="0" w:space="0" w:color="auto"/>
        <w:right w:val="none" w:sz="0" w:space="0" w:color="auto"/>
      </w:divBdr>
    </w:div>
    <w:div w:id="1448348840">
      <w:bodyDiv w:val="1"/>
      <w:marLeft w:val="0"/>
      <w:marRight w:val="0"/>
      <w:marTop w:val="0"/>
      <w:marBottom w:val="0"/>
      <w:divBdr>
        <w:top w:val="none" w:sz="0" w:space="0" w:color="auto"/>
        <w:left w:val="none" w:sz="0" w:space="0" w:color="auto"/>
        <w:bottom w:val="none" w:sz="0" w:space="0" w:color="auto"/>
        <w:right w:val="none" w:sz="0" w:space="0" w:color="auto"/>
      </w:divBdr>
    </w:div>
    <w:div w:id="1456948167">
      <w:bodyDiv w:val="1"/>
      <w:marLeft w:val="0"/>
      <w:marRight w:val="0"/>
      <w:marTop w:val="0"/>
      <w:marBottom w:val="0"/>
      <w:divBdr>
        <w:top w:val="none" w:sz="0" w:space="0" w:color="auto"/>
        <w:left w:val="none" w:sz="0" w:space="0" w:color="auto"/>
        <w:bottom w:val="none" w:sz="0" w:space="0" w:color="auto"/>
        <w:right w:val="none" w:sz="0" w:space="0" w:color="auto"/>
      </w:divBdr>
    </w:div>
    <w:div w:id="1472862312">
      <w:bodyDiv w:val="1"/>
      <w:marLeft w:val="0"/>
      <w:marRight w:val="0"/>
      <w:marTop w:val="0"/>
      <w:marBottom w:val="0"/>
      <w:divBdr>
        <w:top w:val="none" w:sz="0" w:space="0" w:color="auto"/>
        <w:left w:val="none" w:sz="0" w:space="0" w:color="auto"/>
        <w:bottom w:val="none" w:sz="0" w:space="0" w:color="auto"/>
        <w:right w:val="none" w:sz="0" w:space="0" w:color="auto"/>
      </w:divBdr>
    </w:div>
    <w:div w:id="1478960199">
      <w:bodyDiv w:val="1"/>
      <w:marLeft w:val="0"/>
      <w:marRight w:val="0"/>
      <w:marTop w:val="0"/>
      <w:marBottom w:val="0"/>
      <w:divBdr>
        <w:top w:val="none" w:sz="0" w:space="0" w:color="auto"/>
        <w:left w:val="none" w:sz="0" w:space="0" w:color="auto"/>
        <w:bottom w:val="none" w:sz="0" w:space="0" w:color="auto"/>
        <w:right w:val="none" w:sz="0" w:space="0" w:color="auto"/>
      </w:divBdr>
    </w:div>
    <w:div w:id="1491141045">
      <w:bodyDiv w:val="1"/>
      <w:marLeft w:val="0"/>
      <w:marRight w:val="0"/>
      <w:marTop w:val="0"/>
      <w:marBottom w:val="0"/>
      <w:divBdr>
        <w:top w:val="none" w:sz="0" w:space="0" w:color="auto"/>
        <w:left w:val="none" w:sz="0" w:space="0" w:color="auto"/>
        <w:bottom w:val="none" w:sz="0" w:space="0" w:color="auto"/>
        <w:right w:val="none" w:sz="0" w:space="0" w:color="auto"/>
      </w:divBdr>
    </w:div>
    <w:div w:id="1509563419">
      <w:bodyDiv w:val="1"/>
      <w:marLeft w:val="0"/>
      <w:marRight w:val="0"/>
      <w:marTop w:val="0"/>
      <w:marBottom w:val="0"/>
      <w:divBdr>
        <w:top w:val="none" w:sz="0" w:space="0" w:color="auto"/>
        <w:left w:val="none" w:sz="0" w:space="0" w:color="auto"/>
        <w:bottom w:val="none" w:sz="0" w:space="0" w:color="auto"/>
        <w:right w:val="none" w:sz="0" w:space="0" w:color="auto"/>
      </w:divBdr>
    </w:div>
    <w:div w:id="1526559165">
      <w:bodyDiv w:val="1"/>
      <w:marLeft w:val="0"/>
      <w:marRight w:val="0"/>
      <w:marTop w:val="0"/>
      <w:marBottom w:val="0"/>
      <w:divBdr>
        <w:top w:val="none" w:sz="0" w:space="0" w:color="auto"/>
        <w:left w:val="none" w:sz="0" w:space="0" w:color="auto"/>
        <w:bottom w:val="none" w:sz="0" w:space="0" w:color="auto"/>
        <w:right w:val="none" w:sz="0" w:space="0" w:color="auto"/>
      </w:divBdr>
    </w:div>
    <w:div w:id="1528565598">
      <w:bodyDiv w:val="1"/>
      <w:marLeft w:val="0"/>
      <w:marRight w:val="0"/>
      <w:marTop w:val="0"/>
      <w:marBottom w:val="0"/>
      <w:divBdr>
        <w:top w:val="none" w:sz="0" w:space="0" w:color="auto"/>
        <w:left w:val="none" w:sz="0" w:space="0" w:color="auto"/>
        <w:bottom w:val="none" w:sz="0" w:space="0" w:color="auto"/>
        <w:right w:val="none" w:sz="0" w:space="0" w:color="auto"/>
      </w:divBdr>
    </w:div>
    <w:div w:id="1535725990">
      <w:bodyDiv w:val="1"/>
      <w:marLeft w:val="0"/>
      <w:marRight w:val="0"/>
      <w:marTop w:val="0"/>
      <w:marBottom w:val="0"/>
      <w:divBdr>
        <w:top w:val="none" w:sz="0" w:space="0" w:color="auto"/>
        <w:left w:val="none" w:sz="0" w:space="0" w:color="auto"/>
        <w:bottom w:val="none" w:sz="0" w:space="0" w:color="auto"/>
        <w:right w:val="none" w:sz="0" w:space="0" w:color="auto"/>
      </w:divBdr>
    </w:div>
    <w:div w:id="1537041039">
      <w:bodyDiv w:val="1"/>
      <w:marLeft w:val="0"/>
      <w:marRight w:val="0"/>
      <w:marTop w:val="0"/>
      <w:marBottom w:val="0"/>
      <w:divBdr>
        <w:top w:val="none" w:sz="0" w:space="0" w:color="auto"/>
        <w:left w:val="none" w:sz="0" w:space="0" w:color="auto"/>
        <w:bottom w:val="none" w:sz="0" w:space="0" w:color="auto"/>
        <w:right w:val="none" w:sz="0" w:space="0" w:color="auto"/>
      </w:divBdr>
    </w:div>
    <w:div w:id="1568033686">
      <w:bodyDiv w:val="1"/>
      <w:marLeft w:val="0"/>
      <w:marRight w:val="0"/>
      <w:marTop w:val="0"/>
      <w:marBottom w:val="0"/>
      <w:divBdr>
        <w:top w:val="none" w:sz="0" w:space="0" w:color="auto"/>
        <w:left w:val="none" w:sz="0" w:space="0" w:color="auto"/>
        <w:bottom w:val="none" w:sz="0" w:space="0" w:color="auto"/>
        <w:right w:val="none" w:sz="0" w:space="0" w:color="auto"/>
      </w:divBdr>
    </w:div>
    <w:div w:id="1577322312">
      <w:bodyDiv w:val="1"/>
      <w:marLeft w:val="0"/>
      <w:marRight w:val="0"/>
      <w:marTop w:val="0"/>
      <w:marBottom w:val="0"/>
      <w:divBdr>
        <w:top w:val="none" w:sz="0" w:space="0" w:color="auto"/>
        <w:left w:val="none" w:sz="0" w:space="0" w:color="auto"/>
        <w:bottom w:val="none" w:sz="0" w:space="0" w:color="auto"/>
        <w:right w:val="none" w:sz="0" w:space="0" w:color="auto"/>
      </w:divBdr>
    </w:div>
    <w:div w:id="1582713652">
      <w:bodyDiv w:val="1"/>
      <w:marLeft w:val="0"/>
      <w:marRight w:val="0"/>
      <w:marTop w:val="0"/>
      <w:marBottom w:val="0"/>
      <w:divBdr>
        <w:top w:val="none" w:sz="0" w:space="0" w:color="auto"/>
        <w:left w:val="none" w:sz="0" w:space="0" w:color="auto"/>
        <w:bottom w:val="none" w:sz="0" w:space="0" w:color="auto"/>
        <w:right w:val="none" w:sz="0" w:space="0" w:color="auto"/>
      </w:divBdr>
    </w:div>
    <w:div w:id="1594819845">
      <w:bodyDiv w:val="1"/>
      <w:marLeft w:val="0"/>
      <w:marRight w:val="0"/>
      <w:marTop w:val="0"/>
      <w:marBottom w:val="0"/>
      <w:divBdr>
        <w:top w:val="none" w:sz="0" w:space="0" w:color="auto"/>
        <w:left w:val="none" w:sz="0" w:space="0" w:color="auto"/>
        <w:bottom w:val="none" w:sz="0" w:space="0" w:color="auto"/>
        <w:right w:val="none" w:sz="0" w:space="0" w:color="auto"/>
      </w:divBdr>
    </w:div>
    <w:div w:id="1602495797">
      <w:bodyDiv w:val="1"/>
      <w:marLeft w:val="0"/>
      <w:marRight w:val="0"/>
      <w:marTop w:val="0"/>
      <w:marBottom w:val="0"/>
      <w:divBdr>
        <w:top w:val="none" w:sz="0" w:space="0" w:color="auto"/>
        <w:left w:val="none" w:sz="0" w:space="0" w:color="auto"/>
        <w:bottom w:val="none" w:sz="0" w:space="0" w:color="auto"/>
        <w:right w:val="none" w:sz="0" w:space="0" w:color="auto"/>
      </w:divBdr>
    </w:div>
    <w:div w:id="1619950666">
      <w:bodyDiv w:val="1"/>
      <w:marLeft w:val="0"/>
      <w:marRight w:val="0"/>
      <w:marTop w:val="0"/>
      <w:marBottom w:val="0"/>
      <w:divBdr>
        <w:top w:val="none" w:sz="0" w:space="0" w:color="auto"/>
        <w:left w:val="none" w:sz="0" w:space="0" w:color="auto"/>
        <w:bottom w:val="none" w:sz="0" w:space="0" w:color="auto"/>
        <w:right w:val="none" w:sz="0" w:space="0" w:color="auto"/>
      </w:divBdr>
    </w:div>
    <w:div w:id="1632250328">
      <w:bodyDiv w:val="1"/>
      <w:marLeft w:val="0"/>
      <w:marRight w:val="0"/>
      <w:marTop w:val="0"/>
      <w:marBottom w:val="0"/>
      <w:divBdr>
        <w:top w:val="none" w:sz="0" w:space="0" w:color="auto"/>
        <w:left w:val="none" w:sz="0" w:space="0" w:color="auto"/>
        <w:bottom w:val="none" w:sz="0" w:space="0" w:color="auto"/>
        <w:right w:val="none" w:sz="0" w:space="0" w:color="auto"/>
      </w:divBdr>
    </w:div>
    <w:div w:id="1637906288">
      <w:bodyDiv w:val="1"/>
      <w:marLeft w:val="0"/>
      <w:marRight w:val="0"/>
      <w:marTop w:val="0"/>
      <w:marBottom w:val="0"/>
      <w:divBdr>
        <w:top w:val="none" w:sz="0" w:space="0" w:color="auto"/>
        <w:left w:val="none" w:sz="0" w:space="0" w:color="auto"/>
        <w:bottom w:val="none" w:sz="0" w:space="0" w:color="auto"/>
        <w:right w:val="none" w:sz="0" w:space="0" w:color="auto"/>
      </w:divBdr>
    </w:div>
    <w:div w:id="1642031595">
      <w:bodyDiv w:val="1"/>
      <w:marLeft w:val="0"/>
      <w:marRight w:val="0"/>
      <w:marTop w:val="0"/>
      <w:marBottom w:val="0"/>
      <w:divBdr>
        <w:top w:val="none" w:sz="0" w:space="0" w:color="auto"/>
        <w:left w:val="none" w:sz="0" w:space="0" w:color="auto"/>
        <w:bottom w:val="none" w:sz="0" w:space="0" w:color="auto"/>
        <w:right w:val="none" w:sz="0" w:space="0" w:color="auto"/>
      </w:divBdr>
    </w:div>
    <w:div w:id="1650550963">
      <w:bodyDiv w:val="1"/>
      <w:marLeft w:val="0"/>
      <w:marRight w:val="0"/>
      <w:marTop w:val="0"/>
      <w:marBottom w:val="0"/>
      <w:divBdr>
        <w:top w:val="none" w:sz="0" w:space="0" w:color="auto"/>
        <w:left w:val="none" w:sz="0" w:space="0" w:color="auto"/>
        <w:bottom w:val="none" w:sz="0" w:space="0" w:color="auto"/>
        <w:right w:val="none" w:sz="0" w:space="0" w:color="auto"/>
      </w:divBdr>
    </w:div>
    <w:div w:id="1654800294">
      <w:bodyDiv w:val="1"/>
      <w:marLeft w:val="0"/>
      <w:marRight w:val="0"/>
      <w:marTop w:val="0"/>
      <w:marBottom w:val="0"/>
      <w:divBdr>
        <w:top w:val="none" w:sz="0" w:space="0" w:color="auto"/>
        <w:left w:val="none" w:sz="0" w:space="0" w:color="auto"/>
        <w:bottom w:val="none" w:sz="0" w:space="0" w:color="auto"/>
        <w:right w:val="none" w:sz="0" w:space="0" w:color="auto"/>
      </w:divBdr>
    </w:div>
    <w:div w:id="1663965564">
      <w:bodyDiv w:val="1"/>
      <w:marLeft w:val="0"/>
      <w:marRight w:val="0"/>
      <w:marTop w:val="0"/>
      <w:marBottom w:val="0"/>
      <w:divBdr>
        <w:top w:val="none" w:sz="0" w:space="0" w:color="auto"/>
        <w:left w:val="none" w:sz="0" w:space="0" w:color="auto"/>
        <w:bottom w:val="none" w:sz="0" w:space="0" w:color="auto"/>
        <w:right w:val="none" w:sz="0" w:space="0" w:color="auto"/>
      </w:divBdr>
    </w:div>
    <w:div w:id="1664121383">
      <w:bodyDiv w:val="1"/>
      <w:marLeft w:val="0"/>
      <w:marRight w:val="0"/>
      <w:marTop w:val="0"/>
      <w:marBottom w:val="0"/>
      <w:divBdr>
        <w:top w:val="none" w:sz="0" w:space="0" w:color="auto"/>
        <w:left w:val="none" w:sz="0" w:space="0" w:color="auto"/>
        <w:bottom w:val="none" w:sz="0" w:space="0" w:color="auto"/>
        <w:right w:val="none" w:sz="0" w:space="0" w:color="auto"/>
      </w:divBdr>
    </w:div>
    <w:div w:id="1678117091">
      <w:bodyDiv w:val="1"/>
      <w:marLeft w:val="0"/>
      <w:marRight w:val="0"/>
      <w:marTop w:val="0"/>
      <w:marBottom w:val="0"/>
      <w:divBdr>
        <w:top w:val="none" w:sz="0" w:space="0" w:color="auto"/>
        <w:left w:val="none" w:sz="0" w:space="0" w:color="auto"/>
        <w:bottom w:val="none" w:sz="0" w:space="0" w:color="auto"/>
        <w:right w:val="none" w:sz="0" w:space="0" w:color="auto"/>
      </w:divBdr>
    </w:div>
    <w:div w:id="1683507305">
      <w:bodyDiv w:val="1"/>
      <w:marLeft w:val="0"/>
      <w:marRight w:val="0"/>
      <w:marTop w:val="0"/>
      <w:marBottom w:val="0"/>
      <w:divBdr>
        <w:top w:val="none" w:sz="0" w:space="0" w:color="auto"/>
        <w:left w:val="none" w:sz="0" w:space="0" w:color="auto"/>
        <w:bottom w:val="none" w:sz="0" w:space="0" w:color="auto"/>
        <w:right w:val="none" w:sz="0" w:space="0" w:color="auto"/>
      </w:divBdr>
    </w:div>
    <w:div w:id="1683773329">
      <w:bodyDiv w:val="1"/>
      <w:marLeft w:val="0"/>
      <w:marRight w:val="0"/>
      <w:marTop w:val="0"/>
      <w:marBottom w:val="0"/>
      <w:divBdr>
        <w:top w:val="none" w:sz="0" w:space="0" w:color="auto"/>
        <w:left w:val="none" w:sz="0" w:space="0" w:color="auto"/>
        <w:bottom w:val="none" w:sz="0" w:space="0" w:color="auto"/>
        <w:right w:val="none" w:sz="0" w:space="0" w:color="auto"/>
      </w:divBdr>
    </w:div>
    <w:div w:id="1693453334">
      <w:bodyDiv w:val="1"/>
      <w:marLeft w:val="0"/>
      <w:marRight w:val="0"/>
      <w:marTop w:val="0"/>
      <w:marBottom w:val="0"/>
      <w:divBdr>
        <w:top w:val="none" w:sz="0" w:space="0" w:color="auto"/>
        <w:left w:val="none" w:sz="0" w:space="0" w:color="auto"/>
        <w:bottom w:val="none" w:sz="0" w:space="0" w:color="auto"/>
        <w:right w:val="none" w:sz="0" w:space="0" w:color="auto"/>
      </w:divBdr>
    </w:div>
    <w:div w:id="1700740474">
      <w:bodyDiv w:val="1"/>
      <w:marLeft w:val="0"/>
      <w:marRight w:val="0"/>
      <w:marTop w:val="0"/>
      <w:marBottom w:val="0"/>
      <w:divBdr>
        <w:top w:val="none" w:sz="0" w:space="0" w:color="auto"/>
        <w:left w:val="none" w:sz="0" w:space="0" w:color="auto"/>
        <w:bottom w:val="none" w:sz="0" w:space="0" w:color="auto"/>
        <w:right w:val="none" w:sz="0" w:space="0" w:color="auto"/>
      </w:divBdr>
    </w:div>
    <w:div w:id="1701321144">
      <w:bodyDiv w:val="1"/>
      <w:marLeft w:val="0"/>
      <w:marRight w:val="0"/>
      <w:marTop w:val="0"/>
      <w:marBottom w:val="0"/>
      <w:divBdr>
        <w:top w:val="none" w:sz="0" w:space="0" w:color="auto"/>
        <w:left w:val="none" w:sz="0" w:space="0" w:color="auto"/>
        <w:bottom w:val="none" w:sz="0" w:space="0" w:color="auto"/>
        <w:right w:val="none" w:sz="0" w:space="0" w:color="auto"/>
      </w:divBdr>
    </w:div>
    <w:div w:id="1702899719">
      <w:bodyDiv w:val="1"/>
      <w:marLeft w:val="0"/>
      <w:marRight w:val="0"/>
      <w:marTop w:val="0"/>
      <w:marBottom w:val="0"/>
      <w:divBdr>
        <w:top w:val="none" w:sz="0" w:space="0" w:color="auto"/>
        <w:left w:val="none" w:sz="0" w:space="0" w:color="auto"/>
        <w:bottom w:val="none" w:sz="0" w:space="0" w:color="auto"/>
        <w:right w:val="none" w:sz="0" w:space="0" w:color="auto"/>
      </w:divBdr>
    </w:div>
    <w:div w:id="1712419035">
      <w:bodyDiv w:val="1"/>
      <w:marLeft w:val="0"/>
      <w:marRight w:val="0"/>
      <w:marTop w:val="0"/>
      <w:marBottom w:val="0"/>
      <w:divBdr>
        <w:top w:val="none" w:sz="0" w:space="0" w:color="auto"/>
        <w:left w:val="none" w:sz="0" w:space="0" w:color="auto"/>
        <w:bottom w:val="none" w:sz="0" w:space="0" w:color="auto"/>
        <w:right w:val="none" w:sz="0" w:space="0" w:color="auto"/>
      </w:divBdr>
    </w:div>
    <w:div w:id="1714038196">
      <w:bodyDiv w:val="1"/>
      <w:marLeft w:val="0"/>
      <w:marRight w:val="0"/>
      <w:marTop w:val="0"/>
      <w:marBottom w:val="0"/>
      <w:divBdr>
        <w:top w:val="none" w:sz="0" w:space="0" w:color="auto"/>
        <w:left w:val="none" w:sz="0" w:space="0" w:color="auto"/>
        <w:bottom w:val="none" w:sz="0" w:space="0" w:color="auto"/>
        <w:right w:val="none" w:sz="0" w:space="0" w:color="auto"/>
      </w:divBdr>
    </w:div>
    <w:div w:id="1715693696">
      <w:bodyDiv w:val="1"/>
      <w:marLeft w:val="0"/>
      <w:marRight w:val="0"/>
      <w:marTop w:val="0"/>
      <w:marBottom w:val="0"/>
      <w:divBdr>
        <w:top w:val="none" w:sz="0" w:space="0" w:color="auto"/>
        <w:left w:val="none" w:sz="0" w:space="0" w:color="auto"/>
        <w:bottom w:val="none" w:sz="0" w:space="0" w:color="auto"/>
        <w:right w:val="none" w:sz="0" w:space="0" w:color="auto"/>
      </w:divBdr>
    </w:div>
    <w:div w:id="1715882244">
      <w:bodyDiv w:val="1"/>
      <w:marLeft w:val="0"/>
      <w:marRight w:val="0"/>
      <w:marTop w:val="0"/>
      <w:marBottom w:val="0"/>
      <w:divBdr>
        <w:top w:val="none" w:sz="0" w:space="0" w:color="auto"/>
        <w:left w:val="none" w:sz="0" w:space="0" w:color="auto"/>
        <w:bottom w:val="none" w:sz="0" w:space="0" w:color="auto"/>
        <w:right w:val="none" w:sz="0" w:space="0" w:color="auto"/>
      </w:divBdr>
    </w:div>
    <w:div w:id="1717699819">
      <w:bodyDiv w:val="1"/>
      <w:marLeft w:val="0"/>
      <w:marRight w:val="0"/>
      <w:marTop w:val="0"/>
      <w:marBottom w:val="0"/>
      <w:divBdr>
        <w:top w:val="none" w:sz="0" w:space="0" w:color="auto"/>
        <w:left w:val="none" w:sz="0" w:space="0" w:color="auto"/>
        <w:bottom w:val="none" w:sz="0" w:space="0" w:color="auto"/>
        <w:right w:val="none" w:sz="0" w:space="0" w:color="auto"/>
      </w:divBdr>
    </w:div>
    <w:div w:id="1737194714">
      <w:bodyDiv w:val="1"/>
      <w:marLeft w:val="0"/>
      <w:marRight w:val="0"/>
      <w:marTop w:val="0"/>
      <w:marBottom w:val="0"/>
      <w:divBdr>
        <w:top w:val="none" w:sz="0" w:space="0" w:color="auto"/>
        <w:left w:val="none" w:sz="0" w:space="0" w:color="auto"/>
        <w:bottom w:val="none" w:sz="0" w:space="0" w:color="auto"/>
        <w:right w:val="none" w:sz="0" w:space="0" w:color="auto"/>
      </w:divBdr>
    </w:div>
    <w:div w:id="1739479121">
      <w:bodyDiv w:val="1"/>
      <w:marLeft w:val="0"/>
      <w:marRight w:val="0"/>
      <w:marTop w:val="0"/>
      <w:marBottom w:val="0"/>
      <w:divBdr>
        <w:top w:val="none" w:sz="0" w:space="0" w:color="auto"/>
        <w:left w:val="none" w:sz="0" w:space="0" w:color="auto"/>
        <w:bottom w:val="none" w:sz="0" w:space="0" w:color="auto"/>
        <w:right w:val="none" w:sz="0" w:space="0" w:color="auto"/>
      </w:divBdr>
    </w:div>
    <w:div w:id="1739479217">
      <w:bodyDiv w:val="1"/>
      <w:marLeft w:val="0"/>
      <w:marRight w:val="0"/>
      <w:marTop w:val="0"/>
      <w:marBottom w:val="0"/>
      <w:divBdr>
        <w:top w:val="none" w:sz="0" w:space="0" w:color="auto"/>
        <w:left w:val="none" w:sz="0" w:space="0" w:color="auto"/>
        <w:bottom w:val="none" w:sz="0" w:space="0" w:color="auto"/>
        <w:right w:val="none" w:sz="0" w:space="0" w:color="auto"/>
      </w:divBdr>
    </w:div>
    <w:div w:id="1742411568">
      <w:bodyDiv w:val="1"/>
      <w:marLeft w:val="0"/>
      <w:marRight w:val="0"/>
      <w:marTop w:val="0"/>
      <w:marBottom w:val="0"/>
      <w:divBdr>
        <w:top w:val="none" w:sz="0" w:space="0" w:color="auto"/>
        <w:left w:val="none" w:sz="0" w:space="0" w:color="auto"/>
        <w:bottom w:val="none" w:sz="0" w:space="0" w:color="auto"/>
        <w:right w:val="none" w:sz="0" w:space="0" w:color="auto"/>
      </w:divBdr>
    </w:div>
    <w:div w:id="1744795048">
      <w:bodyDiv w:val="1"/>
      <w:marLeft w:val="0"/>
      <w:marRight w:val="0"/>
      <w:marTop w:val="0"/>
      <w:marBottom w:val="0"/>
      <w:divBdr>
        <w:top w:val="none" w:sz="0" w:space="0" w:color="auto"/>
        <w:left w:val="none" w:sz="0" w:space="0" w:color="auto"/>
        <w:bottom w:val="none" w:sz="0" w:space="0" w:color="auto"/>
        <w:right w:val="none" w:sz="0" w:space="0" w:color="auto"/>
      </w:divBdr>
    </w:div>
    <w:div w:id="1761171798">
      <w:bodyDiv w:val="1"/>
      <w:marLeft w:val="0"/>
      <w:marRight w:val="0"/>
      <w:marTop w:val="0"/>
      <w:marBottom w:val="0"/>
      <w:divBdr>
        <w:top w:val="none" w:sz="0" w:space="0" w:color="auto"/>
        <w:left w:val="none" w:sz="0" w:space="0" w:color="auto"/>
        <w:bottom w:val="none" w:sz="0" w:space="0" w:color="auto"/>
        <w:right w:val="none" w:sz="0" w:space="0" w:color="auto"/>
      </w:divBdr>
    </w:div>
    <w:div w:id="1765879488">
      <w:bodyDiv w:val="1"/>
      <w:marLeft w:val="0"/>
      <w:marRight w:val="0"/>
      <w:marTop w:val="0"/>
      <w:marBottom w:val="0"/>
      <w:divBdr>
        <w:top w:val="none" w:sz="0" w:space="0" w:color="auto"/>
        <w:left w:val="none" w:sz="0" w:space="0" w:color="auto"/>
        <w:bottom w:val="none" w:sz="0" w:space="0" w:color="auto"/>
        <w:right w:val="none" w:sz="0" w:space="0" w:color="auto"/>
      </w:divBdr>
    </w:div>
    <w:div w:id="1767920091">
      <w:bodyDiv w:val="1"/>
      <w:marLeft w:val="0"/>
      <w:marRight w:val="0"/>
      <w:marTop w:val="0"/>
      <w:marBottom w:val="0"/>
      <w:divBdr>
        <w:top w:val="none" w:sz="0" w:space="0" w:color="auto"/>
        <w:left w:val="none" w:sz="0" w:space="0" w:color="auto"/>
        <w:bottom w:val="none" w:sz="0" w:space="0" w:color="auto"/>
        <w:right w:val="none" w:sz="0" w:space="0" w:color="auto"/>
      </w:divBdr>
    </w:div>
    <w:div w:id="1779446189">
      <w:bodyDiv w:val="1"/>
      <w:marLeft w:val="0"/>
      <w:marRight w:val="0"/>
      <w:marTop w:val="0"/>
      <w:marBottom w:val="0"/>
      <w:divBdr>
        <w:top w:val="none" w:sz="0" w:space="0" w:color="auto"/>
        <w:left w:val="none" w:sz="0" w:space="0" w:color="auto"/>
        <w:bottom w:val="none" w:sz="0" w:space="0" w:color="auto"/>
        <w:right w:val="none" w:sz="0" w:space="0" w:color="auto"/>
      </w:divBdr>
    </w:div>
    <w:div w:id="1782534929">
      <w:bodyDiv w:val="1"/>
      <w:marLeft w:val="0"/>
      <w:marRight w:val="0"/>
      <w:marTop w:val="0"/>
      <w:marBottom w:val="0"/>
      <w:divBdr>
        <w:top w:val="none" w:sz="0" w:space="0" w:color="auto"/>
        <w:left w:val="none" w:sz="0" w:space="0" w:color="auto"/>
        <w:bottom w:val="none" w:sz="0" w:space="0" w:color="auto"/>
        <w:right w:val="none" w:sz="0" w:space="0" w:color="auto"/>
      </w:divBdr>
    </w:div>
    <w:div w:id="1783649324">
      <w:bodyDiv w:val="1"/>
      <w:marLeft w:val="0"/>
      <w:marRight w:val="0"/>
      <w:marTop w:val="0"/>
      <w:marBottom w:val="0"/>
      <w:divBdr>
        <w:top w:val="none" w:sz="0" w:space="0" w:color="auto"/>
        <w:left w:val="none" w:sz="0" w:space="0" w:color="auto"/>
        <w:bottom w:val="none" w:sz="0" w:space="0" w:color="auto"/>
        <w:right w:val="none" w:sz="0" w:space="0" w:color="auto"/>
      </w:divBdr>
    </w:div>
    <w:div w:id="1786390170">
      <w:bodyDiv w:val="1"/>
      <w:marLeft w:val="0"/>
      <w:marRight w:val="0"/>
      <w:marTop w:val="0"/>
      <w:marBottom w:val="0"/>
      <w:divBdr>
        <w:top w:val="none" w:sz="0" w:space="0" w:color="auto"/>
        <w:left w:val="none" w:sz="0" w:space="0" w:color="auto"/>
        <w:bottom w:val="none" w:sz="0" w:space="0" w:color="auto"/>
        <w:right w:val="none" w:sz="0" w:space="0" w:color="auto"/>
      </w:divBdr>
    </w:div>
    <w:div w:id="1802573298">
      <w:bodyDiv w:val="1"/>
      <w:marLeft w:val="0"/>
      <w:marRight w:val="0"/>
      <w:marTop w:val="0"/>
      <w:marBottom w:val="0"/>
      <w:divBdr>
        <w:top w:val="none" w:sz="0" w:space="0" w:color="auto"/>
        <w:left w:val="none" w:sz="0" w:space="0" w:color="auto"/>
        <w:bottom w:val="none" w:sz="0" w:space="0" w:color="auto"/>
        <w:right w:val="none" w:sz="0" w:space="0" w:color="auto"/>
      </w:divBdr>
    </w:div>
    <w:div w:id="1805926077">
      <w:bodyDiv w:val="1"/>
      <w:marLeft w:val="0"/>
      <w:marRight w:val="0"/>
      <w:marTop w:val="0"/>
      <w:marBottom w:val="0"/>
      <w:divBdr>
        <w:top w:val="none" w:sz="0" w:space="0" w:color="auto"/>
        <w:left w:val="none" w:sz="0" w:space="0" w:color="auto"/>
        <w:bottom w:val="none" w:sz="0" w:space="0" w:color="auto"/>
        <w:right w:val="none" w:sz="0" w:space="0" w:color="auto"/>
      </w:divBdr>
    </w:div>
    <w:div w:id="1811357609">
      <w:bodyDiv w:val="1"/>
      <w:marLeft w:val="0"/>
      <w:marRight w:val="0"/>
      <w:marTop w:val="0"/>
      <w:marBottom w:val="0"/>
      <w:divBdr>
        <w:top w:val="none" w:sz="0" w:space="0" w:color="auto"/>
        <w:left w:val="none" w:sz="0" w:space="0" w:color="auto"/>
        <w:bottom w:val="none" w:sz="0" w:space="0" w:color="auto"/>
        <w:right w:val="none" w:sz="0" w:space="0" w:color="auto"/>
      </w:divBdr>
    </w:div>
    <w:div w:id="1816797325">
      <w:bodyDiv w:val="1"/>
      <w:marLeft w:val="0"/>
      <w:marRight w:val="0"/>
      <w:marTop w:val="0"/>
      <w:marBottom w:val="0"/>
      <w:divBdr>
        <w:top w:val="none" w:sz="0" w:space="0" w:color="auto"/>
        <w:left w:val="none" w:sz="0" w:space="0" w:color="auto"/>
        <w:bottom w:val="none" w:sz="0" w:space="0" w:color="auto"/>
        <w:right w:val="none" w:sz="0" w:space="0" w:color="auto"/>
      </w:divBdr>
    </w:div>
    <w:div w:id="1818836950">
      <w:bodyDiv w:val="1"/>
      <w:marLeft w:val="0"/>
      <w:marRight w:val="0"/>
      <w:marTop w:val="0"/>
      <w:marBottom w:val="0"/>
      <w:divBdr>
        <w:top w:val="none" w:sz="0" w:space="0" w:color="auto"/>
        <w:left w:val="none" w:sz="0" w:space="0" w:color="auto"/>
        <w:bottom w:val="none" w:sz="0" w:space="0" w:color="auto"/>
        <w:right w:val="none" w:sz="0" w:space="0" w:color="auto"/>
      </w:divBdr>
    </w:div>
    <w:div w:id="1819496985">
      <w:bodyDiv w:val="1"/>
      <w:marLeft w:val="0"/>
      <w:marRight w:val="0"/>
      <w:marTop w:val="0"/>
      <w:marBottom w:val="0"/>
      <w:divBdr>
        <w:top w:val="none" w:sz="0" w:space="0" w:color="auto"/>
        <w:left w:val="none" w:sz="0" w:space="0" w:color="auto"/>
        <w:bottom w:val="none" w:sz="0" w:space="0" w:color="auto"/>
        <w:right w:val="none" w:sz="0" w:space="0" w:color="auto"/>
      </w:divBdr>
    </w:div>
    <w:div w:id="1819565471">
      <w:bodyDiv w:val="1"/>
      <w:marLeft w:val="0"/>
      <w:marRight w:val="0"/>
      <w:marTop w:val="0"/>
      <w:marBottom w:val="0"/>
      <w:divBdr>
        <w:top w:val="none" w:sz="0" w:space="0" w:color="auto"/>
        <w:left w:val="none" w:sz="0" w:space="0" w:color="auto"/>
        <w:bottom w:val="none" w:sz="0" w:space="0" w:color="auto"/>
        <w:right w:val="none" w:sz="0" w:space="0" w:color="auto"/>
      </w:divBdr>
    </w:div>
    <w:div w:id="1840851903">
      <w:bodyDiv w:val="1"/>
      <w:marLeft w:val="0"/>
      <w:marRight w:val="0"/>
      <w:marTop w:val="0"/>
      <w:marBottom w:val="0"/>
      <w:divBdr>
        <w:top w:val="none" w:sz="0" w:space="0" w:color="auto"/>
        <w:left w:val="none" w:sz="0" w:space="0" w:color="auto"/>
        <w:bottom w:val="none" w:sz="0" w:space="0" w:color="auto"/>
        <w:right w:val="none" w:sz="0" w:space="0" w:color="auto"/>
      </w:divBdr>
    </w:div>
    <w:div w:id="1842500278">
      <w:bodyDiv w:val="1"/>
      <w:marLeft w:val="0"/>
      <w:marRight w:val="0"/>
      <w:marTop w:val="0"/>
      <w:marBottom w:val="0"/>
      <w:divBdr>
        <w:top w:val="none" w:sz="0" w:space="0" w:color="auto"/>
        <w:left w:val="none" w:sz="0" w:space="0" w:color="auto"/>
        <w:bottom w:val="none" w:sz="0" w:space="0" w:color="auto"/>
        <w:right w:val="none" w:sz="0" w:space="0" w:color="auto"/>
      </w:divBdr>
    </w:div>
    <w:div w:id="1843163267">
      <w:bodyDiv w:val="1"/>
      <w:marLeft w:val="0"/>
      <w:marRight w:val="0"/>
      <w:marTop w:val="0"/>
      <w:marBottom w:val="0"/>
      <w:divBdr>
        <w:top w:val="none" w:sz="0" w:space="0" w:color="auto"/>
        <w:left w:val="none" w:sz="0" w:space="0" w:color="auto"/>
        <w:bottom w:val="none" w:sz="0" w:space="0" w:color="auto"/>
        <w:right w:val="none" w:sz="0" w:space="0" w:color="auto"/>
      </w:divBdr>
    </w:div>
    <w:div w:id="1843816341">
      <w:bodyDiv w:val="1"/>
      <w:marLeft w:val="0"/>
      <w:marRight w:val="0"/>
      <w:marTop w:val="0"/>
      <w:marBottom w:val="0"/>
      <w:divBdr>
        <w:top w:val="none" w:sz="0" w:space="0" w:color="auto"/>
        <w:left w:val="none" w:sz="0" w:space="0" w:color="auto"/>
        <w:bottom w:val="none" w:sz="0" w:space="0" w:color="auto"/>
        <w:right w:val="none" w:sz="0" w:space="0" w:color="auto"/>
      </w:divBdr>
    </w:div>
    <w:div w:id="1853950976">
      <w:bodyDiv w:val="1"/>
      <w:marLeft w:val="0"/>
      <w:marRight w:val="0"/>
      <w:marTop w:val="0"/>
      <w:marBottom w:val="0"/>
      <w:divBdr>
        <w:top w:val="none" w:sz="0" w:space="0" w:color="auto"/>
        <w:left w:val="none" w:sz="0" w:space="0" w:color="auto"/>
        <w:bottom w:val="none" w:sz="0" w:space="0" w:color="auto"/>
        <w:right w:val="none" w:sz="0" w:space="0" w:color="auto"/>
      </w:divBdr>
    </w:div>
    <w:div w:id="1862156968">
      <w:bodyDiv w:val="1"/>
      <w:marLeft w:val="0"/>
      <w:marRight w:val="0"/>
      <w:marTop w:val="0"/>
      <w:marBottom w:val="0"/>
      <w:divBdr>
        <w:top w:val="none" w:sz="0" w:space="0" w:color="auto"/>
        <w:left w:val="none" w:sz="0" w:space="0" w:color="auto"/>
        <w:bottom w:val="none" w:sz="0" w:space="0" w:color="auto"/>
        <w:right w:val="none" w:sz="0" w:space="0" w:color="auto"/>
      </w:divBdr>
    </w:div>
    <w:div w:id="1862469953">
      <w:bodyDiv w:val="1"/>
      <w:marLeft w:val="0"/>
      <w:marRight w:val="0"/>
      <w:marTop w:val="0"/>
      <w:marBottom w:val="0"/>
      <w:divBdr>
        <w:top w:val="none" w:sz="0" w:space="0" w:color="auto"/>
        <w:left w:val="none" w:sz="0" w:space="0" w:color="auto"/>
        <w:bottom w:val="none" w:sz="0" w:space="0" w:color="auto"/>
        <w:right w:val="none" w:sz="0" w:space="0" w:color="auto"/>
      </w:divBdr>
    </w:div>
    <w:div w:id="1864051290">
      <w:bodyDiv w:val="1"/>
      <w:marLeft w:val="0"/>
      <w:marRight w:val="0"/>
      <w:marTop w:val="0"/>
      <w:marBottom w:val="0"/>
      <w:divBdr>
        <w:top w:val="none" w:sz="0" w:space="0" w:color="auto"/>
        <w:left w:val="none" w:sz="0" w:space="0" w:color="auto"/>
        <w:bottom w:val="none" w:sz="0" w:space="0" w:color="auto"/>
        <w:right w:val="none" w:sz="0" w:space="0" w:color="auto"/>
      </w:divBdr>
    </w:div>
    <w:div w:id="1877766316">
      <w:bodyDiv w:val="1"/>
      <w:marLeft w:val="0"/>
      <w:marRight w:val="0"/>
      <w:marTop w:val="0"/>
      <w:marBottom w:val="0"/>
      <w:divBdr>
        <w:top w:val="none" w:sz="0" w:space="0" w:color="auto"/>
        <w:left w:val="none" w:sz="0" w:space="0" w:color="auto"/>
        <w:bottom w:val="none" w:sz="0" w:space="0" w:color="auto"/>
        <w:right w:val="none" w:sz="0" w:space="0" w:color="auto"/>
      </w:divBdr>
    </w:div>
    <w:div w:id="1888570604">
      <w:bodyDiv w:val="1"/>
      <w:marLeft w:val="0"/>
      <w:marRight w:val="0"/>
      <w:marTop w:val="0"/>
      <w:marBottom w:val="0"/>
      <w:divBdr>
        <w:top w:val="none" w:sz="0" w:space="0" w:color="auto"/>
        <w:left w:val="none" w:sz="0" w:space="0" w:color="auto"/>
        <w:bottom w:val="none" w:sz="0" w:space="0" w:color="auto"/>
        <w:right w:val="none" w:sz="0" w:space="0" w:color="auto"/>
      </w:divBdr>
    </w:div>
    <w:div w:id="1893930019">
      <w:bodyDiv w:val="1"/>
      <w:marLeft w:val="0"/>
      <w:marRight w:val="0"/>
      <w:marTop w:val="0"/>
      <w:marBottom w:val="0"/>
      <w:divBdr>
        <w:top w:val="none" w:sz="0" w:space="0" w:color="auto"/>
        <w:left w:val="none" w:sz="0" w:space="0" w:color="auto"/>
        <w:bottom w:val="none" w:sz="0" w:space="0" w:color="auto"/>
        <w:right w:val="none" w:sz="0" w:space="0" w:color="auto"/>
      </w:divBdr>
    </w:div>
    <w:div w:id="1897817852">
      <w:bodyDiv w:val="1"/>
      <w:marLeft w:val="0"/>
      <w:marRight w:val="0"/>
      <w:marTop w:val="0"/>
      <w:marBottom w:val="0"/>
      <w:divBdr>
        <w:top w:val="none" w:sz="0" w:space="0" w:color="auto"/>
        <w:left w:val="none" w:sz="0" w:space="0" w:color="auto"/>
        <w:bottom w:val="none" w:sz="0" w:space="0" w:color="auto"/>
        <w:right w:val="none" w:sz="0" w:space="0" w:color="auto"/>
      </w:divBdr>
    </w:div>
    <w:div w:id="1901668865">
      <w:bodyDiv w:val="1"/>
      <w:marLeft w:val="0"/>
      <w:marRight w:val="0"/>
      <w:marTop w:val="0"/>
      <w:marBottom w:val="0"/>
      <w:divBdr>
        <w:top w:val="none" w:sz="0" w:space="0" w:color="auto"/>
        <w:left w:val="none" w:sz="0" w:space="0" w:color="auto"/>
        <w:bottom w:val="none" w:sz="0" w:space="0" w:color="auto"/>
        <w:right w:val="none" w:sz="0" w:space="0" w:color="auto"/>
      </w:divBdr>
    </w:div>
    <w:div w:id="1903638790">
      <w:bodyDiv w:val="1"/>
      <w:marLeft w:val="0"/>
      <w:marRight w:val="0"/>
      <w:marTop w:val="0"/>
      <w:marBottom w:val="0"/>
      <w:divBdr>
        <w:top w:val="none" w:sz="0" w:space="0" w:color="auto"/>
        <w:left w:val="none" w:sz="0" w:space="0" w:color="auto"/>
        <w:bottom w:val="none" w:sz="0" w:space="0" w:color="auto"/>
        <w:right w:val="none" w:sz="0" w:space="0" w:color="auto"/>
      </w:divBdr>
    </w:div>
    <w:div w:id="1917091035">
      <w:bodyDiv w:val="1"/>
      <w:marLeft w:val="0"/>
      <w:marRight w:val="0"/>
      <w:marTop w:val="0"/>
      <w:marBottom w:val="0"/>
      <w:divBdr>
        <w:top w:val="none" w:sz="0" w:space="0" w:color="auto"/>
        <w:left w:val="none" w:sz="0" w:space="0" w:color="auto"/>
        <w:bottom w:val="none" w:sz="0" w:space="0" w:color="auto"/>
        <w:right w:val="none" w:sz="0" w:space="0" w:color="auto"/>
      </w:divBdr>
    </w:div>
    <w:div w:id="1918781760">
      <w:bodyDiv w:val="1"/>
      <w:marLeft w:val="0"/>
      <w:marRight w:val="0"/>
      <w:marTop w:val="0"/>
      <w:marBottom w:val="0"/>
      <w:divBdr>
        <w:top w:val="none" w:sz="0" w:space="0" w:color="auto"/>
        <w:left w:val="none" w:sz="0" w:space="0" w:color="auto"/>
        <w:bottom w:val="none" w:sz="0" w:space="0" w:color="auto"/>
        <w:right w:val="none" w:sz="0" w:space="0" w:color="auto"/>
      </w:divBdr>
    </w:div>
    <w:div w:id="1923444529">
      <w:bodyDiv w:val="1"/>
      <w:marLeft w:val="0"/>
      <w:marRight w:val="0"/>
      <w:marTop w:val="0"/>
      <w:marBottom w:val="0"/>
      <w:divBdr>
        <w:top w:val="none" w:sz="0" w:space="0" w:color="auto"/>
        <w:left w:val="none" w:sz="0" w:space="0" w:color="auto"/>
        <w:bottom w:val="none" w:sz="0" w:space="0" w:color="auto"/>
        <w:right w:val="none" w:sz="0" w:space="0" w:color="auto"/>
      </w:divBdr>
    </w:div>
    <w:div w:id="1924997165">
      <w:bodyDiv w:val="1"/>
      <w:marLeft w:val="0"/>
      <w:marRight w:val="0"/>
      <w:marTop w:val="0"/>
      <w:marBottom w:val="0"/>
      <w:divBdr>
        <w:top w:val="none" w:sz="0" w:space="0" w:color="auto"/>
        <w:left w:val="none" w:sz="0" w:space="0" w:color="auto"/>
        <w:bottom w:val="none" w:sz="0" w:space="0" w:color="auto"/>
        <w:right w:val="none" w:sz="0" w:space="0" w:color="auto"/>
      </w:divBdr>
    </w:div>
    <w:div w:id="1936011372">
      <w:bodyDiv w:val="1"/>
      <w:marLeft w:val="0"/>
      <w:marRight w:val="0"/>
      <w:marTop w:val="0"/>
      <w:marBottom w:val="0"/>
      <w:divBdr>
        <w:top w:val="none" w:sz="0" w:space="0" w:color="auto"/>
        <w:left w:val="none" w:sz="0" w:space="0" w:color="auto"/>
        <w:bottom w:val="none" w:sz="0" w:space="0" w:color="auto"/>
        <w:right w:val="none" w:sz="0" w:space="0" w:color="auto"/>
      </w:divBdr>
    </w:div>
    <w:div w:id="1967544979">
      <w:bodyDiv w:val="1"/>
      <w:marLeft w:val="0"/>
      <w:marRight w:val="0"/>
      <w:marTop w:val="0"/>
      <w:marBottom w:val="0"/>
      <w:divBdr>
        <w:top w:val="none" w:sz="0" w:space="0" w:color="auto"/>
        <w:left w:val="none" w:sz="0" w:space="0" w:color="auto"/>
        <w:bottom w:val="none" w:sz="0" w:space="0" w:color="auto"/>
        <w:right w:val="none" w:sz="0" w:space="0" w:color="auto"/>
      </w:divBdr>
    </w:div>
    <w:div w:id="1971477304">
      <w:bodyDiv w:val="1"/>
      <w:marLeft w:val="0"/>
      <w:marRight w:val="0"/>
      <w:marTop w:val="0"/>
      <w:marBottom w:val="0"/>
      <w:divBdr>
        <w:top w:val="none" w:sz="0" w:space="0" w:color="auto"/>
        <w:left w:val="none" w:sz="0" w:space="0" w:color="auto"/>
        <w:bottom w:val="none" w:sz="0" w:space="0" w:color="auto"/>
        <w:right w:val="none" w:sz="0" w:space="0" w:color="auto"/>
      </w:divBdr>
    </w:div>
    <w:div w:id="1989943466">
      <w:bodyDiv w:val="1"/>
      <w:marLeft w:val="0"/>
      <w:marRight w:val="0"/>
      <w:marTop w:val="0"/>
      <w:marBottom w:val="0"/>
      <w:divBdr>
        <w:top w:val="none" w:sz="0" w:space="0" w:color="auto"/>
        <w:left w:val="none" w:sz="0" w:space="0" w:color="auto"/>
        <w:bottom w:val="none" w:sz="0" w:space="0" w:color="auto"/>
        <w:right w:val="none" w:sz="0" w:space="0" w:color="auto"/>
      </w:divBdr>
    </w:div>
    <w:div w:id="2021660699">
      <w:bodyDiv w:val="1"/>
      <w:marLeft w:val="0"/>
      <w:marRight w:val="0"/>
      <w:marTop w:val="0"/>
      <w:marBottom w:val="0"/>
      <w:divBdr>
        <w:top w:val="none" w:sz="0" w:space="0" w:color="auto"/>
        <w:left w:val="none" w:sz="0" w:space="0" w:color="auto"/>
        <w:bottom w:val="none" w:sz="0" w:space="0" w:color="auto"/>
        <w:right w:val="none" w:sz="0" w:space="0" w:color="auto"/>
      </w:divBdr>
    </w:div>
    <w:div w:id="2034384302">
      <w:bodyDiv w:val="1"/>
      <w:marLeft w:val="0"/>
      <w:marRight w:val="0"/>
      <w:marTop w:val="0"/>
      <w:marBottom w:val="0"/>
      <w:divBdr>
        <w:top w:val="none" w:sz="0" w:space="0" w:color="auto"/>
        <w:left w:val="none" w:sz="0" w:space="0" w:color="auto"/>
        <w:bottom w:val="none" w:sz="0" w:space="0" w:color="auto"/>
        <w:right w:val="none" w:sz="0" w:space="0" w:color="auto"/>
      </w:divBdr>
    </w:div>
    <w:div w:id="2034726953">
      <w:bodyDiv w:val="1"/>
      <w:marLeft w:val="0"/>
      <w:marRight w:val="0"/>
      <w:marTop w:val="0"/>
      <w:marBottom w:val="0"/>
      <w:divBdr>
        <w:top w:val="none" w:sz="0" w:space="0" w:color="auto"/>
        <w:left w:val="none" w:sz="0" w:space="0" w:color="auto"/>
        <w:bottom w:val="none" w:sz="0" w:space="0" w:color="auto"/>
        <w:right w:val="none" w:sz="0" w:space="0" w:color="auto"/>
      </w:divBdr>
    </w:div>
    <w:div w:id="2052343423">
      <w:bodyDiv w:val="1"/>
      <w:marLeft w:val="0"/>
      <w:marRight w:val="0"/>
      <w:marTop w:val="0"/>
      <w:marBottom w:val="0"/>
      <w:divBdr>
        <w:top w:val="none" w:sz="0" w:space="0" w:color="auto"/>
        <w:left w:val="none" w:sz="0" w:space="0" w:color="auto"/>
        <w:bottom w:val="none" w:sz="0" w:space="0" w:color="auto"/>
        <w:right w:val="none" w:sz="0" w:space="0" w:color="auto"/>
      </w:divBdr>
    </w:div>
    <w:div w:id="2052682111">
      <w:bodyDiv w:val="1"/>
      <w:marLeft w:val="0"/>
      <w:marRight w:val="0"/>
      <w:marTop w:val="0"/>
      <w:marBottom w:val="0"/>
      <w:divBdr>
        <w:top w:val="none" w:sz="0" w:space="0" w:color="auto"/>
        <w:left w:val="none" w:sz="0" w:space="0" w:color="auto"/>
        <w:bottom w:val="none" w:sz="0" w:space="0" w:color="auto"/>
        <w:right w:val="none" w:sz="0" w:space="0" w:color="auto"/>
      </w:divBdr>
    </w:div>
    <w:div w:id="2059890839">
      <w:bodyDiv w:val="1"/>
      <w:marLeft w:val="0"/>
      <w:marRight w:val="0"/>
      <w:marTop w:val="0"/>
      <w:marBottom w:val="0"/>
      <w:divBdr>
        <w:top w:val="none" w:sz="0" w:space="0" w:color="auto"/>
        <w:left w:val="none" w:sz="0" w:space="0" w:color="auto"/>
        <w:bottom w:val="none" w:sz="0" w:space="0" w:color="auto"/>
        <w:right w:val="none" w:sz="0" w:space="0" w:color="auto"/>
      </w:divBdr>
    </w:div>
    <w:div w:id="2060470365">
      <w:bodyDiv w:val="1"/>
      <w:marLeft w:val="0"/>
      <w:marRight w:val="0"/>
      <w:marTop w:val="0"/>
      <w:marBottom w:val="0"/>
      <w:divBdr>
        <w:top w:val="none" w:sz="0" w:space="0" w:color="auto"/>
        <w:left w:val="none" w:sz="0" w:space="0" w:color="auto"/>
        <w:bottom w:val="none" w:sz="0" w:space="0" w:color="auto"/>
        <w:right w:val="none" w:sz="0" w:space="0" w:color="auto"/>
      </w:divBdr>
    </w:div>
    <w:div w:id="2081250303">
      <w:bodyDiv w:val="1"/>
      <w:marLeft w:val="0"/>
      <w:marRight w:val="0"/>
      <w:marTop w:val="0"/>
      <w:marBottom w:val="0"/>
      <w:divBdr>
        <w:top w:val="none" w:sz="0" w:space="0" w:color="auto"/>
        <w:left w:val="none" w:sz="0" w:space="0" w:color="auto"/>
        <w:bottom w:val="none" w:sz="0" w:space="0" w:color="auto"/>
        <w:right w:val="none" w:sz="0" w:space="0" w:color="auto"/>
      </w:divBdr>
    </w:div>
    <w:div w:id="2086490395">
      <w:bodyDiv w:val="1"/>
      <w:marLeft w:val="0"/>
      <w:marRight w:val="0"/>
      <w:marTop w:val="0"/>
      <w:marBottom w:val="0"/>
      <w:divBdr>
        <w:top w:val="none" w:sz="0" w:space="0" w:color="auto"/>
        <w:left w:val="none" w:sz="0" w:space="0" w:color="auto"/>
        <w:bottom w:val="none" w:sz="0" w:space="0" w:color="auto"/>
        <w:right w:val="none" w:sz="0" w:space="0" w:color="auto"/>
      </w:divBdr>
    </w:div>
    <w:div w:id="2087334924">
      <w:bodyDiv w:val="1"/>
      <w:marLeft w:val="0"/>
      <w:marRight w:val="0"/>
      <w:marTop w:val="0"/>
      <w:marBottom w:val="0"/>
      <w:divBdr>
        <w:top w:val="none" w:sz="0" w:space="0" w:color="auto"/>
        <w:left w:val="none" w:sz="0" w:space="0" w:color="auto"/>
        <w:bottom w:val="none" w:sz="0" w:space="0" w:color="auto"/>
        <w:right w:val="none" w:sz="0" w:space="0" w:color="auto"/>
      </w:divBdr>
    </w:div>
    <w:div w:id="2097094429">
      <w:bodyDiv w:val="1"/>
      <w:marLeft w:val="0"/>
      <w:marRight w:val="0"/>
      <w:marTop w:val="0"/>
      <w:marBottom w:val="0"/>
      <w:divBdr>
        <w:top w:val="none" w:sz="0" w:space="0" w:color="auto"/>
        <w:left w:val="none" w:sz="0" w:space="0" w:color="auto"/>
        <w:bottom w:val="none" w:sz="0" w:space="0" w:color="auto"/>
        <w:right w:val="none" w:sz="0" w:space="0" w:color="auto"/>
      </w:divBdr>
    </w:div>
    <w:div w:id="2103597858">
      <w:bodyDiv w:val="1"/>
      <w:marLeft w:val="0"/>
      <w:marRight w:val="0"/>
      <w:marTop w:val="0"/>
      <w:marBottom w:val="0"/>
      <w:divBdr>
        <w:top w:val="none" w:sz="0" w:space="0" w:color="auto"/>
        <w:left w:val="none" w:sz="0" w:space="0" w:color="auto"/>
        <w:bottom w:val="none" w:sz="0" w:space="0" w:color="auto"/>
        <w:right w:val="none" w:sz="0" w:space="0" w:color="auto"/>
      </w:divBdr>
    </w:div>
    <w:div w:id="2103649570">
      <w:bodyDiv w:val="1"/>
      <w:marLeft w:val="0"/>
      <w:marRight w:val="0"/>
      <w:marTop w:val="0"/>
      <w:marBottom w:val="0"/>
      <w:divBdr>
        <w:top w:val="none" w:sz="0" w:space="0" w:color="auto"/>
        <w:left w:val="none" w:sz="0" w:space="0" w:color="auto"/>
        <w:bottom w:val="none" w:sz="0" w:space="0" w:color="auto"/>
        <w:right w:val="none" w:sz="0" w:space="0" w:color="auto"/>
      </w:divBdr>
    </w:div>
    <w:div w:id="2106993674">
      <w:bodyDiv w:val="1"/>
      <w:marLeft w:val="0"/>
      <w:marRight w:val="0"/>
      <w:marTop w:val="0"/>
      <w:marBottom w:val="0"/>
      <w:divBdr>
        <w:top w:val="none" w:sz="0" w:space="0" w:color="auto"/>
        <w:left w:val="none" w:sz="0" w:space="0" w:color="auto"/>
        <w:bottom w:val="none" w:sz="0" w:space="0" w:color="auto"/>
        <w:right w:val="none" w:sz="0" w:space="0" w:color="auto"/>
      </w:divBdr>
    </w:div>
    <w:div w:id="2107798809">
      <w:bodyDiv w:val="1"/>
      <w:marLeft w:val="0"/>
      <w:marRight w:val="0"/>
      <w:marTop w:val="0"/>
      <w:marBottom w:val="0"/>
      <w:divBdr>
        <w:top w:val="none" w:sz="0" w:space="0" w:color="auto"/>
        <w:left w:val="none" w:sz="0" w:space="0" w:color="auto"/>
        <w:bottom w:val="none" w:sz="0" w:space="0" w:color="auto"/>
        <w:right w:val="none" w:sz="0" w:space="0" w:color="auto"/>
      </w:divBdr>
    </w:div>
    <w:div w:id="2122648873">
      <w:bodyDiv w:val="1"/>
      <w:marLeft w:val="0"/>
      <w:marRight w:val="0"/>
      <w:marTop w:val="0"/>
      <w:marBottom w:val="0"/>
      <w:divBdr>
        <w:top w:val="none" w:sz="0" w:space="0" w:color="auto"/>
        <w:left w:val="none" w:sz="0" w:space="0" w:color="auto"/>
        <w:bottom w:val="none" w:sz="0" w:space="0" w:color="auto"/>
        <w:right w:val="none" w:sz="0" w:space="0" w:color="auto"/>
      </w:divBdr>
    </w:div>
    <w:div w:id="2126465421">
      <w:bodyDiv w:val="1"/>
      <w:marLeft w:val="0"/>
      <w:marRight w:val="0"/>
      <w:marTop w:val="0"/>
      <w:marBottom w:val="0"/>
      <w:divBdr>
        <w:top w:val="none" w:sz="0" w:space="0" w:color="auto"/>
        <w:left w:val="none" w:sz="0" w:space="0" w:color="auto"/>
        <w:bottom w:val="none" w:sz="0" w:space="0" w:color="auto"/>
        <w:right w:val="none" w:sz="0" w:space="0" w:color="auto"/>
      </w:divBdr>
    </w:div>
    <w:div w:id="2139107617">
      <w:bodyDiv w:val="1"/>
      <w:marLeft w:val="0"/>
      <w:marRight w:val="0"/>
      <w:marTop w:val="0"/>
      <w:marBottom w:val="0"/>
      <w:divBdr>
        <w:top w:val="none" w:sz="0" w:space="0" w:color="auto"/>
        <w:left w:val="none" w:sz="0" w:space="0" w:color="auto"/>
        <w:bottom w:val="none" w:sz="0" w:space="0" w:color="auto"/>
        <w:right w:val="none" w:sz="0" w:space="0" w:color="auto"/>
      </w:divBdr>
    </w:div>
    <w:div w:id="21396462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risma-statement.org/"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B606FB-4264-4E16-92AB-BDBA3C19CC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23</Pages>
  <Words>5739</Words>
  <Characters>32713</Characters>
  <Application>Microsoft Office Word</Application>
  <DocSecurity>0</DocSecurity>
  <Lines>272</Lines>
  <Paragraphs>76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38376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 h</dc:creator>
  <cp:keywords/>
  <dc:description/>
  <cp:lastModifiedBy>masakitakeuchi51@gmail.com</cp:lastModifiedBy>
  <cp:revision>4</cp:revision>
  <cp:lastPrinted>2022-02-07T05:41:00Z</cp:lastPrinted>
  <dcterms:created xsi:type="dcterms:W3CDTF">2022-05-15T15:06:00Z</dcterms:created>
  <dcterms:modified xsi:type="dcterms:W3CDTF">2022-05-16T00:05:00Z</dcterms:modified>
</cp:coreProperties>
</file>