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9413B2C" w14:textId="77777777" w:rsidR="00A166B4" w:rsidRPr="00DD536A" w:rsidRDefault="00A166B4" w:rsidP="00A166B4">
      <w:pPr>
        <w:jc w:val="center"/>
        <w:rPr>
          <w:b/>
          <w:u w:val="single"/>
        </w:rPr>
      </w:pPr>
      <w:r w:rsidRPr="00DD536A">
        <w:rPr>
          <w:b/>
          <w:u w:val="single"/>
        </w:rPr>
        <w:t>Supplementary material S3 – Behavioural classification and cross validation</w:t>
      </w:r>
    </w:p>
    <w:p w14:paraId="7208CA3D" w14:textId="23F4F250" w:rsidR="001402E1" w:rsidRPr="001402E1" w:rsidRDefault="001402E1" w:rsidP="001402E1">
      <w:pPr>
        <w:pStyle w:val="Heading2"/>
        <w:rPr>
          <w:lang w:val="en-DE"/>
        </w:rPr>
      </w:pPr>
      <w:r w:rsidRPr="00DD536A">
        <w:rPr>
          <w:lang w:val="en-DE"/>
        </w:rPr>
        <w:t xml:space="preserve">Information on </w:t>
      </w:r>
      <w:r>
        <w:rPr>
          <w:lang w:val="en-DE"/>
        </w:rPr>
        <w:t>accelerometers and collar attachment</w:t>
      </w:r>
    </w:p>
    <w:p w14:paraId="1B7BD793" w14:textId="77777777" w:rsidR="00A73B9C" w:rsidRDefault="001402E1" w:rsidP="00B8116E">
      <w:pPr>
        <w:spacing w:line="480" w:lineRule="auto"/>
        <w:jc w:val="both"/>
        <w:rPr>
          <w:lang w:val="en-DE" w:eastAsia="de-DE"/>
        </w:rPr>
      </w:pPr>
      <w:r w:rsidRPr="001402E1">
        <w:rPr>
          <w:lang w:val="en-GB" w:eastAsia="de-DE"/>
        </w:rPr>
        <w:t xml:space="preserve">The main reason animal behaviours have not been subject to closer inspection arises from the difficulties inherent in quantifying the behaviours of free-ranging animals. Historically, it has been impossible to constantly observe wildlife, especially over longer time periods and during the night. Modern GPS telemetry with integrated biologging devices, such as tri-axial accelerometers, provide the opportunity to continuously observe the behaviour of free-ranging animals </w:t>
      </w:r>
      <w:sdt>
        <w:sdtPr>
          <w:rPr>
            <w:lang w:val="en-GB" w:eastAsia="de-DE"/>
          </w:rPr>
          <w:tag w:val="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"/>
          <w:id w:val="1509864836"/>
          <w:placeholder>
            <w:docPart w:val="B41D013375A04D6BB09AA9821AD7B2DB"/>
          </w:placeholder>
        </w:sdtPr>
        <w:sdtEndPr>
          <w:rPr>
            <w:lang w:eastAsia="en-US"/>
          </w:rPr>
        </w:sdtEndPr>
        <w:sdtContent>
          <w:r w:rsidRPr="001402E1">
            <w:rPr>
              <w:lang w:val="en-GB"/>
            </w:rPr>
            <w:t xml:space="preserve">(Shepard et al. 2008; Wilson et al. 2008, 2016; </w:t>
          </w:r>
          <w:proofErr w:type="spellStart"/>
          <w:r w:rsidRPr="001402E1">
            <w:rPr>
              <w:lang w:val="en-GB"/>
            </w:rPr>
            <w:t>Resheff</w:t>
          </w:r>
          <w:proofErr w:type="spellEnd"/>
          <w:r w:rsidRPr="001402E1">
            <w:rPr>
              <w:lang w:val="en-GB"/>
            </w:rPr>
            <w:t xml:space="preserve"> et al. 2014; Scharf et al. 2016)</w:t>
          </w:r>
        </w:sdtContent>
      </w:sdt>
      <w:r w:rsidRPr="001402E1">
        <w:rPr>
          <w:lang w:val="en-GB" w:eastAsia="de-DE"/>
        </w:rPr>
        <w:t>.  The most important advantage of accelerometers is that movement information can be sampled on a regular basis, supplying almost continuous observations of the animals’ activities.</w:t>
      </w:r>
      <w:r>
        <w:rPr>
          <w:lang w:val="en-DE" w:eastAsia="de-DE"/>
        </w:rPr>
        <w:t xml:space="preserve"> </w:t>
      </w:r>
    </w:p>
    <w:p w14:paraId="11BF5B2D" w14:textId="1C704E62" w:rsidR="001402E1" w:rsidRPr="001402E1" w:rsidRDefault="001402E1" w:rsidP="00B8116E">
      <w:pPr>
        <w:spacing w:line="480" w:lineRule="auto"/>
        <w:jc w:val="both"/>
      </w:pPr>
      <w:bookmarkStart w:id="0" w:name="_GoBack"/>
      <w:bookmarkEnd w:id="0"/>
      <w:r w:rsidRPr="00DD536A">
        <w:t>We attached the collars</w:t>
      </w:r>
      <w:r w:rsidR="00FF24B5">
        <w:rPr>
          <w:lang w:val="en-DE"/>
        </w:rPr>
        <w:t xml:space="preserve"> with the internal accelerometer</w:t>
      </w:r>
      <w:r w:rsidRPr="00DD536A">
        <w:t xml:space="preserve"> to the animals’ neck, taking care that all collars were attached in such a way that one finger fit easily (but not loosely) between the hares’ neck and the collar (Dickinson et al. 2020). We furthermore positioned the sensor unit so that the position on the animal was comparable between individuals. The collar could move around the neck, but as it was balanced by the heavier battery it usually stayed in the starting position after e.g. scratching and moving the collar around the neck.</w:t>
      </w:r>
    </w:p>
    <w:p w14:paraId="296D2F1F" w14:textId="291ADC13" w:rsidR="00B8116E" w:rsidRPr="00DD536A" w:rsidRDefault="00B8116E" w:rsidP="00B8116E">
      <w:pPr>
        <w:pStyle w:val="Heading2"/>
        <w:rPr>
          <w:lang w:val="en-DE"/>
        </w:rPr>
      </w:pPr>
      <w:r w:rsidRPr="00DD536A">
        <w:rPr>
          <w:lang w:val="en-DE"/>
        </w:rPr>
        <w:t>Number of observed behaviours</w:t>
      </w:r>
    </w:p>
    <w:p w14:paraId="524DB86A" w14:textId="3B048B63" w:rsidR="009C36BD" w:rsidRPr="00DD536A" w:rsidRDefault="009C36BD" w:rsidP="009C36BD">
      <w:pPr>
        <w:spacing w:line="240" w:lineRule="auto"/>
        <w:jc w:val="both"/>
        <w:rPr>
          <w:lang w:eastAsia="de-DE"/>
        </w:rPr>
      </w:pPr>
      <w:r w:rsidRPr="00DD536A">
        <w:rPr>
          <w:b/>
          <w:lang w:eastAsia="de-DE"/>
        </w:rPr>
        <w:t xml:space="preserve">Table </w:t>
      </w:r>
      <w:r w:rsidR="00B8116E" w:rsidRPr="00DD536A">
        <w:rPr>
          <w:b/>
          <w:lang w:eastAsia="de-DE"/>
        </w:rPr>
        <w:t>S3.</w:t>
      </w:r>
      <w:r w:rsidRPr="00DD536A">
        <w:rPr>
          <w:b/>
          <w:lang w:eastAsia="de-DE"/>
        </w:rPr>
        <w:t>1</w:t>
      </w:r>
      <w:r w:rsidRPr="00DD536A">
        <w:rPr>
          <w:lang w:eastAsia="de-DE"/>
        </w:rPr>
        <w:t xml:space="preserve"> The number of observed behaviours within each behavioural mode (resting, moving, foraging, grooming and vigilance behaviour) per hare that were matched to the according acceleration burst and used to train (and test, in case of hare 4) the random forest.</w:t>
      </w:r>
    </w:p>
    <w:tbl>
      <w:tblPr>
        <w:tblW w:w="9273" w:type="dxa"/>
        <w:tblLook w:val="04A0" w:firstRow="1" w:lastRow="0" w:firstColumn="1" w:lastColumn="0" w:noHBand="0" w:noVBand="1"/>
      </w:tblPr>
      <w:tblGrid>
        <w:gridCol w:w="2125"/>
        <w:gridCol w:w="1136"/>
        <w:gridCol w:w="1503"/>
        <w:gridCol w:w="1503"/>
        <w:gridCol w:w="1503"/>
        <w:gridCol w:w="1503"/>
      </w:tblGrid>
      <w:tr w:rsidR="009C36BD" w:rsidRPr="00DD536A" w14:paraId="137EE83C" w14:textId="77777777" w:rsidTr="009C36BD">
        <w:tc>
          <w:tcPr>
            <w:tcW w:w="2125" w:type="dxa"/>
            <w:tcBorders>
              <w:top w:val="single" w:sz="4" w:space="0" w:color="auto"/>
              <w:bottom w:val="single" w:sz="4" w:space="0" w:color="auto"/>
            </w:tcBorders>
          </w:tcPr>
          <w:p w14:paraId="0AA89F71" w14:textId="77777777" w:rsidR="009C36BD" w:rsidRPr="00DD536A" w:rsidRDefault="009C36BD" w:rsidP="00B940C4">
            <w:pPr>
              <w:jc w:val="center"/>
            </w:pPr>
            <w:r w:rsidRPr="00DD536A">
              <w:t>Individual</w:t>
            </w:r>
          </w:p>
        </w:tc>
        <w:tc>
          <w:tcPr>
            <w:tcW w:w="1136" w:type="dxa"/>
            <w:tcBorders>
              <w:top w:val="single" w:sz="4" w:space="0" w:color="auto"/>
              <w:bottom w:val="single" w:sz="4" w:space="0" w:color="auto"/>
            </w:tcBorders>
            <w:vAlign w:val="center"/>
          </w:tcPr>
          <w:p w14:paraId="01F958DE" w14:textId="77777777" w:rsidR="009C36BD" w:rsidRPr="00DD536A" w:rsidRDefault="009C36BD" w:rsidP="009C36BD">
            <w:pPr>
              <w:jc w:val="right"/>
            </w:pPr>
            <w:r w:rsidRPr="00DD536A">
              <w:t># Resting</w:t>
            </w:r>
          </w:p>
        </w:tc>
        <w:tc>
          <w:tcPr>
            <w:tcW w:w="1503" w:type="dxa"/>
            <w:tcBorders>
              <w:top w:val="single" w:sz="4" w:space="0" w:color="auto"/>
              <w:bottom w:val="single" w:sz="4" w:space="0" w:color="auto"/>
            </w:tcBorders>
            <w:vAlign w:val="center"/>
          </w:tcPr>
          <w:p w14:paraId="55D2F392" w14:textId="77777777" w:rsidR="009C36BD" w:rsidRPr="00DD536A" w:rsidRDefault="009C36BD" w:rsidP="009C36BD">
            <w:pPr>
              <w:ind w:left="30" w:hanging="30"/>
              <w:jc w:val="right"/>
            </w:pPr>
            <w:r w:rsidRPr="00DD536A">
              <w:t># Moving</w:t>
            </w:r>
          </w:p>
        </w:tc>
        <w:tc>
          <w:tcPr>
            <w:tcW w:w="1503" w:type="dxa"/>
            <w:tcBorders>
              <w:top w:val="single" w:sz="4" w:space="0" w:color="auto"/>
              <w:bottom w:val="single" w:sz="4" w:space="0" w:color="auto"/>
            </w:tcBorders>
            <w:vAlign w:val="center"/>
          </w:tcPr>
          <w:p w14:paraId="18D7075A" w14:textId="77777777" w:rsidR="009C36BD" w:rsidRPr="00DD536A" w:rsidRDefault="009C36BD" w:rsidP="009C36BD">
            <w:pPr>
              <w:jc w:val="right"/>
            </w:pPr>
            <w:r w:rsidRPr="00DD536A">
              <w:t># Foraging</w:t>
            </w:r>
          </w:p>
        </w:tc>
        <w:tc>
          <w:tcPr>
            <w:tcW w:w="1503" w:type="dxa"/>
            <w:tcBorders>
              <w:top w:val="single" w:sz="4" w:space="0" w:color="auto"/>
              <w:bottom w:val="single" w:sz="4" w:space="0" w:color="auto"/>
            </w:tcBorders>
            <w:vAlign w:val="center"/>
          </w:tcPr>
          <w:p w14:paraId="0C41D3FA" w14:textId="77777777" w:rsidR="009C36BD" w:rsidRPr="00DD536A" w:rsidRDefault="009C36BD" w:rsidP="009C36BD">
            <w:pPr>
              <w:jc w:val="right"/>
            </w:pPr>
            <w:r w:rsidRPr="00DD536A">
              <w:t># Grooming</w:t>
            </w:r>
          </w:p>
        </w:tc>
        <w:tc>
          <w:tcPr>
            <w:tcW w:w="1503" w:type="dxa"/>
            <w:tcBorders>
              <w:top w:val="single" w:sz="4" w:space="0" w:color="auto"/>
              <w:bottom w:val="single" w:sz="4" w:space="0" w:color="auto"/>
            </w:tcBorders>
            <w:vAlign w:val="center"/>
          </w:tcPr>
          <w:p w14:paraId="546DCDD9" w14:textId="77777777" w:rsidR="009C36BD" w:rsidRPr="00DD536A" w:rsidRDefault="009C36BD" w:rsidP="009C36BD">
            <w:pPr>
              <w:jc w:val="right"/>
            </w:pPr>
            <w:r w:rsidRPr="00DD536A">
              <w:t># Vigilance</w:t>
            </w:r>
          </w:p>
        </w:tc>
      </w:tr>
      <w:tr w:rsidR="009C36BD" w:rsidRPr="00DD536A" w14:paraId="466E3A85" w14:textId="77777777" w:rsidTr="009C36BD">
        <w:tc>
          <w:tcPr>
            <w:tcW w:w="2125" w:type="dxa"/>
            <w:tcBorders>
              <w:top w:val="single" w:sz="4" w:space="0" w:color="auto"/>
            </w:tcBorders>
          </w:tcPr>
          <w:p w14:paraId="069FF694" w14:textId="77777777" w:rsidR="009C36BD" w:rsidRPr="00DD536A" w:rsidRDefault="009C36BD" w:rsidP="00B940C4">
            <w:pPr>
              <w:jc w:val="center"/>
            </w:pPr>
            <w:r w:rsidRPr="00DD536A">
              <w:t>Hare 1 - enclosure</w:t>
            </w:r>
          </w:p>
        </w:tc>
        <w:tc>
          <w:tcPr>
            <w:tcW w:w="1136" w:type="dxa"/>
            <w:tcBorders>
              <w:top w:val="single" w:sz="4" w:space="0" w:color="auto"/>
            </w:tcBorders>
          </w:tcPr>
          <w:p w14:paraId="41C348C2" w14:textId="77777777" w:rsidR="009C36BD" w:rsidRPr="00DD536A" w:rsidRDefault="009C36BD" w:rsidP="00B940C4">
            <w:pPr>
              <w:jc w:val="right"/>
            </w:pPr>
            <w:r w:rsidRPr="00DD536A">
              <w:t>730</w:t>
            </w:r>
          </w:p>
        </w:tc>
        <w:tc>
          <w:tcPr>
            <w:tcW w:w="1503" w:type="dxa"/>
            <w:tcBorders>
              <w:top w:val="single" w:sz="4" w:space="0" w:color="auto"/>
            </w:tcBorders>
          </w:tcPr>
          <w:p w14:paraId="7BCB0EC4" w14:textId="77777777" w:rsidR="009C36BD" w:rsidRPr="00DD536A" w:rsidRDefault="009C36BD" w:rsidP="00B940C4">
            <w:pPr>
              <w:jc w:val="right"/>
            </w:pPr>
            <w:r w:rsidRPr="00DD536A">
              <w:t>379</w:t>
            </w:r>
          </w:p>
        </w:tc>
        <w:tc>
          <w:tcPr>
            <w:tcW w:w="1503" w:type="dxa"/>
            <w:tcBorders>
              <w:top w:val="single" w:sz="4" w:space="0" w:color="auto"/>
            </w:tcBorders>
          </w:tcPr>
          <w:p w14:paraId="380282AB" w14:textId="77777777" w:rsidR="009C36BD" w:rsidRPr="00DD536A" w:rsidRDefault="009C36BD" w:rsidP="00B940C4">
            <w:pPr>
              <w:jc w:val="right"/>
            </w:pPr>
            <w:r w:rsidRPr="00DD536A">
              <w:t>190</w:t>
            </w:r>
          </w:p>
        </w:tc>
        <w:tc>
          <w:tcPr>
            <w:tcW w:w="1503" w:type="dxa"/>
            <w:tcBorders>
              <w:top w:val="single" w:sz="4" w:space="0" w:color="auto"/>
            </w:tcBorders>
          </w:tcPr>
          <w:p w14:paraId="535BB190" w14:textId="77777777" w:rsidR="009C36BD" w:rsidRPr="00DD536A" w:rsidRDefault="009C36BD" w:rsidP="00B940C4">
            <w:pPr>
              <w:jc w:val="right"/>
            </w:pPr>
            <w:r w:rsidRPr="00DD536A">
              <w:t>96</w:t>
            </w:r>
          </w:p>
        </w:tc>
        <w:tc>
          <w:tcPr>
            <w:tcW w:w="1503" w:type="dxa"/>
            <w:tcBorders>
              <w:top w:val="single" w:sz="4" w:space="0" w:color="auto"/>
            </w:tcBorders>
          </w:tcPr>
          <w:p w14:paraId="7FB7BA2D" w14:textId="77777777" w:rsidR="009C36BD" w:rsidRPr="00DD536A" w:rsidRDefault="009C36BD" w:rsidP="00B940C4">
            <w:pPr>
              <w:jc w:val="right"/>
            </w:pPr>
            <w:r w:rsidRPr="00DD536A">
              <w:t>138</w:t>
            </w:r>
          </w:p>
        </w:tc>
      </w:tr>
      <w:tr w:rsidR="009C36BD" w:rsidRPr="00DD536A" w14:paraId="4E6F549B" w14:textId="77777777" w:rsidTr="009C36BD">
        <w:tc>
          <w:tcPr>
            <w:tcW w:w="2125" w:type="dxa"/>
          </w:tcPr>
          <w:p w14:paraId="0DC7E8FF" w14:textId="77777777" w:rsidR="009C36BD" w:rsidRPr="00DD536A" w:rsidRDefault="009C36BD" w:rsidP="00B940C4">
            <w:pPr>
              <w:jc w:val="center"/>
            </w:pPr>
            <w:r w:rsidRPr="00DD536A">
              <w:t>Hare 2 - enclosure</w:t>
            </w:r>
          </w:p>
        </w:tc>
        <w:tc>
          <w:tcPr>
            <w:tcW w:w="1136" w:type="dxa"/>
          </w:tcPr>
          <w:p w14:paraId="49422899" w14:textId="77777777" w:rsidR="009C36BD" w:rsidRPr="00DD536A" w:rsidRDefault="009C36BD" w:rsidP="00B940C4">
            <w:pPr>
              <w:jc w:val="right"/>
            </w:pPr>
            <w:r w:rsidRPr="00DD536A">
              <w:t>16</w:t>
            </w:r>
          </w:p>
        </w:tc>
        <w:tc>
          <w:tcPr>
            <w:tcW w:w="1503" w:type="dxa"/>
          </w:tcPr>
          <w:p w14:paraId="0A1C44A3" w14:textId="77777777" w:rsidR="009C36BD" w:rsidRPr="00DD536A" w:rsidRDefault="009C36BD" w:rsidP="00B940C4">
            <w:pPr>
              <w:jc w:val="right"/>
            </w:pPr>
            <w:r w:rsidRPr="00DD536A">
              <w:t>80</w:t>
            </w:r>
          </w:p>
        </w:tc>
        <w:tc>
          <w:tcPr>
            <w:tcW w:w="1503" w:type="dxa"/>
          </w:tcPr>
          <w:p w14:paraId="7981C687" w14:textId="77777777" w:rsidR="009C36BD" w:rsidRPr="00DD536A" w:rsidRDefault="009C36BD" w:rsidP="00B940C4">
            <w:pPr>
              <w:jc w:val="right"/>
            </w:pPr>
            <w:r w:rsidRPr="00DD536A">
              <w:t>88</w:t>
            </w:r>
          </w:p>
        </w:tc>
        <w:tc>
          <w:tcPr>
            <w:tcW w:w="1503" w:type="dxa"/>
          </w:tcPr>
          <w:p w14:paraId="02AA146B" w14:textId="77777777" w:rsidR="009C36BD" w:rsidRPr="00DD536A" w:rsidRDefault="009C36BD" w:rsidP="00B940C4">
            <w:pPr>
              <w:jc w:val="right"/>
            </w:pPr>
            <w:r w:rsidRPr="00DD536A">
              <w:t>1</w:t>
            </w:r>
          </w:p>
        </w:tc>
        <w:tc>
          <w:tcPr>
            <w:tcW w:w="1503" w:type="dxa"/>
          </w:tcPr>
          <w:p w14:paraId="51DE0B96" w14:textId="77777777" w:rsidR="009C36BD" w:rsidRPr="00DD536A" w:rsidRDefault="009C36BD" w:rsidP="00B940C4">
            <w:pPr>
              <w:jc w:val="right"/>
            </w:pPr>
            <w:r w:rsidRPr="00DD536A">
              <w:t>15</w:t>
            </w:r>
          </w:p>
        </w:tc>
      </w:tr>
      <w:tr w:rsidR="009C36BD" w:rsidRPr="00DD536A" w14:paraId="6F7C9361" w14:textId="77777777" w:rsidTr="009C36BD">
        <w:tc>
          <w:tcPr>
            <w:tcW w:w="2125" w:type="dxa"/>
          </w:tcPr>
          <w:p w14:paraId="200DAA5C" w14:textId="77777777" w:rsidR="009C36BD" w:rsidRPr="00DD536A" w:rsidRDefault="009C36BD" w:rsidP="00B940C4">
            <w:pPr>
              <w:jc w:val="center"/>
            </w:pPr>
            <w:r w:rsidRPr="00DD536A">
              <w:t>Hare 3 - free-ranging</w:t>
            </w:r>
          </w:p>
        </w:tc>
        <w:tc>
          <w:tcPr>
            <w:tcW w:w="1136" w:type="dxa"/>
          </w:tcPr>
          <w:p w14:paraId="474D3C0D" w14:textId="77777777" w:rsidR="009C36BD" w:rsidRPr="00DD536A" w:rsidRDefault="009C36BD" w:rsidP="00B940C4">
            <w:pPr>
              <w:jc w:val="right"/>
            </w:pPr>
            <w:r w:rsidRPr="00DD536A">
              <w:t>455</w:t>
            </w:r>
          </w:p>
        </w:tc>
        <w:tc>
          <w:tcPr>
            <w:tcW w:w="1503" w:type="dxa"/>
          </w:tcPr>
          <w:p w14:paraId="79059423" w14:textId="77777777" w:rsidR="009C36BD" w:rsidRPr="00DD536A" w:rsidRDefault="009C36BD" w:rsidP="00B940C4">
            <w:pPr>
              <w:jc w:val="right"/>
            </w:pPr>
            <w:r w:rsidRPr="00DD536A">
              <w:t>25</w:t>
            </w:r>
          </w:p>
        </w:tc>
        <w:tc>
          <w:tcPr>
            <w:tcW w:w="1503" w:type="dxa"/>
          </w:tcPr>
          <w:p w14:paraId="6611059D" w14:textId="77777777" w:rsidR="009C36BD" w:rsidRPr="00DD536A" w:rsidRDefault="009C36BD" w:rsidP="00B940C4">
            <w:pPr>
              <w:jc w:val="right"/>
            </w:pPr>
            <w:r w:rsidRPr="00DD536A">
              <w:t>4</w:t>
            </w:r>
          </w:p>
        </w:tc>
        <w:tc>
          <w:tcPr>
            <w:tcW w:w="1503" w:type="dxa"/>
          </w:tcPr>
          <w:p w14:paraId="36113E77" w14:textId="77777777" w:rsidR="009C36BD" w:rsidRPr="00DD536A" w:rsidRDefault="009C36BD" w:rsidP="00B940C4">
            <w:pPr>
              <w:jc w:val="right"/>
            </w:pPr>
            <w:r w:rsidRPr="00DD536A">
              <w:t>107</w:t>
            </w:r>
          </w:p>
        </w:tc>
        <w:tc>
          <w:tcPr>
            <w:tcW w:w="1503" w:type="dxa"/>
          </w:tcPr>
          <w:p w14:paraId="4E961A52" w14:textId="77777777" w:rsidR="009C36BD" w:rsidRPr="00DD536A" w:rsidRDefault="009C36BD" w:rsidP="00B940C4">
            <w:pPr>
              <w:jc w:val="right"/>
            </w:pPr>
            <w:r w:rsidRPr="00DD536A">
              <w:t>0</w:t>
            </w:r>
          </w:p>
        </w:tc>
      </w:tr>
      <w:tr w:rsidR="009C36BD" w:rsidRPr="00DD536A" w14:paraId="3EFEDEEC" w14:textId="77777777" w:rsidTr="009C36BD">
        <w:tc>
          <w:tcPr>
            <w:tcW w:w="2125" w:type="dxa"/>
            <w:tcBorders>
              <w:bottom w:val="single" w:sz="4" w:space="0" w:color="auto"/>
            </w:tcBorders>
          </w:tcPr>
          <w:p w14:paraId="192ED70B" w14:textId="77777777" w:rsidR="009C36BD" w:rsidRPr="00DD536A" w:rsidRDefault="009C36BD" w:rsidP="00B940C4">
            <w:pPr>
              <w:jc w:val="center"/>
            </w:pPr>
            <w:r w:rsidRPr="00DD536A">
              <w:t>Hare 4 - free-ranging</w:t>
            </w:r>
          </w:p>
        </w:tc>
        <w:tc>
          <w:tcPr>
            <w:tcW w:w="1136" w:type="dxa"/>
            <w:tcBorders>
              <w:bottom w:val="single" w:sz="4" w:space="0" w:color="auto"/>
            </w:tcBorders>
          </w:tcPr>
          <w:p w14:paraId="34FC7C91" w14:textId="77777777" w:rsidR="009C36BD" w:rsidRPr="00DD536A" w:rsidRDefault="009C36BD" w:rsidP="00B940C4">
            <w:pPr>
              <w:jc w:val="right"/>
            </w:pPr>
            <w:r w:rsidRPr="00DD536A">
              <w:t>1444</w:t>
            </w:r>
          </w:p>
        </w:tc>
        <w:tc>
          <w:tcPr>
            <w:tcW w:w="1503" w:type="dxa"/>
            <w:tcBorders>
              <w:bottom w:val="single" w:sz="4" w:space="0" w:color="auto"/>
            </w:tcBorders>
          </w:tcPr>
          <w:p w14:paraId="554389A9" w14:textId="77777777" w:rsidR="009C36BD" w:rsidRPr="00DD536A" w:rsidRDefault="009C36BD" w:rsidP="00B940C4">
            <w:pPr>
              <w:jc w:val="right"/>
            </w:pPr>
            <w:r w:rsidRPr="00DD536A">
              <w:t>88</w:t>
            </w:r>
          </w:p>
        </w:tc>
        <w:tc>
          <w:tcPr>
            <w:tcW w:w="1503" w:type="dxa"/>
            <w:tcBorders>
              <w:bottom w:val="single" w:sz="4" w:space="0" w:color="auto"/>
            </w:tcBorders>
          </w:tcPr>
          <w:p w14:paraId="1B050112" w14:textId="77777777" w:rsidR="009C36BD" w:rsidRPr="00DD536A" w:rsidRDefault="009C36BD" w:rsidP="00B940C4">
            <w:pPr>
              <w:jc w:val="right"/>
            </w:pPr>
            <w:r w:rsidRPr="00DD536A">
              <w:t>405</w:t>
            </w:r>
          </w:p>
        </w:tc>
        <w:tc>
          <w:tcPr>
            <w:tcW w:w="1503" w:type="dxa"/>
            <w:tcBorders>
              <w:bottom w:val="single" w:sz="4" w:space="0" w:color="auto"/>
            </w:tcBorders>
          </w:tcPr>
          <w:p w14:paraId="2A06DFDD" w14:textId="77777777" w:rsidR="009C36BD" w:rsidRPr="00DD536A" w:rsidRDefault="009C36BD" w:rsidP="00B940C4">
            <w:pPr>
              <w:jc w:val="right"/>
            </w:pPr>
            <w:r w:rsidRPr="00DD536A">
              <w:t>74</w:t>
            </w:r>
          </w:p>
        </w:tc>
        <w:tc>
          <w:tcPr>
            <w:tcW w:w="1503" w:type="dxa"/>
            <w:tcBorders>
              <w:bottom w:val="single" w:sz="4" w:space="0" w:color="auto"/>
            </w:tcBorders>
          </w:tcPr>
          <w:p w14:paraId="64C6F055" w14:textId="77777777" w:rsidR="009C36BD" w:rsidRPr="00DD536A" w:rsidRDefault="009C36BD" w:rsidP="00B940C4">
            <w:pPr>
              <w:jc w:val="right"/>
            </w:pPr>
            <w:r w:rsidRPr="00DD536A">
              <w:t>16</w:t>
            </w:r>
          </w:p>
        </w:tc>
      </w:tr>
    </w:tbl>
    <w:p w14:paraId="7F92CCD0" w14:textId="3DC837BB" w:rsidR="00B8116E" w:rsidRPr="00DD536A" w:rsidRDefault="00B8116E" w:rsidP="00B8116E">
      <w:pPr>
        <w:spacing w:line="480" w:lineRule="auto"/>
        <w:jc w:val="both"/>
        <w:rPr>
          <w:lang w:eastAsia="de-DE"/>
        </w:rPr>
      </w:pPr>
    </w:p>
    <w:p w14:paraId="062F20EE" w14:textId="685F6E6E" w:rsidR="00B8116E" w:rsidRPr="00DD536A" w:rsidRDefault="00B8116E" w:rsidP="00B8116E">
      <w:pPr>
        <w:pStyle w:val="Heading2"/>
        <w:rPr>
          <w:lang w:val="en-DE" w:eastAsia="de-DE"/>
        </w:rPr>
      </w:pPr>
      <w:r w:rsidRPr="00DD536A">
        <w:rPr>
          <w:lang w:val="en-DE" w:eastAsia="de-DE"/>
        </w:rPr>
        <w:lastRenderedPageBreak/>
        <w:t>Cross validation</w:t>
      </w:r>
    </w:p>
    <w:p w14:paraId="62B40606" w14:textId="6FBA6A9A" w:rsidR="00A166B4" w:rsidRPr="00DD536A" w:rsidRDefault="00B8116E" w:rsidP="009A030B">
      <w:pPr>
        <w:spacing w:after="0" w:line="480" w:lineRule="auto"/>
        <w:jc w:val="both"/>
        <w:rPr>
          <w:lang w:eastAsia="de-DE"/>
        </w:rPr>
      </w:pPr>
      <w:r w:rsidRPr="00DD536A">
        <w:rPr>
          <w:lang w:eastAsia="de-DE"/>
        </w:rPr>
        <w:t>W</w:t>
      </w:r>
      <w:r w:rsidR="00A166B4" w:rsidRPr="00DD536A">
        <w:rPr>
          <w:lang w:eastAsia="de-DE"/>
        </w:rPr>
        <w:t>e checked the potential of the random forest</w:t>
      </w:r>
      <w:r w:rsidRPr="00DD536A">
        <w:rPr>
          <w:lang w:eastAsia="de-DE"/>
        </w:rPr>
        <w:t xml:space="preserve"> algorithm</w:t>
      </w:r>
      <w:r w:rsidR="00A166B4" w:rsidRPr="00DD536A">
        <w:rPr>
          <w:lang w:eastAsia="de-DE"/>
        </w:rPr>
        <w:t xml:space="preserve"> to correctly predict the behavioural modes by using two enclosure hares (hare 1 and 2) and one free-ranging hare (hare 3) to train the random forest. We used the second free-ranging hare (hare 4) as a test data set to calculate a confusion matrix and extract precision, recall and F1 (R package </w:t>
      </w:r>
      <w:r w:rsidR="00A166B4" w:rsidRPr="00DD536A">
        <w:rPr>
          <w:i/>
          <w:lang w:eastAsia="de-DE"/>
        </w:rPr>
        <w:t>caret</w:t>
      </w:r>
      <w:r w:rsidR="00A166B4" w:rsidRPr="00DD536A">
        <w:rPr>
          <w:lang w:eastAsia="de-DE"/>
        </w:rPr>
        <w:t xml:space="preserve"> by Kuhn (2008)) to receive measures on the performance of the random forest in predicting the behavioural modes of hare 4. These measures are calculated with the following formulas: </w:t>
      </w:r>
    </w:p>
    <w:p w14:paraId="2F580EB0" w14:textId="77777777" w:rsidR="00A166B4" w:rsidRPr="00DD536A" w:rsidRDefault="00A166B4" w:rsidP="00A166B4">
      <w:pPr>
        <w:spacing w:after="0" w:line="480" w:lineRule="auto"/>
        <w:ind w:firstLine="708"/>
        <w:jc w:val="both"/>
        <w:rPr>
          <w:i/>
          <w:lang w:eastAsia="de-DE"/>
        </w:rPr>
      </w:pPr>
      <w:r w:rsidRPr="00DD536A">
        <w:rPr>
          <w:i/>
          <w:lang w:eastAsia="de-DE"/>
        </w:rPr>
        <w:t xml:space="preserve">Precision = True Positive / (True Positive + False Positive), </w:t>
      </w:r>
    </w:p>
    <w:p w14:paraId="60384F1A" w14:textId="77777777" w:rsidR="00A166B4" w:rsidRPr="00DD536A" w:rsidRDefault="00A166B4" w:rsidP="00A166B4">
      <w:pPr>
        <w:spacing w:after="0" w:line="480" w:lineRule="auto"/>
        <w:ind w:firstLine="708"/>
        <w:jc w:val="both"/>
        <w:rPr>
          <w:i/>
          <w:lang w:eastAsia="de-DE"/>
        </w:rPr>
      </w:pPr>
      <w:r w:rsidRPr="00DD536A">
        <w:rPr>
          <w:i/>
          <w:lang w:eastAsia="de-DE"/>
        </w:rPr>
        <w:t xml:space="preserve">Recall = True Positive / (True Positive + False Negative) and </w:t>
      </w:r>
    </w:p>
    <w:p w14:paraId="7CF0621A" w14:textId="35E2C686" w:rsidR="009C36BD" w:rsidRPr="00DD536A" w:rsidRDefault="00A166B4" w:rsidP="009A030B">
      <w:pPr>
        <w:spacing w:line="480" w:lineRule="auto"/>
        <w:ind w:firstLine="708"/>
        <w:jc w:val="both"/>
        <w:rPr>
          <w:lang w:eastAsia="de-DE"/>
        </w:rPr>
      </w:pPr>
      <w:r w:rsidRPr="00DD536A">
        <w:rPr>
          <w:i/>
          <w:lang w:eastAsia="de-DE"/>
        </w:rPr>
        <w:t xml:space="preserve">F1 = </w:t>
      </w:r>
      <w:r w:rsidRPr="00DD536A">
        <w:rPr>
          <w:i/>
        </w:rPr>
        <w:t>2 * Precision * Recall / ((Precision) + Recall).</w:t>
      </w:r>
    </w:p>
    <w:p w14:paraId="1F1EEEEB" w14:textId="472EE8A1" w:rsidR="00501BF5" w:rsidRPr="00DD536A" w:rsidRDefault="009A030B" w:rsidP="009A030B">
      <w:pPr>
        <w:spacing w:line="480" w:lineRule="auto"/>
        <w:jc w:val="both"/>
        <w:rPr>
          <w:lang w:val="en-GB"/>
        </w:rPr>
      </w:pPr>
      <w:r w:rsidRPr="00DD536A">
        <w:rPr>
          <w:rStyle w:val="jsx-3826740032"/>
        </w:rPr>
        <w:t>After</w:t>
      </w:r>
      <w:r w:rsidR="00501BF5" w:rsidRPr="00DD536A">
        <w:rPr>
          <w:rStyle w:val="jsx-3826740032"/>
          <w:lang w:val="en-GB"/>
        </w:rPr>
        <w:t xml:space="preserve"> using the behaviours of three hares for training and the fourth hare as independent test data set, </w:t>
      </w:r>
      <w:r w:rsidRPr="00DD536A">
        <w:rPr>
          <w:rStyle w:val="jsx-3826740032"/>
        </w:rPr>
        <w:t xml:space="preserve">the random forest algorithm </w:t>
      </w:r>
      <w:r w:rsidR="00501BF5" w:rsidRPr="00DD536A">
        <w:rPr>
          <w:rStyle w:val="jsx-3826740032"/>
          <w:lang w:val="en-GB"/>
        </w:rPr>
        <w:t>showed an overall accuracy of 80%.</w:t>
      </w:r>
      <w:r w:rsidR="00BC4B37" w:rsidRPr="00DD536A">
        <w:rPr>
          <w:rStyle w:val="jsx-3826740032"/>
        </w:rPr>
        <w:t xml:space="preserve"> </w:t>
      </w:r>
      <w:r w:rsidR="00BC4B37" w:rsidRPr="00DD536A">
        <w:rPr>
          <w:rStyle w:val="jsx-3826740032"/>
          <w:lang w:val="en-GB"/>
        </w:rPr>
        <w:t>The standard deviation of the acceleration per axis was the most important predictor in the random forest, followed by the mean.</w:t>
      </w:r>
      <w:r w:rsidR="00501BF5" w:rsidRPr="00DD536A">
        <w:rPr>
          <w:rStyle w:val="jsx-3826740032"/>
          <w:lang w:val="en-GB"/>
        </w:rPr>
        <w:t xml:space="preserve"> Resting and moving were classified most successfully, followed by foraging, while grooming and vigilance behaviour (standing upright) were not classified well (Tables </w:t>
      </w:r>
      <w:r w:rsidRPr="00DD536A">
        <w:rPr>
          <w:rStyle w:val="jsx-3826740032"/>
        </w:rPr>
        <w:t>S3.</w:t>
      </w:r>
      <w:r w:rsidR="00501BF5" w:rsidRPr="00DD536A">
        <w:rPr>
          <w:rStyle w:val="jsx-3826740032"/>
          <w:lang w:val="en-GB"/>
        </w:rPr>
        <w:t xml:space="preserve">2 and </w:t>
      </w:r>
      <w:r w:rsidRPr="00DD536A">
        <w:rPr>
          <w:rStyle w:val="jsx-3826740032"/>
        </w:rPr>
        <w:t>S3.</w:t>
      </w:r>
      <w:r w:rsidR="00501BF5" w:rsidRPr="00DD536A">
        <w:rPr>
          <w:rStyle w:val="jsx-3826740032"/>
          <w:lang w:val="en-GB"/>
        </w:rPr>
        <w:t xml:space="preserve">3). </w:t>
      </w:r>
    </w:p>
    <w:p w14:paraId="00C079F4" w14:textId="6FB79F16" w:rsidR="00501BF5" w:rsidRPr="00DD536A" w:rsidRDefault="00501BF5" w:rsidP="00501BF5">
      <w:pPr>
        <w:spacing w:line="240" w:lineRule="auto"/>
        <w:jc w:val="both"/>
        <w:rPr>
          <w:lang w:val="en-GB"/>
        </w:rPr>
      </w:pPr>
      <w:r w:rsidRPr="00DD536A">
        <w:rPr>
          <w:b/>
          <w:lang w:val="en-GB"/>
        </w:rPr>
        <w:t xml:space="preserve">Table </w:t>
      </w:r>
      <w:r w:rsidR="009A030B" w:rsidRPr="00DD536A">
        <w:rPr>
          <w:b/>
        </w:rPr>
        <w:t>S3.</w:t>
      </w:r>
      <w:r w:rsidRPr="00DD536A">
        <w:rPr>
          <w:b/>
          <w:lang w:val="en-GB"/>
        </w:rPr>
        <w:t>2</w:t>
      </w:r>
      <w:r w:rsidRPr="00DD536A">
        <w:rPr>
          <w:lang w:val="en-GB"/>
        </w:rPr>
        <w:t xml:space="preserve"> Confusion matrix derived after training the random forest with data from hare 1, 2 and 3 for testing with hare 4. Summing up the numbers in each column will return the number of bursts for hare 4 in each class. Numbers to the right of the diagonal show “False Positive” results, while numbers to the left show “False Negative” classifications</w:t>
      </w:r>
    </w:p>
    <w:tbl>
      <w:tblPr>
        <w:tblW w:w="6663" w:type="dxa"/>
        <w:jc w:val="center"/>
        <w:tblLook w:val="04A0" w:firstRow="1" w:lastRow="0" w:firstColumn="1" w:lastColumn="0" w:noHBand="0" w:noVBand="1"/>
      </w:tblPr>
      <w:tblGrid>
        <w:gridCol w:w="498"/>
        <w:gridCol w:w="1203"/>
        <w:gridCol w:w="993"/>
        <w:gridCol w:w="1109"/>
        <w:gridCol w:w="890"/>
        <w:gridCol w:w="977"/>
        <w:gridCol w:w="1020"/>
      </w:tblGrid>
      <w:tr w:rsidR="00501BF5" w:rsidRPr="00DD536A" w14:paraId="322F2F8E" w14:textId="77777777" w:rsidTr="00B940C4">
        <w:trPr>
          <w:trHeight w:val="288"/>
          <w:jc w:val="center"/>
        </w:trPr>
        <w:tc>
          <w:tcPr>
            <w:tcW w:w="498" w:type="dxa"/>
            <w:tcBorders>
              <w:top w:val="nil"/>
              <w:left w:val="nil"/>
              <w:bottom w:val="nil"/>
              <w:right w:val="nil"/>
            </w:tcBorders>
            <w:shd w:val="clear" w:color="auto" w:fill="auto"/>
            <w:noWrap/>
            <w:vAlign w:val="bottom"/>
            <w:hideMark/>
          </w:tcPr>
          <w:p w14:paraId="73132B2D" w14:textId="77777777" w:rsidR="00501BF5" w:rsidRPr="00DD536A" w:rsidRDefault="00501BF5" w:rsidP="00B940C4">
            <w:pPr>
              <w:spacing w:after="0" w:line="240" w:lineRule="auto"/>
              <w:rPr>
                <w:rFonts w:ascii="Times New Roman" w:eastAsia="Times New Roman" w:hAnsi="Times New Roman" w:cs="Times New Roman"/>
                <w:sz w:val="20"/>
                <w:szCs w:val="20"/>
                <w:lang w:val="en-GB"/>
              </w:rPr>
            </w:pPr>
          </w:p>
        </w:tc>
        <w:tc>
          <w:tcPr>
            <w:tcW w:w="1203" w:type="dxa"/>
            <w:tcBorders>
              <w:top w:val="nil"/>
              <w:left w:val="nil"/>
              <w:bottom w:val="nil"/>
              <w:right w:val="single" w:sz="4" w:space="0" w:color="auto"/>
            </w:tcBorders>
            <w:shd w:val="clear" w:color="auto" w:fill="auto"/>
            <w:noWrap/>
            <w:vAlign w:val="bottom"/>
            <w:hideMark/>
          </w:tcPr>
          <w:p w14:paraId="416C5DA0" w14:textId="77777777" w:rsidR="00501BF5" w:rsidRPr="00DD536A" w:rsidRDefault="00501BF5" w:rsidP="00B940C4">
            <w:pPr>
              <w:spacing w:after="0" w:line="240" w:lineRule="auto"/>
              <w:rPr>
                <w:rFonts w:ascii="Times New Roman" w:eastAsia="Times New Roman" w:hAnsi="Times New Roman" w:cs="Times New Roman"/>
                <w:sz w:val="20"/>
                <w:szCs w:val="20"/>
                <w:lang w:val="en-GB"/>
              </w:rPr>
            </w:pPr>
          </w:p>
        </w:tc>
        <w:tc>
          <w:tcPr>
            <w:tcW w:w="4962" w:type="dxa"/>
            <w:gridSpan w:val="5"/>
            <w:tcBorders>
              <w:top w:val="nil"/>
              <w:left w:val="single" w:sz="4" w:space="0" w:color="auto"/>
              <w:bottom w:val="nil"/>
              <w:right w:val="nil"/>
            </w:tcBorders>
            <w:shd w:val="clear" w:color="auto" w:fill="auto"/>
            <w:noWrap/>
            <w:vAlign w:val="bottom"/>
            <w:hideMark/>
          </w:tcPr>
          <w:p w14:paraId="7550A74D" w14:textId="77777777" w:rsidR="00501BF5" w:rsidRPr="00DD536A" w:rsidRDefault="00501BF5" w:rsidP="00B940C4">
            <w:pPr>
              <w:spacing w:after="0" w:line="240" w:lineRule="auto"/>
              <w:jc w:val="center"/>
              <w:rPr>
                <w:rFonts w:ascii="Calibri" w:eastAsia="Times New Roman" w:hAnsi="Calibri" w:cs="Calibri"/>
                <w:color w:val="000000"/>
              </w:rPr>
            </w:pPr>
            <w:r w:rsidRPr="00DD536A">
              <w:rPr>
                <w:rFonts w:ascii="Calibri" w:eastAsia="Times New Roman" w:hAnsi="Calibri" w:cs="Calibri"/>
                <w:color w:val="000000"/>
              </w:rPr>
              <w:t>Reference</w:t>
            </w:r>
          </w:p>
        </w:tc>
      </w:tr>
      <w:tr w:rsidR="00501BF5" w:rsidRPr="00DD536A" w14:paraId="1F06DAE4" w14:textId="77777777" w:rsidTr="00B940C4">
        <w:trPr>
          <w:trHeight w:val="288"/>
          <w:jc w:val="center"/>
        </w:trPr>
        <w:tc>
          <w:tcPr>
            <w:tcW w:w="498" w:type="dxa"/>
            <w:tcBorders>
              <w:top w:val="nil"/>
              <w:left w:val="nil"/>
              <w:bottom w:val="single" w:sz="4" w:space="0" w:color="auto"/>
              <w:right w:val="nil"/>
            </w:tcBorders>
            <w:shd w:val="clear" w:color="auto" w:fill="auto"/>
            <w:noWrap/>
            <w:vAlign w:val="bottom"/>
            <w:hideMark/>
          </w:tcPr>
          <w:p w14:paraId="57403AB8" w14:textId="77777777" w:rsidR="00501BF5" w:rsidRPr="00DD536A" w:rsidRDefault="00501BF5" w:rsidP="00B940C4">
            <w:pPr>
              <w:spacing w:after="0" w:line="240" w:lineRule="auto"/>
              <w:jc w:val="center"/>
              <w:rPr>
                <w:rFonts w:ascii="Calibri" w:eastAsia="Times New Roman" w:hAnsi="Calibri" w:cs="Calibri"/>
                <w:color w:val="000000"/>
              </w:rPr>
            </w:pPr>
          </w:p>
        </w:tc>
        <w:tc>
          <w:tcPr>
            <w:tcW w:w="1203" w:type="dxa"/>
            <w:tcBorders>
              <w:top w:val="nil"/>
              <w:left w:val="nil"/>
              <w:bottom w:val="single" w:sz="4" w:space="0" w:color="auto"/>
              <w:right w:val="single" w:sz="4" w:space="0" w:color="auto"/>
            </w:tcBorders>
            <w:shd w:val="clear" w:color="auto" w:fill="auto"/>
            <w:noWrap/>
            <w:vAlign w:val="bottom"/>
            <w:hideMark/>
          </w:tcPr>
          <w:p w14:paraId="56198068" w14:textId="77777777" w:rsidR="00501BF5" w:rsidRPr="00DD536A" w:rsidRDefault="00501BF5" w:rsidP="00B940C4">
            <w:pPr>
              <w:spacing w:after="0" w:line="240" w:lineRule="auto"/>
              <w:jc w:val="center"/>
              <w:rPr>
                <w:rFonts w:ascii="Times New Roman" w:eastAsia="Times New Roman" w:hAnsi="Times New Roman" w:cs="Times New Roman"/>
                <w:sz w:val="20"/>
                <w:szCs w:val="20"/>
              </w:rPr>
            </w:pPr>
          </w:p>
        </w:tc>
        <w:tc>
          <w:tcPr>
            <w:tcW w:w="993" w:type="dxa"/>
            <w:tcBorders>
              <w:top w:val="nil"/>
              <w:left w:val="single" w:sz="4" w:space="0" w:color="auto"/>
              <w:bottom w:val="single" w:sz="4" w:space="0" w:color="auto"/>
              <w:right w:val="nil"/>
            </w:tcBorders>
            <w:shd w:val="clear" w:color="auto" w:fill="auto"/>
            <w:noWrap/>
            <w:vAlign w:val="bottom"/>
            <w:hideMark/>
          </w:tcPr>
          <w:p w14:paraId="2B5FEE46" w14:textId="77777777" w:rsidR="00501BF5" w:rsidRPr="00DD536A" w:rsidRDefault="00501BF5" w:rsidP="00B940C4">
            <w:pPr>
              <w:spacing w:after="0" w:line="240" w:lineRule="auto"/>
              <w:jc w:val="center"/>
              <w:rPr>
                <w:rFonts w:ascii="Calibri" w:eastAsia="Times New Roman" w:hAnsi="Calibri" w:cs="Calibri"/>
                <w:color w:val="000000"/>
              </w:rPr>
            </w:pPr>
            <w:r w:rsidRPr="00DD536A">
              <w:rPr>
                <w:rFonts w:ascii="Calibri" w:eastAsia="Times New Roman" w:hAnsi="Calibri" w:cs="Calibri"/>
                <w:color w:val="000000"/>
              </w:rPr>
              <w:t>Foraging</w:t>
            </w:r>
          </w:p>
        </w:tc>
        <w:tc>
          <w:tcPr>
            <w:tcW w:w="1109" w:type="dxa"/>
            <w:tcBorders>
              <w:top w:val="nil"/>
              <w:left w:val="nil"/>
              <w:bottom w:val="single" w:sz="4" w:space="0" w:color="auto"/>
              <w:right w:val="nil"/>
            </w:tcBorders>
            <w:shd w:val="clear" w:color="auto" w:fill="auto"/>
            <w:noWrap/>
            <w:vAlign w:val="bottom"/>
            <w:hideMark/>
          </w:tcPr>
          <w:p w14:paraId="1A44BAC4" w14:textId="77777777" w:rsidR="00501BF5" w:rsidRPr="00DD536A" w:rsidRDefault="00501BF5" w:rsidP="00B940C4">
            <w:pPr>
              <w:spacing w:after="0" w:line="240" w:lineRule="auto"/>
              <w:jc w:val="center"/>
              <w:rPr>
                <w:rFonts w:ascii="Calibri" w:eastAsia="Times New Roman" w:hAnsi="Calibri" w:cs="Calibri"/>
                <w:color w:val="000000"/>
              </w:rPr>
            </w:pPr>
            <w:r w:rsidRPr="00DD536A">
              <w:rPr>
                <w:rFonts w:ascii="Calibri" w:eastAsia="Times New Roman" w:hAnsi="Calibri" w:cs="Calibri"/>
                <w:color w:val="000000"/>
              </w:rPr>
              <w:t>Grooming</w:t>
            </w:r>
          </w:p>
        </w:tc>
        <w:tc>
          <w:tcPr>
            <w:tcW w:w="890" w:type="dxa"/>
            <w:tcBorders>
              <w:top w:val="nil"/>
              <w:left w:val="nil"/>
              <w:bottom w:val="single" w:sz="4" w:space="0" w:color="auto"/>
              <w:right w:val="nil"/>
            </w:tcBorders>
            <w:shd w:val="clear" w:color="auto" w:fill="auto"/>
            <w:noWrap/>
            <w:vAlign w:val="bottom"/>
            <w:hideMark/>
          </w:tcPr>
          <w:p w14:paraId="59BDA1AE" w14:textId="77777777" w:rsidR="00501BF5" w:rsidRPr="00DD536A" w:rsidRDefault="00501BF5" w:rsidP="00B940C4">
            <w:pPr>
              <w:spacing w:after="0" w:line="240" w:lineRule="auto"/>
              <w:jc w:val="center"/>
              <w:rPr>
                <w:rFonts w:ascii="Calibri" w:eastAsia="Times New Roman" w:hAnsi="Calibri" w:cs="Calibri"/>
                <w:color w:val="000000"/>
              </w:rPr>
            </w:pPr>
            <w:r w:rsidRPr="00DD536A">
              <w:rPr>
                <w:rFonts w:ascii="Calibri" w:eastAsia="Times New Roman" w:hAnsi="Calibri" w:cs="Calibri"/>
                <w:color w:val="000000"/>
              </w:rPr>
              <w:t>Moving</w:t>
            </w:r>
          </w:p>
        </w:tc>
        <w:tc>
          <w:tcPr>
            <w:tcW w:w="977" w:type="dxa"/>
            <w:tcBorders>
              <w:top w:val="nil"/>
              <w:left w:val="nil"/>
              <w:bottom w:val="single" w:sz="4" w:space="0" w:color="auto"/>
              <w:right w:val="nil"/>
            </w:tcBorders>
            <w:shd w:val="clear" w:color="auto" w:fill="auto"/>
            <w:noWrap/>
            <w:vAlign w:val="bottom"/>
            <w:hideMark/>
          </w:tcPr>
          <w:p w14:paraId="5AF07E0E" w14:textId="77777777" w:rsidR="00501BF5" w:rsidRPr="00DD536A" w:rsidRDefault="00501BF5" w:rsidP="00B940C4">
            <w:pPr>
              <w:spacing w:after="0" w:line="240" w:lineRule="auto"/>
              <w:jc w:val="center"/>
              <w:rPr>
                <w:rFonts w:ascii="Calibri" w:eastAsia="Times New Roman" w:hAnsi="Calibri" w:cs="Calibri"/>
                <w:color w:val="000000"/>
              </w:rPr>
            </w:pPr>
            <w:r w:rsidRPr="00DD536A">
              <w:rPr>
                <w:rFonts w:ascii="Calibri" w:eastAsia="Times New Roman" w:hAnsi="Calibri" w:cs="Calibri"/>
                <w:color w:val="000000"/>
              </w:rPr>
              <w:t>Resting</w:t>
            </w:r>
          </w:p>
        </w:tc>
        <w:tc>
          <w:tcPr>
            <w:tcW w:w="993" w:type="dxa"/>
            <w:tcBorders>
              <w:top w:val="nil"/>
              <w:left w:val="nil"/>
              <w:bottom w:val="single" w:sz="4" w:space="0" w:color="auto"/>
              <w:right w:val="nil"/>
            </w:tcBorders>
            <w:shd w:val="clear" w:color="auto" w:fill="auto"/>
            <w:noWrap/>
            <w:vAlign w:val="bottom"/>
            <w:hideMark/>
          </w:tcPr>
          <w:p w14:paraId="5720C3DD" w14:textId="77777777" w:rsidR="00501BF5" w:rsidRPr="00DD536A" w:rsidRDefault="00501BF5" w:rsidP="00B940C4">
            <w:pPr>
              <w:spacing w:after="0" w:line="240" w:lineRule="auto"/>
              <w:jc w:val="center"/>
              <w:rPr>
                <w:rFonts w:ascii="Calibri" w:eastAsia="Times New Roman" w:hAnsi="Calibri" w:cs="Calibri"/>
                <w:color w:val="000000"/>
              </w:rPr>
            </w:pPr>
            <w:r w:rsidRPr="00DD536A">
              <w:rPr>
                <w:rFonts w:ascii="Calibri" w:eastAsia="Times New Roman" w:hAnsi="Calibri" w:cs="Calibri"/>
                <w:color w:val="000000"/>
              </w:rPr>
              <w:t>Vigilance</w:t>
            </w:r>
          </w:p>
        </w:tc>
      </w:tr>
      <w:tr w:rsidR="00501BF5" w:rsidRPr="00DD536A" w14:paraId="712F99C3" w14:textId="77777777" w:rsidTr="00501BF5">
        <w:trPr>
          <w:trHeight w:val="288"/>
          <w:jc w:val="center"/>
        </w:trPr>
        <w:tc>
          <w:tcPr>
            <w:tcW w:w="498" w:type="dxa"/>
            <w:vMerge w:val="restart"/>
            <w:tcBorders>
              <w:top w:val="single" w:sz="4" w:space="0" w:color="auto"/>
              <w:left w:val="nil"/>
              <w:bottom w:val="nil"/>
              <w:right w:val="nil"/>
            </w:tcBorders>
            <w:shd w:val="clear" w:color="auto" w:fill="auto"/>
            <w:noWrap/>
            <w:textDirection w:val="btLr"/>
            <w:vAlign w:val="center"/>
            <w:hideMark/>
          </w:tcPr>
          <w:p w14:paraId="65081BFE" w14:textId="77777777" w:rsidR="00501BF5" w:rsidRPr="00DD536A" w:rsidRDefault="00501BF5" w:rsidP="00B940C4">
            <w:pPr>
              <w:spacing w:after="0" w:line="240" w:lineRule="auto"/>
              <w:jc w:val="center"/>
              <w:rPr>
                <w:rFonts w:ascii="Calibri" w:eastAsia="Times New Roman" w:hAnsi="Calibri" w:cs="Calibri"/>
                <w:color w:val="000000"/>
              </w:rPr>
            </w:pPr>
            <w:r w:rsidRPr="00DD536A">
              <w:rPr>
                <w:rFonts w:ascii="Calibri" w:eastAsia="Times New Roman" w:hAnsi="Calibri" w:cs="Calibri"/>
                <w:color w:val="000000"/>
              </w:rPr>
              <w:t>Predicted</w:t>
            </w:r>
          </w:p>
        </w:tc>
        <w:tc>
          <w:tcPr>
            <w:tcW w:w="1203" w:type="dxa"/>
            <w:tcBorders>
              <w:top w:val="single" w:sz="4" w:space="0" w:color="auto"/>
              <w:left w:val="nil"/>
              <w:bottom w:val="nil"/>
              <w:right w:val="single" w:sz="4" w:space="0" w:color="auto"/>
            </w:tcBorders>
            <w:shd w:val="clear" w:color="auto" w:fill="auto"/>
            <w:noWrap/>
            <w:vAlign w:val="bottom"/>
            <w:hideMark/>
          </w:tcPr>
          <w:p w14:paraId="0326BDD6" w14:textId="77777777" w:rsidR="00501BF5" w:rsidRPr="00DD536A" w:rsidRDefault="00501BF5" w:rsidP="00B940C4">
            <w:pPr>
              <w:spacing w:after="0" w:line="240" w:lineRule="auto"/>
              <w:rPr>
                <w:rFonts w:ascii="Calibri" w:eastAsia="Times New Roman" w:hAnsi="Calibri" w:cs="Calibri"/>
                <w:color w:val="000000"/>
              </w:rPr>
            </w:pPr>
            <w:r w:rsidRPr="00DD536A">
              <w:rPr>
                <w:rFonts w:ascii="Calibri" w:eastAsia="Times New Roman" w:hAnsi="Calibri" w:cs="Calibri"/>
                <w:color w:val="000000"/>
              </w:rPr>
              <w:t>Foraging</w:t>
            </w:r>
          </w:p>
        </w:tc>
        <w:tc>
          <w:tcPr>
            <w:tcW w:w="993" w:type="dxa"/>
            <w:tcBorders>
              <w:top w:val="single" w:sz="4" w:space="0" w:color="auto"/>
              <w:left w:val="single" w:sz="4" w:space="0" w:color="auto"/>
              <w:bottom w:val="nil"/>
              <w:right w:val="nil"/>
            </w:tcBorders>
            <w:shd w:val="clear" w:color="auto" w:fill="D9D9D9" w:themeFill="background1" w:themeFillShade="D9"/>
            <w:noWrap/>
            <w:vAlign w:val="bottom"/>
            <w:hideMark/>
          </w:tcPr>
          <w:p w14:paraId="004D7710"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247</w:t>
            </w:r>
          </w:p>
        </w:tc>
        <w:tc>
          <w:tcPr>
            <w:tcW w:w="1109" w:type="dxa"/>
            <w:tcBorders>
              <w:top w:val="single" w:sz="4" w:space="0" w:color="auto"/>
              <w:left w:val="nil"/>
              <w:bottom w:val="nil"/>
              <w:right w:val="nil"/>
            </w:tcBorders>
            <w:shd w:val="clear" w:color="auto" w:fill="auto"/>
            <w:noWrap/>
            <w:vAlign w:val="bottom"/>
            <w:hideMark/>
          </w:tcPr>
          <w:p w14:paraId="36DD5CC2"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32</w:t>
            </w:r>
          </w:p>
        </w:tc>
        <w:tc>
          <w:tcPr>
            <w:tcW w:w="890" w:type="dxa"/>
            <w:tcBorders>
              <w:top w:val="single" w:sz="4" w:space="0" w:color="auto"/>
              <w:left w:val="nil"/>
              <w:bottom w:val="nil"/>
              <w:right w:val="nil"/>
            </w:tcBorders>
            <w:shd w:val="clear" w:color="auto" w:fill="auto"/>
            <w:noWrap/>
            <w:vAlign w:val="bottom"/>
            <w:hideMark/>
          </w:tcPr>
          <w:p w14:paraId="653C54F0"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1</w:t>
            </w:r>
          </w:p>
        </w:tc>
        <w:tc>
          <w:tcPr>
            <w:tcW w:w="977" w:type="dxa"/>
            <w:tcBorders>
              <w:top w:val="single" w:sz="4" w:space="0" w:color="auto"/>
              <w:left w:val="nil"/>
              <w:bottom w:val="nil"/>
              <w:right w:val="nil"/>
            </w:tcBorders>
            <w:shd w:val="clear" w:color="auto" w:fill="auto"/>
            <w:noWrap/>
            <w:vAlign w:val="bottom"/>
            <w:hideMark/>
          </w:tcPr>
          <w:p w14:paraId="56935C4B"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89</w:t>
            </w:r>
          </w:p>
        </w:tc>
        <w:tc>
          <w:tcPr>
            <w:tcW w:w="993" w:type="dxa"/>
            <w:tcBorders>
              <w:top w:val="single" w:sz="4" w:space="0" w:color="auto"/>
              <w:left w:val="nil"/>
              <w:bottom w:val="nil"/>
              <w:right w:val="nil"/>
            </w:tcBorders>
            <w:shd w:val="clear" w:color="auto" w:fill="auto"/>
            <w:noWrap/>
            <w:vAlign w:val="bottom"/>
            <w:hideMark/>
          </w:tcPr>
          <w:p w14:paraId="6E4892AB"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3</w:t>
            </w:r>
          </w:p>
        </w:tc>
      </w:tr>
      <w:tr w:rsidR="00501BF5" w:rsidRPr="00DD536A" w14:paraId="2197A375" w14:textId="77777777" w:rsidTr="00501BF5">
        <w:trPr>
          <w:trHeight w:val="288"/>
          <w:jc w:val="center"/>
        </w:trPr>
        <w:tc>
          <w:tcPr>
            <w:tcW w:w="498" w:type="dxa"/>
            <w:vMerge/>
            <w:tcBorders>
              <w:top w:val="nil"/>
              <w:left w:val="nil"/>
              <w:bottom w:val="nil"/>
              <w:right w:val="nil"/>
            </w:tcBorders>
            <w:vAlign w:val="center"/>
            <w:hideMark/>
          </w:tcPr>
          <w:p w14:paraId="4A2AC08E" w14:textId="77777777" w:rsidR="00501BF5" w:rsidRPr="00DD536A" w:rsidRDefault="00501BF5" w:rsidP="00B940C4">
            <w:pPr>
              <w:spacing w:after="0" w:line="240" w:lineRule="auto"/>
              <w:rPr>
                <w:rFonts w:ascii="Calibri" w:eastAsia="Times New Roman" w:hAnsi="Calibri" w:cs="Calibri"/>
                <w:color w:val="000000"/>
              </w:rPr>
            </w:pPr>
          </w:p>
        </w:tc>
        <w:tc>
          <w:tcPr>
            <w:tcW w:w="1203" w:type="dxa"/>
            <w:tcBorders>
              <w:top w:val="nil"/>
              <w:left w:val="nil"/>
              <w:bottom w:val="nil"/>
              <w:right w:val="single" w:sz="4" w:space="0" w:color="auto"/>
            </w:tcBorders>
            <w:shd w:val="clear" w:color="auto" w:fill="auto"/>
            <w:noWrap/>
            <w:vAlign w:val="bottom"/>
            <w:hideMark/>
          </w:tcPr>
          <w:p w14:paraId="6529E505" w14:textId="77777777" w:rsidR="00501BF5" w:rsidRPr="00DD536A" w:rsidRDefault="00501BF5" w:rsidP="00B940C4">
            <w:pPr>
              <w:spacing w:after="0" w:line="240" w:lineRule="auto"/>
              <w:rPr>
                <w:rFonts w:ascii="Calibri" w:eastAsia="Times New Roman" w:hAnsi="Calibri" w:cs="Calibri"/>
                <w:color w:val="000000"/>
              </w:rPr>
            </w:pPr>
            <w:r w:rsidRPr="00DD536A">
              <w:rPr>
                <w:rFonts w:ascii="Calibri" w:eastAsia="Times New Roman" w:hAnsi="Calibri" w:cs="Calibri"/>
                <w:color w:val="000000"/>
              </w:rPr>
              <w:t>Grooming</w:t>
            </w:r>
          </w:p>
        </w:tc>
        <w:tc>
          <w:tcPr>
            <w:tcW w:w="993" w:type="dxa"/>
            <w:tcBorders>
              <w:top w:val="nil"/>
              <w:left w:val="single" w:sz="4" w:space="0" w:color="auto"/>
              <w:bottom w:val="nil"/>
              <w:right w:val="nil"/>
            </w:tcBorders>
            <w:shd w:val="clear" w:color="auto" w:fill="auto"/>
            <w:noWrap/>
            <w:vAlign w:val="bottom"/>
            <w:hideMark/>
          </w:tcPr>
          <w:p w14:paraId="1343DE11"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28</w:t>
            </w:r>
          </w:p>
        </w:tc>
        <w:tc>
          <w:tcPr>
            <w:tcW w:w="1109" w:type="dxa"/>
            <w:tcBorders>
              <w:top w:val="nil"/>
              <w:left w:val="nil"/>
              <w:bottom w:val="nil"/>
              <w:right w:val="nil"/>
            </w:tcBorders>
            <w:shd w:val="clear" w:color="auto" w:fill="D9D9D9" w:themeFill="background1" w:themeFillShade="D9"/>
            <w:noWrap/>
            <w:vAlign w:val="bottom"/>
            <w:hideMark/>
          </w:tcPr>
          <w:p w14:paraId="2DAADF36"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17</w:t>
            </w:r>
          </w:p>
        </w:tc>
        <w:tc>
          <w:tcPr>
            <w:tcW w:w="890" w:type="dxa"/>
            <w:tcBorders>
              <w:top w:val="nil"/>
              <w:left w:val="nil"/>
              <w:bottom w:val="nil"/>
              <w:right w:val="nil"/>
            </w:tcBorders>
            <w:shd w:val="clear" w:color="auto" w:fill="auto"/>
            <w:noWrap/>
            <w:vAlign w:val="bottom"/>
            <w:hideMark/>
          </w:tcPr>
          <w:p w14:paraId="0F41D477"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7</w:t>
            </w:r>
          </w:p>
        </w:tc>
        <w:tc>
          <w:tcPr>
            <w:tcW w:w="977" w:type="dxa"/>
            <w:tcBorders>
              <w:top w:val="nil"/>
              <w:left w:val="nil"/>
              <w:bottom w:val="nil"/>
              <w:right w:val="nil"/>
            </w:tcBorders>
            <w:shd w:val="clear" w:color="auto" w:fill="auto"/>
            <w:noWrap/>
            <w:vAlign w:val="bottom"/>
            <w:hideMark/>
          </w:tcPr>
          <w:p w14:paraId="6B809565"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25</w:t>
            </w:r>
          </w:p>
        </w:tc>
        <w:tc>
          <w:tcPr>
            <w:tcW w:w="993" w:type="dxa"/>
            <w:tcBorders>
              <w:top w:val="nil"/>
              <w:left w:val="nil"/>
              <w:bottom w:val="nil"/>
              <w:right w:val="nil"/>
            </w:tcBorders>
            <w:shd w:val="clear" w:color="auto" w:fill="auto"/>
            <w:noWrap/>
            <w:vAlign w:val="bottom"/>
            <w:hideMark/>
          </w:tcPr>
          <w:p w14:paraId="3EF03E6D"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1</w:t>
            </w:r>
          </w:p>
        </w:tc>
      </w:tr>
      <w:tr w:rsidR="00501BF5" w:rsidRPr="00DD536A" w14:paraId="5C62F062" w14:textId="77777777" w:rsidTr="00501BF5">
        <w:trPr>
          <w:trHeight w:val="288"/>
          <w:jc w:val="center"/>
        </w:trPr>
        <w:tc>
          <w:tcPr>
            <w:tcW w:w="498" w:type="dxa"/>
            <w:vMerge/>
            <w:tcBorders>
              <w:top w:val="nil"/>
              <w:left w:val="nil"/>
              <w:bottom w:val="nil"/>
              <w:right w:val="nil"/>
            </w:tcBorders>
            <w:vAlign w:val="center"/>
            <w:hideMark/>
          </w:tcPr>
          <w:p w14:paraId="51667A66" w14:textId="77777777" w:rsidR="00501BF5" w:rsidRPr="00DD536A" w:rsidRDefault="00501BF5" w:rsidP="00B940C4">
            <w:pPr>
              <w:spacing w:after="0" w:line="240" w:lineRule="auto"/>
              <w:rPr>
                <w:rFonts w:ascii="Calibri" w:eastAsia="Times New Roman" w:hAnsi="Calibri" w:cs="Calibri"/>
                <w:color w:val="000000"/>
              </w:rPr>
            </w:pPr>
          </w:p>
        </w:tc>
        <w:tc>
          <w:tcPr>
            <w:tcW w:w="1203" w:type="dxa"/>
            <w:tcBorders>
              <w:top w:val="nil"/>
              <w:left w:val="nil"/>
              <w:bottom w:val="nil"/>
              <w:right w:val="single" w:sz="4" w:space="0" w:color="auto"/>
            </w:tcBorders>
            <w:shd w:val="clear" w:color="auto" w:fill="auto"/>
            <w:noWrap/>
            <w:vAlign w:val="bottom"/>
            <w:hideMark/>
          </w:tcPr>
          <w:p w14:paraId="63726C0D" w14:textId="77777777" w:rsidR="00501BF5" w:rsidRPr="00DD536A" w:rsidRDefault="00501BF5" w:rsidP="00B940C4">
            <w:pPr>
              <w:spacing w:after="0" w:line="240" w:lineRule="auto"/>
              <w:rPr>
                <w:rFonts w:ascii="Calibri" w:eastAsia="Times New Roman" w:hAnsi="Calibri" w:cs="Calibri"/>
                <w:color w:val="000000"/>
              </w:rPr>
            </w:pPr>
            <w:r w:rsidRPr="00DD536A">
              <w:rPr>
                <w:rFonts w:ascii="Calibri" w:eastAsia="Times New Roman" w:hAnsi="Calibri" w:cs="Calibri"/>
                <w:color w:val="000000"/>
              </w:rPr>
              <w:t>Moving</w:t>
            </w:r>
          </w:p>
        </w:tc>
        <w:tc>
          <w:tcPr>
            <w:tcW w:w="993" w:type="dxa"/>
            <w:tcBorders>
              <w:top w:val="nil"/>
              <w:left w:val="single" w:sz="4" w:space="0" w:color="auto"/>
              <w:bottom w:val="nil"/>
              <w:right w:val="nil"/>
            </w:tcBorders>
            <w:shd w:val="clear" w:color="auto" w:fill="auto"/>
            <w:noWrap/>
            <w:vAlign w:val="bottom"/>
            <w:hideMark/>
          </w:tcPr>
          <w:p w14:paraId="37A81620"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54</w:t>
            </w:r>
          </w:p>
        </w:tc>
        <w:tc>
          <w:tcPr>
            <w:tcW w:w="1109" w:type="dxa"/>
            <w:tcBorders>
              <w:top w:val="nil"/>
              <w:left w:val="nil"/>
              <w:bottom w:val="nil"/>
              <w:right w:val="nil"/>
            </w:tcBorders>
            <w:shd w:val="clear" w:color="auto" w:fill="auto"/>
            <w:noWrap/>
            <w:vAlign w:val="bottom"/>
            <w:hideMark/>
          </w:tcPr>
          <w:p w14:paraId="46659694"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6</w:t>
            </w:r>
          </w:p>
        </w:tc>
        <w:tc>
          <w:tcPr>
            <w:tcW w:w="890" w:type="dxa"/>
            <w:tcBorders>
              <w:top w:val="nil"/>
              <w:left w:val="nil"/>
              <w:bottom w:val="nil"/>
              <w:right w:val="nil"/>
            </w:tcBorders>
            <w:shd w:val="clear" w:color="auto" w:fill="D9D9D9" w:themeFill="background1" w:themeFillShade="D9"/>
            <w:noWrap/>
            <w:vAlign w:val="bottom"/>
            <w:hideMark/>
          </w:tcPr>
          <w:p w14:paraId="424E7426"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80</w:t>
            </w:r>
          </w:p>
        </w:tc>
        <w:tc>
          <w:tcPr>
            <w:tcW w:w="977" w:type="dxa"/>
            <w:tcBorders>
              <w:top w:val="nil"/>
              <w:left w:val="nil"/>
              <w:bottom w:val="nil"/>
              <w:right w:val="nil"/>
            </w:tcBorders>
            <w:shd w:val="clear" w:color="auto" w:fill="auto"/>
            <w:noWrap/>
            <w:vAlign w:val="bottom"/>
            <w:hideMark/>
          </w:tcPr>
          <w:p w14:paraId="56CA9B1D"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21</w:t>
            </w:r>
          </w:p>
        </w:tc>
        <w:tc>
          <w:tcPr>
            <w:tcW w:w="993" w:type="dxa"/>
            <w:tcBorders>
              <w:top w:val="nil"/>
              <w:left w:val="nil"/>
              <w:bottom w:val="nil"/>
              <w:right w:val="nil"/>
            </w:tcBorders>
            <w:shd w:val="clear" w:color="auto" w:fill="auto"/>
            <w:noWrap/>
            <w:vAlign w:val="bottom"/>
            <w:hideMark/>
          </w:tcPr>
          <w:p w14:paraId="35AD820D"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5</w:t>
            </w:r>
          </w:p>
        </w:tc>
      </w:tr>
      <w:tr w:rsidR="00501BF5" w:rsidRPr="00DD536A" w14:paraId="228490C7" w14:textId="77777777" w:rsidTr="00501BF5">
        <w:trPr>
          <w:trHeight w:val="288"/>
          <w:jc w:val="center"/>
        </w:trPr>
        <w:tc>
          <w:tcPr>
            <w:tcW w:w="498" w:type="dxa"/>
            <w:vMerge/>
            <w:tcBorders>
              <w:top w:val="nil"/>
              <w:left w:val="nil"/>
              <w:bottom w:val="nil"/>
              <w:right w:val="nil"/>
            </w:tcBorders>
            <w:vAlign w:val="center"/>
            <w:hideMark/>
          </w:tcPr>
          <w:p w14:paraId="5AACBA43" w14:textId="77777777" w:rsidR="00501BF5" w:rsidRPr="00DD536A" w:rsidRDefault="00501BF5" w:rsidP="00B940C4">
            <w:pPr>
              <w:spacing w:after="0" w:line="240" w:lineRule="auto"/>
              <w:rPr>
                <w:rFonts w:ascii="Calibri" w:eastAsia="Times New Roman" w:hAnsi="Calibri" w:cs="Calibri"/>
                <w:color w:val="000000"/>
              </w:rPr>
            </w:pPr>
          </w:p>
        </w:tc>
        <w:tc>
          <w:tcPr>
            <w:tcW w:w="1203" w:type="dxa"/>
            <w:tcBorders>
              <w:top w:val="nil"/>
              <w:left w:val="nil"/>
              <w:bottom w:val="nil"/>
              <w:right w:val="single" w:sz="4" w:space="0" w:color="auto"/>
            </w:tcBorders>
            <w:shd w:val="clear" w:color="auto" w:fill="auto"/>
            <w:noWrap/>
            <w:vAlign w:val="bottom"/>
            <w:hideMark/>
          </w:tcPr>
          <w:p w14:paraId="2F72944D" w14:textId="77777777" w:rsidR="00501BF5" w:rsidRPr="00DD536A" w:rsidRDefault="00501BF5" w:rsidP="00B940C4">
            <w:pPr>
              <w:spacing w:after="0" w:line="240" w:lineRule="auto"/>
              <w:rPr>
                <w:rFonts w:ascii="Calibri" w:eastAsia="Times New Roman" w:hAnsi="Calibri" w:cs="Calibri"/>
                <w:color w:val="000000"/>
              </w:rPr>
            </w:pPr>
            <w:r w:rsidRPr="00DD536A">
              <w:rPr>
                <w:rFonts w:ascii="Calibri" w:eastAsia="Times New Roman" w:hAnsi="Calibri" w:cs="Calibri"/>
                <w:color w:val="000000"/>
              </w:rPr>
              <w:t>Resting</w:t>
            </w:r>
          </w:p>
        </w:tc>
        <w:tc>
          <w:tcPr>
            <w:tcW w:w="993" w:type="dxa"/>
            <w:tcBorders>
              <w:top w:val="nil"/>
              <w:left w:val="single" w:sz="4" w:space="0" w:color="auto"/>
              <w:bottom w:val="nil"/>
              <w:right w:val="nil"/>
            </w:tcBorders>
            <w:shd w:val="clear" w:color="auto" w:fill="auto"/>
            <w:noWrap/>
            <w:vAlign w:val="bottom"/>
            <w:hideMark/>
          </w:tcPr>
          <w:p w14:paraId="59B02064"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70</w:t>
            </w:r>
          </w:p>
        </w:tc>
        <w:tc>
          <w:tcPr>
            <w:tcW w:w="1109" w:type="dxa"/>
            <w:tcBorders>
              <w:top w:val="nil"/>
              <w:left w:val="nil"/>
              <w:bottom w:val="nil"/>
              <w:right w:val="nil"/>
            </w:tcBorders>
            <w:shd w:val="clear" w:color="auto" w:fill="auto"/>
            <w:noWrap/>
            <w:vAlign w:val="bottom"/>
            <w:hideMark/>
          </w:tcPr>
          <w:p w14:paraId="54D79509"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6</w:t>
            </w:r>
          </w:p>
        </w:tc>
        <w:tc>
          <w:tcPr>
            <w:tcW w:w="890" w:type="dxa"/>
            <w:tcBorders>
              <w:top w:val="nil"/>
              <w:left w:val="nil"/>
              <w:bottom w:val="nil"/>
              <w:right w:val="nil"/>
            </w:tcBorders>
            <w:shd w:val="clear" w:color="auto" w:fill="auto"/>
            <w:noWrap/>
            <w:vAlign w:val="bottom"/>
            <w:hideMark/>
          </w:tcPr>
          <w:p w14:paraId="6D7D6C02"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0</w:t>
            </w:r>
          </w:p>
        </w:tc>
        <w:tc>
          <w:tcPr>
            <w:tcW w:w="977" w:type="dxa"/>
            <w:tcBorders>
              <w:top w:val="nil"/>
              <w:left w:val="nil"/>
              <w:bottom w:val="nil"/>
              <w:right w:val="nil"/>
            </w:tcBorders>
            <w:shd w:val="clear" w:color="auto" w:fill="D9D9D9" w:themeFill="background1" w:themeFillShade="D9"/>
            <w:noWrap/>
            <w:vAlign w:val="bottom"/>
            <w:hideMark/>
          </w:tcPr>
          <w:p w14:paraId="7FA57E96"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1270</w:t>
            </w:r>
          </w:p>
        </w:tc>
        <w:tc>
          <w:tcPr>
            <w:tcW w:w="993" w:type="dxa"/>
            <w:tcBorders>
              <w:top w:val="nil"/>
              <w:left w:val="nil"/>
              <w:bottom w:val="nil"/>
              <w:right w:val="nil"/>
            </w:tcBorders>
            <w:shd w:val="clear" w:color="auto" w:fill="auto"/>
            <w:noWrap/>
            <w:vAlign w:val="bottom"/>
            <w:hideMark/>
          </w:tcPr>
          <w:p w14:paraId="0AF6360F"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6</w:t>
            </w:r>
          </w:p>
        </w:tc>
      </w:tr>
      <w:tr w:rsidR="00501BF5" w:rsidRPr="00DD536A" w14:paraId="625D1607" w14:textId="77777777" w:rsidTr="00501BF5">
        <w:trPr>
          <w:trHeight w:val="288"/>
          <w:jc w:val="center"/>
        </w:trPr>
        <w:tc>
          <w:tcPr>
            <w:tcW w:w="498" w:type="dxa"/>
            <w:vMerge/>
            <w:tcBorders>
              <w:top w:val="nil"/>
              <w:left w:val="nil"/>
              <w:bottom w:val="nil"/>
              <w:right w:val="nil"/>
            </w:tcBorders>
            <w:vAlign w:val="center"/>
            <w:hideMark/>
          </w:tcPr>
          <w:p w14:paraId="52B2E607" w14:textId="77777777" w:rsidR="00501BF5" w:rsidRPr="00DD536A" w:rsidRDefault="00501BF5" w:rsidP="00B940C4">
            <w:pPr>
              <w:spacing w:after="0" w:line="240" w:lineRule="auto"/>
              <w:rPr>
                <w:rFonts w:ascii="Calibri" w:eastAsia="Times New Roman" w:hAnsi="Calibri" w:cs="Calibri"/>
                <w:color w:val="000000"/>
              </w:rPr>
            </w:pPr>
          </w:p>
        </w:tc>
        <w:tc>
          <w:tcPr>
            <w:tcW w:w="1203" w:type="dxa"/>
            <w:tcBorders>
              <w:top w:val="nil"/>
              <w:left w:val="nil"/>
              <w:bottom w:val="nil"/>
              <w:right w:val="single" w:sz="4" w:space="0" w:color="auto"/>
            </w:tcBorders>
            <w:shd w:val="clear" w:color="auto" w:fill="auto"/>
            <w:noWrap/>
            <w:vAlign w:val="bottom"/>
            <w:hideMark/>
          </w:tcPr>
          <w:p w14:paraId="342F7C2D" w14:textId="77777777" w:rsidR="00501BF5" w:rsidRPr="00DD536A" w:rsidRDefault="00501BF5" w:rsidP="00B940C4">
            <w:pPr>
              <w:spacing w:after="0" w:line="240" w:lineRule="auto"/>
              <w:rPr>
                <w:rFonts w:ascii="Calibri" w:eastAsia="Times New Roman" w:hAnsi="Calibri" w:cs="Calibri"/>
                <w:color w:val="000000"/>
              </w:rPr>
            </w:pPr>
            <w:r w:rsidRPr="00DD536A">
              <w:rPr>
                <w:rFonts w:ascii="Calibri" w:eastAsia="Times New Roman" w:hAnsi="Calibri" w:cs="Calibri"/>
                <w:color w:val="000000"/>
              </w:rPr>
              <w:t>Vigilance</w:t>
            </w:r>
          </w:p>
        </w:tc>
        <w:tc>
          <w:tcPr>
            <w:tcW w:w="993" w:type="dxa"/>
            <w:tcBorders>
              <w:top w:val="nil"/>
              <w:left w:val="single" w:sz="4" w:space="0" w:color="auto"/>
              <w:bottom w:val="nil"/>
              <w:right w:val="nil"/>
            </w:tcBorders>
            <w:shd w:val="clear" w:color="auto" w:fill="auto"/>
            <w:noWrap/>
            <w:vAlign w:val="bottom"/>
            <w:hideMark/>
          </w:tcPr>
          <w:p w14:paraId="1CBB97D3"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6</w:t>
            </w:r>
          </w:p>
        </w:tc>
        <w:tc>
          <w:tcPr>
            <w:tcW w:w="1109" w:type="dxa"/>
            <w:tcBorders>
              <w:top w:val="nil"/>
              <w:left w:val="nil"/>
              <w:bottom w:val="nil"/>
              <w:right w:val="nil"/>
            </w:tcBorders>
            <w:shd w:val="clear" w:color="auto" w:fill="auto"/>
            <w:noWrap/>
            <w:vAlign w:val="bottom"/>
            <w:hideMark/>
          </w:tcPr>
          <w:p w14:paraId="63BC4C72"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13</w:t>
            </w:r>
          </w:p>
        </w:tc>
        <w:tc>
          <w:tcPr>
            <w:tcW w:w="890" w:type="dxa"/>
            <w:tcBorders>
              <w:top w:val="nil"/>
              <w:left w:val="nil"/>
              <w:bottom w:val="nil"/>
              <w:right w:val="nil"/>
            </w:tcBorders>
            <w:shd w:val="clear" w:color="auto" w:fill="auto"/>
            <w:noWrap/>
            <w:vAlign w:val="bottom"/>
            <w:hideMark/>
          </w:tcPr>
          <w:p w14:paraId="49CDA69A"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0</w:t>
            </w:r>
          </w:p>
        </w:tc>
        <w:tc>
          <w:tcPr>
            <w:tcW w:w="977" w:type="dxa"/>
            <w:tcBorders>
              <w:top w:val="nil"/>
              <w:left w:val="nil"/>
              <w:bottom w:val="nil"/>
              <w:right w:val="nil"/>
            </w:tcBorders>
            <w:shd w:val="clear" w:color="auto" w:fill="auto"/>
            <w:noWrap/>
            <w:vAlign w:val="bottom"/>
            <w:hideMark/>
          </w:tcPr>
          <w:p w14:paraId="717D3F14"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39</w:t>
            </w:r>
          </w:p>
        </w:tc>
        <w:tc>
          <w:tcPr>
            <w:tcW w:w="993" w:type="dxa"/>
            <w:tcBorders>
              <w:top w:val="nil"/>
              <w:left w:val="nil"/>
              <w:bottom w:val="nil"/>
              <w:right w:val="nil"/>
            </w:tcBorders>
            <w:shd w:val="clear" w:color="auto" w:fill="D9D9D9" w:themeFill="background1" w:themeFillShade="D9"/>
            <w:noWrap/>
            <w:vAlign w:val="bottom"/>
            <w:hideMark/>
          </w:tcPr>
          <w:p w14:paraId="6CE9DA00"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1</w:t>
            </w:r>
          </w:p>
        </w:tc>
      </w:tr>
    </w:tbl>
    <w:p w14:paraId="2822F744" w14:textId="77777777" w:rsidR="00501BF5" w:rsidRPr="00DD536A" w:rsidRDefault="00501BF5" w:rsidP="00501BF5">
      <w:pPr>
        <w:spacing w:line="480" w:lineRule="auto"/>
        <w:jc w:val="both"/>
      </w:pPr>
    </w:p>
    <w:p w14:paraId="6074B4AE" w14:textId="5503B1DA" w:rsidR="00501BF5" w:rsidRPr="00DD536A" w:rsidRDefault="00501BF5" w:rsidP="00501BF5">
      <w:pPr>
        <w:spacing w:line="240" w:lineRule="auto"/>
        <w:jc w:val="both"/>
        <w:rPr>
          <w:lang w:val="en-GB"/>
        </w:rPr>
      </w:pPr>
      <w:r w:rsidRPr="00DD536A">
        <w:rPr>
          <w:b/>
          <w:lang w:val="en-GB"/>
        </w:rPr>
        <w:t xml:space="preserve">Table </w:t>
      </w:r>
      <w:r w:rsidR="009A030B" w:rsidRPr="00DD536A">
        <w:rPr>
          <w:b/>
        </w:rPr>
        <w:t>S</w:t>
      </w:r>
      <w:r w:rsidRPr="00DD536A">
        <w:rPr>
          <w:b/>
          <w:lang w:val="en-GB"/>
        </w:rPr>
        <w:t>3</w:t>
      </w:r>
      <w:r w:rsidR="009A030B" w:rsidRPr="00DD536A">
        <w:rPr>
          <w:b/>
        </w:rPr>
        <w:t>.3</w:t>
      </w:r>
      <w:r w:rsidRPr="00DD536A">
        <w:rPr>
          <w:lang w:val="en-GB"/>
        </w:rPr>
        <w:t xml:space="preserve"> The results for precision, recall and F1 for each of the random forest classes. The higher the number the better the classification for the according class (here behavioural modes) was done by the random forest algorithm </w:t>
      </w:r>
    </w:p>
    <w:tbl>
      <w:tblPr>
        <w:tblW w:w="6521" w:type="dxa"/>
        <w:jc w:val="center"/>
        <w:tblLook w:val="04A0" w:firstRow="1" w:lastRow="0" w:firstColumn="1" w:lastColumn="0" w:noHBand="0" w:noVBand="1"/>
      </w:tblPr>
      <w:tblGrid>
        <w:gridCol w:w="1580"/>
        <w:gridCol w:w="989"/>
        <w:gridCol w:w="1109"/>
        <w:gridCol w:w="890"/>
        <w:gridCol w:w="875"/>
        <w:gridCol w:w="1168"/>
      </w:tblGrid>
      <w:tr w:rsidR="00501BF5" w:rsidRPr="00DD536A" w14:paraId="5F7F9B50" w14:textId="77777777" w:rsidTr="00B940C4">
        <w:trPr>
          <w:trHeight w:val="288"/>
          <w:jc w:val="center"/>
        </w:trPr>
        <w:tc>
          <w:tcPr>
            <w:tcW w:w="1580" w:type="dxa"/>
            <w:tcBorders>
              <w:top w:val="nil"/>
              <w:left w:val="nil"/>
              <w:bottom w:val="single" w:sz="4" w:space="0" w:color="auto"/>
              <w:right w:val="single" w:sz="4" w:space="0" w:color="auto"/>
            </w:tcBorders>
            <w:shd w:val="clear" w:color="auto" w:fill="auto"/>
            <w:noWrap/>
            <w:vAlign w:val="center"/>
            <w:hideMark/>
          </w:tcPr>
          <w:p w14:paraId="78447443" w14:textId="77777777" w:rsidR="00501BF5" w:rsidRPr="00DD536A" w:rsidRDefault="00501BF5" w:rsidP="00B940C4">
            <w:pPr>
              <w:spacing w:after="0" w:line="240" w:lineRule="auto"/>
              <w:rPr>
                <w:rFonts w:ascii="Times New Roman" w:eastAsia="Times New Roman" w:hAnsi="Times New Roman" w:cs="Times New Roman"/>
                <w:sz w:val="20"/>
                <w:szCs w:val="20"/>
                <w:lang w:val="en-GB"/>
              </w:rPr>
            </w:pPr>
          </w:p>
        </w:tc>
        <w:tc>
          <w:tcPr>
            <w:tcW w:w="989" w:type="dxa"/>
            <w:tcBorders>
              <w:top w:val="nil"/>
              <w:left w:val="single" w:sz="4" w:space="0" w:color="auto"/>
              <w:bottom w:val="single" w:sz="4" w:space="0" w:color="auto"/>
              <w:right w:val="nil"/>
            </w:tcBorders>
            <w:shd w:val="clear" w:color="auto" w:fill="auto"/>
            <w:noWrap/>
            <w:vAlign w:val="center"/>
            <w:hideMark/>
          </w:tcPr>
          <w:p w14:paraId="752D349C" w14:textId="77777777" w:rsidR="00501BF5" w:rsidRPr="00DD536A" w:rsidRDefault="00501BF5" w:rsidP="00B940C4">
            <w:pPr>
              <w:spacing w:after="0" w:line="240" w:lineRule="auto"/>
              <w:jc w:val="center"/>
              <w:rPr>
                <w:rFonts w:ascii="Calibri" w:eastAsia="Times New Roman" w:hAnsi="Calibri" w:cs="Calibri"/>
                <w:color w:val="000000"/>
              </w:rPr>
            </w:pPr>
            <w:r w:rsidRPr="00DD536A">
              <w:rPr>
                <w:rFonts w:ascii="Calibri" w:eastAsia="Times New Roman" w:hAnsi="Calibri" w:cs="Calibri"/>
                <w:color w:val="000000"/>
              </w:rPr>
              <w:t>Foraging</w:t>
            </w:r>
          </w:p>
        </w:tc>
        <w:tc>
          <w:tcPr>
            <w:tcW w:w="1109" w:type="dxa"/>
            <w:tcBorders>
              <w:top w:val="nil"/>
              <w:left w:val="nil"/>
              <w:bottom w:val="single" w:sz="4" w:space="0" w:color="auto"/>
              <w:right w:val="nil"/>
            </w:tcBorders>
            <w:shd w:val="clear" w:color="auto" w:fill="auto"/>
            <w:noWrap/>
            <w:vAlign w:val="center"/>
            <w:hideMark/>
          </w:tcPr>
          <w:p w14:paraId="624831B1" w14:textId="77777777" w:rsidR="00501BF5" w:rsidRPr="00DD536A" w:rsidRDefault="00501BF5" w:rsidP="00B940C4">
            <w:pPr>
              <w:spacing w:after="0" w:line="240" w:lineRule="auto"/>
              <w:jc w:val="center"/>
              <w:rPr>
                <w:rFonts w:ascii="Calibri" w:eastAsia="Times New Roman" w:hAnsi="Calibri" w:cs="Calibri"/>
                <w:color w:val="000000"/>
              </w:rPr>
            </w:pPr>
            <w:r w:rsidRPr="00DD536A">
              <w:rPr>
                <w:rFonts w:ascii="Calibri" w:eastAsia="Times New Roman" w:hAnsi="Calibri" w:cs="Calibri"/>
                <w:color w:val="000000"/>
              </w:rPr>
              <w:t>Grooming</w:t>
            </w:r>
          </w:p>
        </w:tc>
        <w:tc>
          <w:tcPr>
            <w:tcW w:w="890" w:type="dxa"/>
            <w:tcBorders>
              <w:top w:val="nil"/>
              <w:left w:val="nil"/>
              <w:bottom w:val="single" w:sz="4" w:space="0" w:color="auto"/>
              <w:right w:val="nil"/>
            </w:tcBorders>
            <w:shd w:val="clear" w:color="auto" w:fill="auto"/>
            <w:noWrap/>
            <w:vAlign w:val="center"/>
            <w:hideMark/>
          </w:tcPr>
          <w:p w14:paraId="06A7383C" w14:textId="77777777" w:rsidR="00501BF5" w:rsidRPr="00DD536A" w:rsidRDefault="00501BF5" w:rsidP="00B940C4">
            <w:pPr>
              <w:spacing w:after="0" w:line="240" w:lineRule="auto"/>
              <w:jc w:val="center"/>
              <w:rPr>
                <w:rFonts w:ascii="Calibri" w:eastAsia="Times New Roman" w:hAnsi="Calibri" w:cs="Calibri"/>
                <w:color w:val="000000"/>
              </w:rPr>
            </w:pPr>
            <w:r w:rsidRPr="00DD536A">
              <w:rPr>
                <w:rFonts w:ascii="Calibri" w:eastAsia="Times New Roman" w:hAnsi="Calibri" w:cs="Calibri"/>
                <w:color w:val="000000"/>
              </w:rPr>
              <w:t>Moving</w:t>
            </w:r>
          </w:p>
        </w:tc>
        <w:tc>
          <w:tcPr>
            <w:tcW w:w="785" w:type="dxa"/>
            <w:tcBorders>
              <w:top w:val="nil"/>
              <w:left w:val="nil"/>
              <w:bottom w:val="single" w:sz="4" w:space="0" w:color="auto"/>
              <w:right w:val="nil"/>
            </w:tcBorders>
            <w:shd w:val="clear" w:color="auto" w:fill="auto"/>
            <w:noWrap/>
            <w:vAlign w:val="center"/>
            <w:hideMark/>
          </w:tcPr>
          <w:p w14:paraId="5824FC9C" w14:textId="77777777" w:rsidR="00501BF5" w:rsidRPr="00DD536A" w:rsidRDefault="00501BF5" w:rsidP="00B940C4">
            <w:pPr>
              <w:spacing w:after="0" w:line="240" w:lineRule="auto"/>
              <w:jc w:val="center"/>
              <w:rPr>
                <w:rFonts w:ascii="Calibri" w:eastAsia="Times New Roman" w:hAnsi="Calibri" w:cs="Calibri"/>
                <w:color w:val="000000"/>
              </w:rPr>
            </w:pPr>
            <w:r w:rsidRPr="00DD536A">
              <w:rPr>
                <w:rFonts w:ascii="Calibri" w:eastAsia="Times New Roman" w:hAnsi="Calibri" w:cs="Calibri"/>
                <w:color w:val="000000"/>
              </w:rPr>
              <w:t>Resting</w:t>
            </w:r>
          </w:p>
        </w:tc>
        <w:tc>
          <w:tcPr>
            <w:tcW w:w="1168" w:type="dxa"/>
            <w:tcBorders>
              <w:top w:val="nil"/>
              <w:left w:val="nil"/>
              <w:bottom w:val="single" w:sz="4" w:space="0" w:color="auto"/>
              <w:right w:val="nil"/>
            </w:tcBorders>
            <w:shd w:val="clear" w:color="auto" w:fill="auto"/>
            <w:noWrap/>
            <w:vAlign w:val="center"/>
            <w:hideMark/>
          </w:tcPr>
          <w:p w14:paraId="1DFBC9F6" w14:textId="77777777" w:rsidR="00501BF5" w:rsidRPr="00DD536A" w:rsidRDefault="00501BF5" w:rsidP="00B940C4">
            <w:pPr>
              <w:spacing w:after="0" w:line="240" w:lineRule="auto"/>
              <w:jc w:val="center"/>
              <w:rPr>
                <w:rFonts w:ascii="Calibri" w:eastAsia="Times New Roman" w:hAnsi="Calibri" w:cs="Calibri"/>
                <w:color w:val="000000"/>
              </w:rPr>
            </w:pPr>
            <w:r w:rsidRPr="00DD536A">
              <w:rPr>
                <w:rFonts w:ascii="Calibri" w:eastAsia="Times New Roman" w:hAnsi="Calibri" w:cs="Calibri"/>
                <w:color w:val="000000"/>
              </w:rPr>
              <w:t>Vigilance</w:t>
            </w:r>
          </w:p>
        </w:tc>
      </w:tr>
      <w:tr w:rsidR="00501BF5" w:rsidRPr="00DD536A" w14:paraId="6BB0299A" w14:textId="77777777" w:rsidTr="00B940C4">
        <w:trPr>
          <w:trHeight w:val="288"/>
          <w:jc w:val="center"/>
        </w:trPr>
        <w:tc>
          <w:tcPr>
            <w:tcW w:w="1580" w:type="dxa"/>
            <w:tcBorders>
              <w:top w:val="single" w:sz="4" w:space="0" w:color="auto"/>
              <w:left w:val="nil"/>
              <w:bottom w:val="nil"/>
              <w:right w:val="single" w:sz="4" w:space="0" w:color="auto"/>
            </w:tcBorders>
            <w:shd w:val="clear" w:color="auto" w:fill="auto"/>
            <w:noWrap/>
            <w:vAlign w:val="bottom"/>
            <w:hideMark/>
          </w:tcPr>
          <w:p w14:paraId="3D7627B3" w14:textId="77777777" w:rsidR="00501BF5" w:rsidRPr="00DD536A" w:rsidRDefault="00501BF5" w:rsidP="00B940C4">
            <w:pPr>
              <w:spacing w:after="0" w:line="240" w:lineRule="auto"/>
              <w:rPr>
                <w:rFonts w:ascii="Calibri" w:eastAsia="Times New Roman" w:hAnsi="Calibri" w:cs="Calibri"/>
                <w:color w:val="000000"/>
              </w:rPr>
            </w:pPr>
            <w:r w:rsidRPr="00DD536A">
              <w:rPr>
                <w:rFonts w:ascii="Calibri" w:eastAsia="Times New Roman" w:hAnsi="Calibri" w:cs="Calibri"/>
                <w:color w:val="000000"/>
              </w:rPr>
              <w:t>Precision</w:t>
            </w:r>
          </w:p>
        </w:tc>
        <w:tc>
          <w:tcPr>
            <w:tcW w:w="989" w:type="dxa"/>
            <w:tcBorders>
              <w:top w:val="single" w:sz="4" w:space="0" w:color="auto"/>
              <w:left w:val="single" w:sz="4" w:space="0" w:color="auto"/>
              <w:bottom w:val="nil"/>
              <w:right w:val="nil"/>
            </w:tcBorders>
            <w:shd w:val="clear" w:color="auto" w:fill="auto"/>
            <w:noWrap/>
            <w:vAlign w:val="bottom"/>
            <w:hideMark/>
          </w:tcPr>
          <w:p w14:paraId="78DDDD7C"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0.664</w:t>
            </w:r>
          </w:p>
        </w:tc>
        <w:tc>
          <w:tcPr>
            <w:tcW w:w="1109" w:type="dxa"/>
            <w:tcBorders>
              <w:top w:val="single" w:sz="4" w:space="0" w:color="auto"/>
              <w:left w:val="nil"/>
              <w:bottom w:val="nil"/>
              <w:right w:val="nil"/>
            </w:tcBorders>
            <w:shd w:val="clear" w:color="auto" w:fill="auto"/>
            <w:noWrap/>
            <w:vAlign w:val="bottom"/>
            <w:hideMark/>
          </w:tcPr>
          <w:p w14:paraId="7286C79E"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0.217</w:t>
            </w:r>
          </w:p>
        </w:tc>
        <w:tc>
          <w:tcPr>
            <w:tcW w:w="890" w:type="dxa"/>
            <w:tcBorders>
              <w:top w:val="single" w:sz="4" w:space="0" w:color="auto"/>
              <w:left w:val="nil"/>
              <w:bottom w:val="nil"/>
              <w:right w:val="nil"/>
            </w:tcBorders>
            <w:shd w:val="clear" w:color="auto" w:fill="auto"/>
            <w:noWrap/>
            <w:vAlign w:val="bottom"/>
            <w:hideMark/>
          </w:tcPr>
          <w:p w14:paraId="37A4F60E"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0.482</w:t>
            </w:r>
          </w:p>
        </w:tc>
        <w:tc>
          <w:tcPr>
            <w:tcW w:w="785" w:type="dxa"/>
            <w:tcBorders>
              <w:top w:val="single" w:sz="4" w:space="0" w:color="auto"/>
              <w:left w:val="nil"/>
              <w:bottom w:val="nil"/>
              <w:right w:val="nil"/>
            </w:tcBorders>
            <w:shd w:val="clear" w:color="auto" w:fill="auto"/>
            <w:noWrap/>
            <w:vAlign w:val="bottom"/>
            <w:hideMark/>
          </w:tcPr>
          <w:p w14:paraId="4E804217"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0.939</w:t>
            </w:r>
          </w:p>
        </w:tc>
        <w:tc>
          <w:tcPr>
            <w:tcW w:w="1168" w:type="dxa"/>
            <w:tcBorders>
              <w:top w:val="single" w:sz="4" w:space="0" w:color="auto"/>
              <w:left w:val="nil"/>
              <w:bottom w:val="nil"/>
              <w:right w:val="nil"/>
            </w:tcBorders>
            <w:shd w:val="clear" w:color="auto" w:fill="auto"/>
            <w:noWrap/>
            <w:vAlign w:val="bottom"/>
            <w:hideMark/>
          </w:tcPr>
          <w:p w14:paraId="29743F61"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0.016</w:t>
            </w:r>
          </w:p>
        </w:tc>
      </w:tr>
      <w:tr w:rsidR="00501BF5" w:rsidRPr="00DD536A" w14:paraId="66D459F8" w14:textId="77777777" w:rsidTr="00B940C4">
        <w:trPr>
          <w:trHeight w:val="288"/>
          <w:jc w:val="center"/>
        </w:trPr>
        <w:tc>
          <w:tcPr>
            <w:tcW w:w="1580" w:type="dxa"/>
            <w:tcBorders>
              <w:top w:val="nil"/>
              <w:left w:val="nil"/>
              <w:bottom w:val="nil"/>
              <w:right w:val="single" w:sz="4" w:space="0" w:color="auto"/>
            </w:tcBorders>
            <w:shd w:val="clear" w:color="auto" w:fill="auto"/>
            <w:noWrap/>
            <w:vAlign w:val="bottom"/>
            <w:hideMark/>
          </w:tcPr>
          <w:p w14:paraId="6038F014" w14:textId="77777777" w:rsidR="00501BF5" w:rsidRPr="00DD536A" w:rsidRDefault="00501BF5" w:rsidP="00B940C4">
            <w:pPr>
              <w:spacing w:after="0" w:line="240" w:lineRule="auto"/>
              <w:rPr>
                <w:rFonts w:ascii="Calibri" w:eastAsia="Times New Roman" w:hAnsi="Calibri" w:cs="Calibri"/>
                <w:color w:val="000000"/>
              </w:rPr>
            </w:pPr>
            <w:r w:rsidRPr="00DD536A">
              <w:rPr>
                <w:rFonts w:ascii="Calibri" w:eastAsia="Times New Roman" w:hAnsi="Calibri" w:cs="Calibri"/>
                <w:color w:val="000000"/>
              </w:rPr>
              <w:lastRenderedPageBreak/>
              <w:t>Recall</w:t>
            </w:r>
          </w:p>
        </w:tc>
        <w:tc>
          <w:tcPr>
            <w:tcW w:w="989" w:type="dxa"/>
            <w:tcBorders>
              <w:top w:val="nil"/>
              <w:left w:val="single" w:sz="4" w:space="0" w:color="auto"/>
              <w:bottom w:val="nil"/>
              <w:right w:val="nil"/>
            </w:tcBorders>
            <w:shd w:val="clear" w:color="auto" w:fill="auto"/>
            <w:noWrap/>
            <w:vAlign w:val="bottom"/>
            <w:hideMark/>
          </w:tcPr>
          <w:p w14:paraId="035F2847"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0.609</w:t>
            </w:r>
          </w:p>
        </w:tc>
        <w:tc>
          <w:tcPr>
            <w:tcW w:w="1109" w:type="dxa"/>
            <w:tcBorders>
              <w:top w:val="nil"/>
              <w:left w:val="nil"/>
              <w:bottom w:val="nil"/>
              <w:right w:val="nil"/>
            </w:tcBorders>
            <w:shd w:val="clear" w:color="auto" w:fill="auto"/>
            <w:noWrap/>
            <w:vAlign w:val="bottom"/>
            <w:hideMark/>
          </w:tcPr>
          <w:p w14:paraId="7498ECAE"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0.229</w:t>
            </w:r>
          </w:p>
        </w:tc>
        <w:tc>
          <w:tcPr>
            <w:tcW w:w="890" w:type="dxa"/>
            <w:tcBorders>
              <w:top w:val="nil"/>
              <w:left w:val="nil"/>
              <w:bottom w:val="nil"/>
              <w:right w:val="nil"/>
            </w:tcBorders>
            <w:shd w:val="clear" w:color="auto" w:fill="auto"/>
            <w:noWrap/>
            <w:vAlign w:val="bottom"/>
            <w:hideMark/>
          </w:tcPr>
          <w:p w14:paraId="29BCB497"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0.909</w:t>
            </w:r>
          </w:p>
        </w:tc>
        <w:tc>
          <w:tcPr>
            <w:tcW w:w="785" w:type="dxa"/>
            <w:tcBorders>
              <w:top w:val="nil"/>
              <w:left w:val="nil"/>
              <w:bottom w:val="nil"/>
              <w:right w:val="nil"/>
            </w:tcBorders>
            <w:shd w:val="clear" w:color="auto" w:fill="auto"/>
            <w:noWrap/>
            <w:vAlign w:val="bottom"/>
            <w:hideMark/>
          </w:tcPr>
          <w:p w14:paraId="4768D58E"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0.879</w:t>
            </w:r>
          </w:p>
        </w:tc>
        <w:tc>
          <w:tcPr>
            <w:tcW w:w="1168" w:type="dxa"/>
            <w:tcBorders>
              <w:top w:val="nil"/>
              <w:left w:val="nil"/>
              <w:bottom w:val="nil"/>
              <w:right w:val="nil"/>
            </w:tcBorders>
            <w:shd w:val="clear" w:color="auto" w:fill="auto"/>
            <w:noWrap/>
            <w:vAlign w:val="bottom"/>
            <w:hideMark/>
          </w:tcPr>
          <w:p w14:paraId="1BD5741E"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0.062</w:t>
            </w:r>
          </w:p>
        </w:tc>
      </w:tr>
      <w:tr w:rsidR="00501BF5" w:rsidRPr="00DD536A" w14:paraId="799426F5" w14:textId="77777777" w:rsidTr="00B940C4">
        <w:trPr>
          <w:trHeight w:val="288"/>
          <w:jc w:val="center"/>
        </w:trPr>
        <w:tc>
          <w:tcPr>
            <w:tcW w:w="1580" w:type="dxa"/>
            <w:tcBorders>
              <w:top w:val="nil"/>
              <w:left w:val="nil"/>
              <w:bottom w:val="nil"/>
              <w:right w:val="single" w:sz="4" w:space="0" w:color="auto"/>
            </w:tcBorders>
            <w:shd w:val="clear" w:color="auto" w:fill="auto"/>
            <w:noWrap/>
            <w:vAlign w:val="bottom"/>
            <w:hideMark/>
          </w:tcPr>
          <w:p w14:paraId="7B8C6C56" w14:textId="77777777" w:rsidR="00501BF5" w:rsidRPr="00DD536A" w:rsidRDefault="00501BF5" w:rsidP="00B940C4">
            <w:pPr>
              <w:spacing w:after="0" w:line="240" w:lineRule="auto"/>
              <w:rPr>
                <w:rFonts w:ascii="Calibri" w:eastAsia="Times New Roman" w:hAnsi="Calibri" w:cs="Calibri"/>
                <w:color w:val="000000"/>
              </w:rPr>
            </w:pPr>
            <w:r w:rsidRPr="00DD536A">
              <w:rPr>
                <w:rFonts w:ascii="Calibri" w:eastAsia="Times New Roman" w:hAnsi="Calibri" w:cs="Calibri"/>
                <w:color w:val="000000"/>
              </w:rPr>
              <w:t>F1</w:t>
            </w:r>
          </w:p>
        </w:tc>
        <w:tc>
          <w:tcPr>
            <w:tcW w:w="989" w:type="dxa"/>
            <w:tcBorders>
              <w:top w:val="nil"/>
              <w:left w:val="single" w:sz="4" w:space="0" w:color="auto"/>
              <w:bottom w:val="nil"/>
              <w:right w:val="nil"/>
            </w:tcBorders>
            <w:shd w:val="clear" w:color="auto" w:fill="auto"/>
            <w:noWrap/>
            <w:vAlign w:val="bottom"/>
            <w:hideMark/>
          </w:tcPr>
          <w:p w14:paraId="55251900"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0.635</w:t>
            </w:r>
          </w:p>
        </w:tc>
        <w:tc>
          <w:tcPr>
            <w:tcW w:w="1109" w:type="dxa"/>
            <w:tcBorders>
              <w:top w:val="nil"/>
              <w:left w:val="nil"/>
              <w:bottom w:val="nil"/>
              <w:right w:val="nil"/>
            </w:tcBorders>
            <w:shd w:val="clear" w:color="auto" w:fill="auto"/>
            <w:noWrap/>
            <w:vAlign w:val="bottom"/>
            <w:hideMark/>
          </w:tcPr>
          <w:p w14:paraId="0B3CF549"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0.223</w:t>
            </w:r>
          </w:p>
        </w:tc>
        <w:tc>
          <w:tcPr>
            <w:tcW w:w="890" w:type="dxa"/>
            <w:tcBorders>
              <w:top w:val="nil"/>
              <w:left w:val="nil"/>
              <w:bottom w:val="nil"/>
              <w:right w:val="nil"/>
            </w:tcBorders>
            <w:shd w:val="clear" w:color="auto" w:fill="auto"/>
            <w:noWrap/>
            <w:vAlign w:val="bottom"/>
            <w:hideMark/>
          </w:tcPr>
          <w:p w14:paraId="3C9AB4A8"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0.629</w:t>
            </w:r>
          </w:p>
        </w:tc>
        <w:tc>
          <w:tcPr>
            <w:tcW w:w="785" w:type="dxa"/>
            <w:tcBorders>
              <w:top w:val="nil"/>
              <w:left w:val="nil"/>
              <w:bottom w:val="nil"/>
              <w:right w:val="nil"/>
            </w:tcBorders>
            <w:shd w:val="clear" w:color="auto" w:fill="auto"/>
            <w:noWrap/>
            <w:vAlign w:val="bottom"/>
            <w:hideMark/>
          </w:tcPr>
          <w:p w14:paraId="16116148"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0.908</w:t>
            </w:r>
          </w:p>
        </w:tc>
        <w:tc>
          <w:tcPr>
            <w:tcW w:w="1168" w:type="dxa"/>
            <w:tcBorders>
              <w:top w:val="nil"/>
              <w:left w:val="nil"/>
              <w:bottom w:val="nil"/>
              <w:right w:val="nil"/>
            </w:tcBorders>
            <w:shd w:val="clear" w:color="auto" w:fill="auto"/>
            <w:noWrap/>
            <w:vAlign w:val="bottom"/>
            <w:hideMark/>
          </w:tcPr>
          <w:p w14:paraId="33CDCF3D" w14:textId="77777777" w:rsidR="00501BF5" w:rsidRPr="00DD536A" w:rsidRDefault="00501BF5" w:rsidP="00B940C4">
            <w:pPr>
              <w:spacing w:after="0" w:line="240" w:lineRule="auto"/>
              <w:jc w:val="right"/>
              <w:rPr>
                <w:rFonts w:ascii="Calibri" w:eastAsia="Times New Roman" w:hAnsi="Calibri" w:cs="Calibri"/>
                <w:color w:val="000000"/>
              </w:rPr>
            </w:pPr>
            <w:r w:rsidRPr="00DD536A">
              <w:rPr>
                <w:rFonts w:ascii="Calibri" w:eastAsia="Times New Roman" w:hAnsi="Calibri" w:cs="Calibri"/>
                <w:color w:val="000000"/>
              </w:rPr>
              <w:t>0.026</w:t>
            </w:r>
          </w:p>
        </w:tc>
      </w:tr>
    </w:tbl>
    <w:p w14:paraId="09809887" w14:textId="4F6F9361" w:rsidR="005B0F48" w:rsidRPr="00DD536A" w:rsidRDefault="005B0F48" w:rsidP="005B0F48">
      <w:pPr>
        <w:pStyle w:val="Heading2"/>
        <w:rPr>
          <w:lang w:val="en-DE"/>
        </w:rPr>
      </w:pPr>
    </w:p>
    <w:p w14:paraId="2568356E" w14:textId="5397A946" w:rsidR="005B0F48" w:rsidRPr="00FE6A52" w:rsidRDefault="00BC4B37" w:rsidP="009A030B">
      <w:pPr>
        <w:spacing w:line="480" w:lineRule="auto"/>
        <w:jc w:val="both"/>
      </w:pPr>
      <w:r w:rsidRPr="00DD536A">
        <w:rPr>
          <w:rStyle w:val="jsx-3826740032"/>
        </w:rPr>
        <w:t>As</w:t>
      </w:r>
      <w:r w:rsidRPr="00DD536A">
        <w:rPr>
          <w:rStyle w:val="jsx-3826740032"/>
          <w:lang w:val="en-GB"/>
        </w:rPr>
        <w:t xml:space="preserve"> these two behaviours decreased the overall accuracy substantially</w:t>
      </w:r>
      <w:r w:rsidR="00520BC4">
        <w:rPr>
          <w:rStyle w:val="jsx-3826740032"/>
        </w:rPr>
        <w:t xml:space="preserve"> and showed values for precision, recall and F1 that were below 0.6</w:t>
      </w:r>
      <w:r w:rsidRPr="00DD536A">
        <w:rPr>
          <w:rStyle w:val="jsx-3826740032"/>
          <w:lang w:val="en-GB"/>
        </w:rPr>
        <w:t xml:space="preserve">, they were excluded from the analysis. One reason for the low reproducibility of “grooming” and “vigilance behaviour” may be the lower number of training bursts for those two categories </w:t>
      </w:r>
      <w:sdt>
        <w:sdtPr>
          <w:rPr>
            <w:rStyle w:val="jsx-3826740032"/>
            <w:color w:val="000000"/>
          </w:rPr>
          <w:tag w:val="MENDELEY_CITATION_v3_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"/>
          <w:id w:val="1432557299"/>
          <w:placeholder>
            <w:docPart w:val="7799D18F41764C47BB69424D242361AA"/>
          </w:placeholder>
        </w:sdtPr>
        <w:sdtEndPr>
          <w:rPr>
            <w:rStyle w:val="jsx-3826740032"/>
          </w:rPr>
        </w:sdtEndPr>
        <w:sdtContent>
          <w:r w:rsidRPr="00DD536A">
            <w:rPr>
              <w:rStyle w:val="jsx-3826740032"/>
              <w:color w:val="000000"/>
              <w:lang w:val="en-GB"/>
            </w:rPr>
            <w:t>(Lush et al. 2016)</w:t>
          </w:r>
        </w:sdtContent>
      </w:sdt>
      <w:r w:rsidRPr="00DD536A">
        <w:rPr>
          <w:rStyle w:val="jsx-3826740032"/>
          <w:lang w:val="en-GB"/>
        </w:rPr>
        <w:t>.</w:t>
      </w:r>
      <w:r w:rsidRPr="00DD536A">
        <w:rPr>
          <w:rStyle w:val="jsx-3826740032"/>
        </w:rPr>
        <w:t xml:space="preserve"> That grooming behaviour is difficult to identify was also the case in other studies (Wang et al. 2015, Lush et al. 2016), hence future studies and further technological development are needed to better distinguish grooming behaviour.</w:t>
      </w:r>
      <w:r w:rsidRPr="00DD536A">
        <w:rPr>
          <w:rStyle w:val="jsx-3826740032"/>
          <w:lang w:val="en-GB"/>
        </w:rPr>
        <w:t xml:space="preserve"> Foraging was most often confused with resting and moving (Table </w:t>
      </w:r>
      <w:r w:rsidRPr="00DD536A">
        <w:rPr>
          <w:rStyle w:val="jsx-3826740032"/>
        </w:rPr>
        <w:t>S3.</w:t>
      </w:r>
      <w:r w:rsidRPr="00DD536A">
        <w:rPr>
          <w:rStyle w:val="jsx-3826740032"/>
          <w:lang w:val="en-GB"/>
        </w:rPr>
        <w:t xml:space="preserve">2), which is not surprising, as foraging movements can be very subtle and therefore confused with resting, or involve movement and therefore </w:t>
      </w:r>
      <w:r w:rsidRPr="00DD536A">
        <w:rPr>
          <w:rStyle w:val="jsx-3826740032"/>
        </w:rPr>
        <w:t xml:space="preserve">be </w:t>
      </w:r>
      <w:r w:rsidRPr="00DD536A">
        <w:rPr>
          <w:rStyle w:val="jsx-3826740032"/>
          <w:lang w:val="en-GB"/>
        </w:rPr>
        <w:t xml:space="preserve">confused with moving. </w:t>
      </w:r>
      <w:r w:rsidR="005B0F48" w:rsidRPr="00DD536A">
        <w:t xml:space="preserve">However, </w:t>
      </w:r>
      <w:r w:rsidRPr="00DD536A">
        <w:t>despite the confusion between particular behaviours we are confident that our results are correct. P</w:t>
      </w:r>
      <w:r w:rsidR="005B0F48" w:rsidRPr="00DD536A">
        <w:t xml:space="preserve">articularly for the breeding season, hares in diverse habitats tend to move less during foraging as their resources can be found within close vicinity to each other. Hence, if foraging was wrongly classified as resting in high diverse habitats this would support our hypothesis and turn the respective slopes even more significant in the direction they are pointing </w:t>
      </w:r>
      <w:r w:rsidRPr="00DD536A">
        <w:t>at</w:t>
      </w:r>
      <w:r w:rsidR="005B0F48" w:rsidRPr="00DD536A">
        <w:t xml:space="preserve"> already. The same is true for moving. If foraging was wrongly classified as moving, because in low diverse habitats hares search more active for widespread resources it would mean that the slope for foraging behaviours would show a more significant decline from low diversity habitat to high diversity habitats.</w:t>
      </w:r>
      <w:r w:rsidR="005B0F48" w:rsidRPr="00FE6A52">
        <w:t xml:space="preserve"> </w:t>
      </w:r>
    </w:p>
    <w:p w14:paraId="4A6B8D46" w14:textId="7376682F" w:rsidR="00754BB2" w:rsidRPr="00754BB2" w:rsidRDefault="00754BB2" w:rsidP="00754BB2">
      <w:pPr>
        <w:autoSpaceDE w:val="0"/>
        <w:autoSpaceDN w:val="0"/>
        <w:ind w:hanging="480"/>
        <w:rPr>
          <w:rFonts w:eastAsia="Times New Roman"/>
          <w:lang w:val="en-GB"/>
        </w:rPr>
      </w:pPr>
      <w:r w:rsidRPr="00DF6D7D">
        <w:rPr>
          <w:rFonts w:eastAsia="Times New Roman"/>
          <w:lang w:val="en-GB"/>
        </w:rPr>
        <w:t>Dickinson ER, Stephens PA, Marks NJ, et al (2020) Best practice for collar deployment of tri-axial accelerometers on a terrestrial quadruped to provide accurate measurement of body acceleration. Animal Biotelemetry 8:1–8</w:t>
      </w:r>
    </w:p>
    <w:p w14:paraId="3B9F4675" w14:textId="55EB9979" w:rsidR="003A24F7" w:rsidRDefault="003A24F7" w:rsidP="006865F8">
      <w:pPr>
        <w:autoSpaceDE w:val="0"/>
        <w:autoSpaceDN w:val="0"/>
        <w:ind w:hanging="480"/>
        <w:rPr>
          <w:rFonts w:eastAsia="Times New Roman"/>
        </w:rPr>
      </w:pPr>
      <w:r w:rsidRPr="003A24F7">
        <w:rPr>
          <w:rFonts w:eastAsia="Times New Roman"/>
        </w:rPr>
        <w:t xml:space="preserve">Kuhn, M. (2008). Building Predictive Models in R Using the caret Package. Journal of Statistical Software, 28(5), 1 - 26. </w:t>
      </w:r>
    </w:p>
    <w:p w14:paraId="2DF8E4E3" w14:textId="7951E640" w:rsidR="006865F8" w:rsidRDefault="006865F8" w:rsidP="006865F8">
      <w:pPr>
        <w:autoSpaceDE w:val="0"/>
        <w:autoSpaceDN w:val="0"/>
        <w:ind w:hanging="480"/>
        <w:rPr>
          <w:rFonts w:eastAsia="Times New Roman"/>
          <w:lang w:val="en-GB"/>
        </w:rPr>
      </w:pPr>
      <w:r w:rsidRPr="00DF6D7D">
        <w:rPr>
          <w:rFonts w:eastAsia="Times New Roman"/>
          <w:lang w:val="en-GB"/>
        </w:rPr>
        <w:t>Lush L, Ellwood S, Markham A, et al (2016) Use of tri‐axial accelerometers to assess terrestrial mammal behaviour in the wild. Journal of Zoology 298:257–265</w:t>
      </w:r>
    </w:p>
    <w:p w14:paraId="1EE9E41D" w14:textId="77777777" w:rsidR="00F342F8" w:rsidRPr="00DF6D7D" w:rsidRDefault="00F342F8" w:rsidP="00F342F8">
      <w:pPr>
        <w:autoSpaceDE w:val="0"/>
        <w:autoSpaceDN w:val="0"/>
        <w:ind w:hanging="480"/>
        <w:rPr>
          <w:rFonts w:eastAsia="Times New Roman"/>
          <w:lang w:val="en-GB"/>
        </w:rPr>
      </w:pPr>
      <w:proofErr w:type="spellStart"/>
      <w:r w:rsidRPr="00DF6D7D">
        <w:rPr>
          <w:rFonts w:eastAsia="Times New Roman"/>
          <w:lang w:val="en-GB"/>
        </w:rPr>
        <w:t>Resheff</w:t>
      </w:r>
      <w:proofErr w:type="spellEnd"/>
      <w:r w:rsidRPr="00DF6D7D">
        <w:rPr>
          <w:rFonts w:eastAsia="Times New Roman"/>
          <w:lang w:val="en-GB"/>
        </w:rPr>
        <w:t xml:space="preserve"> YS, </w:t>
      </w:r>
      <w:proofErr w:type="spellStart"/>
      <w:r w:rsidRPr="00DF6D7D">
        <w:rPr>
          <w:rFonts w:eastAsia="Times New Roman"/>
          <w:lang w:val="en-GB"/>
        </w:rPr>
        <w:t>Rotics</w:t>
      </w:r>
      <w:proofErr w:type="spellEnd"/>
      <w:r w:rsidRPr="00DF6D7D">
        <w:rPr>
          <w:rFonts w:eastAsia="Times New Roman"/>
          <w:lang w:val="en-GB"/>
        </w:rPr>
        <w:t xml:space="preserve"> S, </w:t>
      </w:r>
      <w:proofErr w:type="spellStart"/>
      <w:r w:rsidRPr="00DF6D7D">
        <w:rPr>
          <w:rFonts w:eastAsia="Times New Roman"/>
          <w:lang w:val="en-GB"/>
        </w:rPr>
        <w:t>Harel</w:t>
      </w:r>
      <w:proofErr w:type="spellEnd"/>
      <w:r w:rsidRPr="00DF6D7D">
        <w:rPr>
          <w:rFonts w:eastAsia="Times New Roman"/>
          <w:lang w:val="en-GB"/>
        </w:rPr>
        <w:t xml:space="preserve"> R, et al (2014) </w:t>
      </w:r>
      <w:proofErr w:type="spellStart"/>
      <w:r w:rsidRPr="00DF6D7D">
        <w:rPr>
          <w:rFonts w:eastAsia="Times New Roman"/>
          <w:lang w:val="en-GB"/>
        </w:rPr>
        <w:t>AcceleRater</w:t>
      </w:r>
      <w:proofErr w:type="spellEnd"/>
      <w:r w:rsidRPr="00DF6D7D">
        <w:rPr>
          <w:rFonts w:eastAsia="Times New Roman"/>
          <w:lang w:val="en-GB"/>
        </w:rPr>
        <w:t xml:space="preserve">: a web application for supervised learning of </w:t>
      </w:r>
      <w:proofErr w:type="spellStart"/>
      <w:r w:rsidRPr="00DF6D7D">
        <w:rPr>
          <w:rFonts w:eastAsia="Times New Roman"/>
          <w:lang w:val="en-GB"/>
        </w:rPr>
        <w:t>behavioral</w:t>
      </w:r>
      <w:proofErr w:type="spellEnd"/>
      <w:r w:rsidRPr="00DF6D7D">
        <w:rPr>
          <w:rFonts w:eastAsia="Times New Roman"/>
          <w:lang w:val="en-GB"/>
        </w:rPr>
        <w:t xml:space="preserve"> modes from acceleration measurements. Mov </w:t>
      </w:r>
      <w:proofErr w:type="spellStart"/>
      <w:r w:rsidRPr="00DF6D7D">
        <w:rPr>
          <w:rFonts w:eastAsia="Times New Roman"/>
          <w:lang w:val="en-GB"/>
        </w:rPr>
        <w:t>Ecol</w:t>
      </w:r>
      <w:proofErr w:type="spellEnd"/>
      <w:r w:rsidRPr="00DF6D7D">
        <w:rPr>
          <w:rFonts w:eastAsia="Times New Roman"/>
          <w:lang w:val="en-GB"/>
        </w:rPr>
        <w:t xml:space="preserve"> 2:27</w:t>
      </w:r>
    </w:p>
    <w:p w14:paraId="55FB25E7" w14:textId="16ADFC53" w:rsidR="00F342F8" w:rsidRDefault="00F342F8" w:rsidP="00F342F8">
      <w:pPr>
        <w:autoSpaceDE w:val="0"/>
        <w:autoSpaceDN w:val="0"/>
        <w:ind w:hanging="480"/>
        <w:rPr>
          <w:rFonts w:eastAsia="Times New Roman"/>
          <w:lang w:val="en-GB"/>
        </w:rPr>
      </w:pPr>
      <w:r w:rsidRPr="00DF6D7D">
        <w:rPr>
          <w:rFonts w:eastAsia="Times New Roman"/>
          <w:lang w:val="en-GB"/>
        </w:rPr>
        <w:lastRenderedPageBreak/>
        <w:t xml:space="preserve">Scharf AK, </w:t>
      </w:r>
      <w:proofErr w:type="spellStart"/>
      <w:r w:rsidRPr="00DF6D7D">
        <w:rPr>
          <w:rFonts w:eastAsia="Times New Roman"/>
          <w:lang w:val="en-GB"/>
        </w:rPr>
        <w:t>LaPoint</w:t>
      </w:r>
      <w:proofErr w:type="spellEnd"/>
      <w:r w:rsidRPr="00DF6D7D">
        <w:rPr>
          <w:rFonts w:eastAsia="Times New Roman"/>
          <w:lang w:val="en-GB"/>
        </w:rPr>
        <w:t xml:space="preserve"> S, </w:t>
      </w:r>
      <w:proofErr w:type="spellStart"/>
      <w:r w:rsidRPr="00DF6D7D">
        <w:rPr>
          <w:rFonts w:eastAsia="Times New Roman"/>
          <w:lang w:val="en-GB"/>
        </w:rPr>
        <w:t>Wikelski</w:t>
      </w:r>
      <w:proofErr w:type="spellEnd"/>
      <w:r w:rsidRPr="00DF6D7D">
        <w:rPr>
          <w:rFonts w:eastAsia="Times New Roman"/>
          <w:lang w:val="en-GB"/>
        </w:rPr>
        <w:t xml:space="preserve"> M, Safi K (2016) Acceleration data reveal highly individually structured energetic landscapes in free-ranging fishers (</w:t>
      </w:r>
      <w:proofErr w:type="spellStart"/>
      <w:r w:rsidRPr="00DF6D7D">
        <w:rPr>
          <w:rFonts w:eastAsia="Times New Roman"/>
          <w:lang w:val="en-GB"/>
        </w:rPr>
        <w:t>Pekania</w:t>
      </w:r>
      <w:proofErr w:type="spellEnd"/>
      <w:r w:rsidRPr="00DF6D7D">
        <w:rPr>
          <w:rFonts w:eastAsia="Times New Roman"/>
          <w:lang w:val="en-GB"/>
        </w:rPr>
        <w:t xml:space="preserve"> </w:t>
      </w:r>
      <w:proofErr w:type="spellStart"/>
      <w:r w:rsidRPr="00DF6D7D">
        <w:rPr>
          <w:rFonts w:eastAsia="Times New Roman"/>
          <w:lang w:val="en-GB"/>
        </w:rPr>
        <w:t>pennanti</w:t>
      </w:r>
      <w:proofErr w:type="spellEnd"/>
      <w:r w:rsidRPr="00DF6D7D">
        <w:rPr>
          <w:rFonts w:eastAsia="Times New Roman"/>
          <w:lang w:val="en-GB"/>
        </w:rPr>
        <w:t xml:space="preserve">). </w:t>
      </w:r>
      <w:proofErr w:type="spellStart"/>
      <w:r w:rsidRPr="00DF6D7D">
        <w:rPr>
          <w:rFonts w:eastAsia="Times New Roman"/>
          <w:lang w:val="en-GB"/>
        </w:rPr>
        <w:t>PLoS</w:t>
      </w:r>
      <w:proofErr w:type="spellEnd"/>
      <w:r w:rsidRPr="00DF6D7D">
        <w:rPr>
          <w:rFonts w:eastAsia="Times New Roman"/>
          <w:lang w:val="en-GB"/>
        </w:rPr>
        <w:t xml:space="preserve"> One </w:t>
      </w:r>
      <w:proofErr w:type="gramStart"/>
      <w:r w:rsidRPr="00DF6D7D">
        <w:rPr>
          <w:rFonts w:eastAsia="Times New Roman"/>
          <w:lang w:val="en-GB"/>
        </w:rPr>
        <w:t>11:e</w:t>
      </w:r>
      <w:proofErr w:type="gramEnd"/>
      <w:r w:rsidRPr="00DF6D7D">
        <w:rPr>
          <w:rFonts w:eastAsia="Times New Roman"/>
          <w:lang w:val="en-GB"/>
        </w:rPr>
        <w:t>0145732</w:t>
      </w:r>
    </w:p>
    <w:p w14:paraId="60E3484C" w14:textId="2BB5B519" w:rsidR="00F342F8" w:rsidRPr="00DF6D7D" w:rsidRDefault="00F342F8" w:rsidP="00F342F8">
      <w:pPr>
        <w:autoSpaceDE w:val="0"/>
        <w:autoSpaceDN w:val="0"/>
        <w:ind w:hanging="480"/>
        <w:rPr>
          <w:rFonts w:eastAsia="Times New Roman"/>
          <w:lang w:val="en-GB"/>
        </w:rPr>
      </w:pPr>
      <w:r w:rsidRPr="00DF6D7D">
        <w:rPr>
          <w:rFonts w:eastAsia="Times New Roman"/>
          <w:lang w:val="en-GB"/>
        </w:rPr>
        <w:t xml:space="preserve">Shepard ELC, Wilson RP, Quintana F, et al (2008) Identification of animal movement patterns using tri-axial </w:t>
      </w:r>
      <w:proofErr w:type="spellStart"/>
      <w:r w:rsidRPr="00DF6D7D">
        <w:rPr>
          <w:rFonts w:eastAsia="Times New Roman"/>
          <w:lang w:val="en-GB"/>
        </w:rPr>
        <w:t>accelerometry</w:t>
      </w:r>
      <w:proofErr w:type="spellEnd"/>
      <w:r w:rsidRPr="00DF6D7D">
        <w:rPr>
          <w:rFonts w:eastAsia="Times New Roman"/>
          <w:lang w:val="en-GB"/>
        </w:rPr>
        <w:t>. Endangered Species Research 10:47–60</w:t>
      </w:r>
    </w:p>
    <w:p w14:paraId="0365FB03" w14:textId="6DE7BE95" w:rsidR="006865F8" w:rsidRDefault="006865F8" w:rsidP="006865F8">
      <w:pPr>
        <w:autoSpaceDE w:val="0"/>
        <w:autoSpaceDN w:val="0"/>
        <w:ind w:hanging="480"/>
        <w:rPr>
          <w:rFonts w:eastAsia="Times New Roman"/>
        </w:rPr>
      </w:pPr>
      <w:r>
        <w:rPr>
          <w:rFonts w:eastAsia="Times New Roman"/>
        </w:rPr>
        <w:t xml:space="preserve">Wang Y, Nickel B, </w:t>
      </w:r>
      <w:proofErr w:type="spellStart"/>
      <w:r>
        <w:rPr>
          <w:rFonts w:eastAsia="Times New Roman"/>
        </w:rPr>
        <w:t>Rutishauser</w:t>
      </w:r>
      <w:proofErr w:type="spellEnd"/>
      <w:r>
        <w:rPr>
          <w:rFonts w:eastAsia="Times New Roman"/>
        </w:rPr>
        <w:t xml:space="preserve"> M, et al (2015) Movement, resting, and attack </w:t>
      </w:r>
      <w:proofErr w:type="spellStart"/>
      <w:r>
        <w:rPr>
          <w:rFonts w:eastAsia="Times New Roman"/>
        </w:rPr>
        <w:t>behaviors</w:t>
      </w:r>
      <w:proofErr w:type="spellEnd"/>
      <w:r>
        <w:rPr>
          <w:rFonts w:eastAsia="Times New Roman"/>
        </w:rPr>
        <w:t xml:space="preserve"> of wild pumas are revealed by tri-axial accelerometer measurements. Movement ecology 3:2</w:t>
      </w:r>
    </w:p>
    <w:p w14:paraId="5A53789B" w14:textId="77777777" w:rsidR="00F342F8" w:rsidRPr="00DF6D7D" w:rsidRDefault="00F342F8" w:rsidP="00F342F8">
      <w:pPr>
        <w:autoSpaceDE w:val="0"/>
        <w:autoSpaceDN w:val="0"/>
        <w:ind w:hanging="480"/>
        <w:rPr>
          <w:rFonts w:eastAsia="Times New Roman"/>
          <w:lang w:val="en-GB"/>
        </w:rPr>
      </w:pPr>
      <w:r w:rsidRPr="00DF6D7D">
        <w:rPr>
          <w:rFonts w:eastAsia="Times New Roman"/>
          <w:lang w:val="en-GB"/>
        </w:rPr>
        <w:t xml:space="preserve">Wilson RP, Shepard ELC, </w:t>
      </w:r>
      <w:proofErr w:type="spellStart"/>
      <w:r w:rsidRPr="00DF6D7D">
        <w:rPr>
          <w:rFonts w:eastAsia="Times New Roman"/>
          <w:lang w:val="en-GB"/>
        </w:rPr>
        <w:t>Liebsch</w:t>
      </w:r>
      <w:proofErr w:type="spellEnd"/>
      <w:r w:rsidRPr="00DF6D7D">
        <w:rPr>
          <w:rFonts w:eastAsia="Times New Roman"/>
          <w:lang w:val="en-GB"/>
        </w:rPr>
        <w:t xml:space="preserve"> N (2008) Prying into the intimate details of animal lives: use of a daily diary on animals. Endangered Species Research 4:123–137</w:t>
      </w:r>
    </w:p>
    <w:p w14:paraId="6E875EF9" w14:textId="77777777" w:rsidR="00F342F8" w:rsidRDefault="00F342F8" w:rsidP="006865F8">
      <w:pPr>
        <w:autoSpaceDE w:val="0"/>
        <w:autoSpaceDN w:val="0"/>
        <w:ind w:hanging="480"/>
        <w:rPr>
          <w:rFonts w:eastAsia="Times New Roman"/>
        </w:rPr>
      </w:pPr>
    </w:p>
    <w:p w14:paraId="29D69441" w14:textId="77777777" w:rsidR="005B0F48" w:rsidRPr="00501BF5" w:rsidRDefault="005B0F48" w:rsidP="009C36BD"/>
    <w:sectPr w:rsidR="005B0F48" w:rsidRPr="00501B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6799"/>
    <w:rsid w:val="001402E1"/>
    <w:rsid w:val="002640B9"/>
    <w:rsid w:val="003501B7"/>
    <w:rsid w:val="003A24F7"/>
    <w:rsid w:val="004878A3"/>
    <w:rsid w:val="00501BF5"/>
    <w:rsid w:val="00520BC4"/>
    <w:rsid w:val="005B0F48"/>
    <w:rsid w:val="006865F8"/>
    <w:rsid w:val="006F6799"/>
    <w:rsid w:val="00754BB2"/>
    <w:rsid w:val="009A030B"/>
    <w:rsid w:val="009C36BD"/>
    <w:rsid w:val="00A166B4"/>
    <w:rsid w:val="00A73B9C"/>
    <w:rsid w:val="00AD396B"/>
    <w:rsid w:val="00B8116E"/>
    <w:rsid w:val="00BC4B37"/>
    <w:rsid w:val="00C31930"/>
    <w:rsid w:val="00CE2E2A"/>
    <w:rsid w:val="00DD536A"/>
    <w:rsid w:val="00F342F8"/>
    <w:rsid w:val="00FE6A52"/>
    <w:rsid w:val="00FF24B5"/>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748326"/>
  <w15:chartTrackingRefBased/>
  <w15:docId w15:val="{E5F16526-24ED-4B86-85E4-5711C7BB01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501BF5"/>
    <w:pPr>
      <w:keepNext/>
      <w:keepLines/>
      <w:spacing w:before="280" w:after="240"/>
      <w:outlineLvl w:val="1"/>
    </w:pPr>
    <w:rPr>
      <w:rFonts w:asciiTheme="majorHAnsi" w:eastAsiaTheme="majorEastAsia" w:hAnsiTheme="majorHAnsi" w:cstheme="majorBidi"/>
      <w:i/>
      <w:sz w:val="24"/>
      <w:szCs w:val="26"/>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9C36BD"/>
    <w:pPr>
      <w:spacing w:line="240" w:lineRule="auto"/>
    </w:pPr>
    <w:rPr>
      <w:sz w:val="20"/>
      <w:szCs w:val="20"/>
      <w:lang w:val="de-DE"/>
    </w:rPr>
  </w:style>
  <w:style w:type="character" w:customStyle="1" w:styleId="CommentTextChar">
    <w:name w:val="Comment Text Char"/>
    <w:basedOn w:val="DefaultParagraphFont"/>
    <w:link w:val="CommentText"/>
    <w:uiPriority w:val="99"/>
    <w:rsid w:val="009C36BD"/>
    <w:rPr>
      <w:sz w:val="20"/>
      <w:szCs w:val="20"/>
      <w:lang w:val="de-DE"/>
    </w:rPr>
  </w:style>
  <w:style w:type="character" w:styleId="CommentReference">
    <w:name w:val="annotation reference"/>
    <w:basedOn w:val="DefaultParagraphFont"/>
    <w:uiPriority w:val="99"/>
    <w:semiHidden/>
    <w:unhideWhenUsed/>
    <w:rsid w:val="009C36BD"/>
    <w:rPr>
      <w:sz w:val="16"/>
      <w:szCs w:val="16"/>
    </w:rPr>
  </w:style>
  <w:style w:type="table" w:styleId="TableGrid">
    <w:name w:val="Table Grid"/>
    <w:basedOn w:val="TableNormal"/>
    <w:uiPriority w:val="39"/>
    <w:rsid w:val="009C36BD"/>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C36B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C36BD"/>
    <w:rPr>
      <w:rFonts w:ascii="Segoe UI" w:hAnsi="Segoe UI" w:cs="Segoe UI"/>
      <w:sz w:val="18"/>
      <w:szCs w:val="18"/>
    </w:rPr>
  </w:style>
  <w:style w:type="character" w:customStyle="1" w:styleId="Heading2Char">
    <w:name w:val="Heading 2 Char"/>
    <w:basedOn w:val="DefaultParagraphFont"/>
    <w:link w:val="Heading2"/>
    <w:uiPriority w:val="9"/>
    <w:rsid w:val="00501BF5"/>
    <w:rPr>
      <w:rFonts w:asciiTheme="majorHAnsi" w:eastAsiaTheme="majorEastAsia" w:hAnsiTheme="majorHAnsi" w:cstheme="majorBidi"/>
      <w:i/>
      <w:sz w:val="24"/>
      <w:szCs w:val="26"/>
      <w:lang w:val="de-DE"/>
    </w:rPr>
  </w:style>
  <w:style w:type="character" w:customStyle="1" w:styleId="jsx-3826740032">
    <w:name w:val="jsx-3826740032"/>
    <w:basedOn w:val="DefaultParagraphFont"/>
    <w:rsid w:val="00501B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9759516">
      <w:bodyDiv w:val="1"/>
      <w:marLeft w:val="0"/>
      <w:marRight w:val="0"/>
      <w:marTop w:val="0"/>
      <w:marBottom w:val="0"/>
      <w:divBdr>
        <w:top w:val="none" w:sz="0" w:space="0" w:color="auto"/>
        <w:left w:val="none" w:sz="0" w:space="0" w:color="auto"/>
        <w:bottom w:val="none" w:sz="0" w:space="0" w:color="auto"/>
        <w:right w:val="none" w:sz="0" w:space="0" w:color="auto"/>
      </w:divBdr>
    </w:div>
    <w:div w:id="10762472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glossaryDocument" Target="glossary/document.xml"/><Relationship Id="rId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7799D18F41764C47BB69424D242361AA"/>
        <w:category>
          <w:name w:val="General"/>
          <w:gallery w:val="placeholder"/>
        </w:category>
        <w:types>
          <w:type w:val="bbPlcHdr"/>
        </w:types>
        <w:behaviors>
          <w:behavior w:val="content"/>
        </w:behaviors>
        <w:guid w:val="{B2FC2D07-34EF-4D17-A11A-30C8697986DB}"/>
      </w:docPartPr>
      <w:docPartBody>
        <w:p w:rsidR="00CB513D" w:rsidRDefault="002D7941" w:rsidP="002D7941">
          <w:pPr>
            <w:pStyle w:val="7799D18F41764C47BB69424D242361AA"/>
          </w:pPr>
          <w:r w:rsidRPr="00FF67F7">
            <w:rPr>
              <w:rStyle w:val="PlaceholderText"/>
            </w:rPr>
            <w:t>Click or tap here to enter text.</w:t>
          </w:r>
        </w:p>
      </w:docPartBody>
    </w:docPart>
    <w:docPart>
      <w:docPartPr>
        <w:name w:val="B41D013375A04D6BB09AA9821AD7B2DB"/>
        <w:category>
          <w:name w:val="General"/>
          <w:gallery w:val="placeholder"/>
        </w:category>
        <w:types>
          <w:type w:val="bbPlcHdr"/>
        </w:types>
        <w:behaviors>
          <w:behavior w:val="content"/>
        </w:behaviors>
        <w:guid w:val="{958D423A-FFC3-4F25-A581-89920C90FD85}"/>
      </w:docPartPr>
      <w:docPartBody>
        <w:p w:rsidR="00000000" w:rsidRDefault="005E67EB" w:rsidP="005E67EB">
          <w:pPr>
            <w:pStyle w:val="B41D013375A04D6BB09AA9821AD7B2DB"/>
          </w:pPr>
          <w:r w:rsidRPr="00FF67F7">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4DDC"/>
    <w:rsid w:val="002B756C"/>
    <w:rsid w:val="002D385C"/>
    <w:rsid w:val="002D7941"/>
    <w:rsid w:val="00314A72"/>
    <w:rsid w:val="00500F7E"/>
    <w:rsid w:val="005E67EB"/>
    <w:rsid w:val="006F3F91"/>
    <w:rsid w:val="00744DDC"/>
    <w:rsid w:val="008D23A6"/>
    <w:rsid w:val="00A04A88"/>
    <w:rsid w:val="00CB513D"/>
    <w:rsid w:val="00FE6E02"/>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DE" w:eastAsia="en-D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E67EB"/>
    <w:rPr>
      <w:color w:val="808080"/>
    </w:rPr>
  </w:style>
  <w:style w:type="paragraph" w:customStyle="1" w:styleId="79E9B8B49541415AA659AA0FA65B6ED7">
    <w:name w:val="79E9B8B49541415AA659AA0FA65B6ED7"/>
    <w:rsid w:val="00744DDC"/>
  </w:style>
  <w:style w:type="paragraph" w:customStyle="1" w:styleId="0D1E5C859FD1490894FD091E76AA4BEC">
    <w:name w:val="0D1E5C859FD1490894FD091E76AA4BEC"/>
    <w:rsid w:val="00744DDC"/>
  </w:style>
  <w:style w:type="paragraph" w:customStyle="1" w:styleId="E6A64E0A00604057B86380B1DF32E72C">
    <w:name w:val="E6A64E0A00604057B86380B1DF32E72C"/>
    <w:rsid w:val="00744DDC"/>
  </w:style>
  <w:style w:type="paragraph" w:customStyle="1" w:styleId="7799D18F41764C47BB69424D242361AA">
    <w:name w:val="7799D18F41764C47BB69424D242361AA"/>
    <w:rsid w:val="002D7941"/>
  </w:style>
  <w:style w:type="paragraph" w:customStyle="1" w:styleId="B41D013375A04D6BB09AA9821AD7B2DB">
    <w:name w:val="B41D013375A04D6BB09AA9821AD7B2DB"/>
    <w:rsid w:val="005E67EB"/>
    <w:rPr>
      <w:lang w:val="en-DE" w:eastAsia="en-D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203</TotalTime>
  <Pages>4</Pages>
  <Words>1051</Words>
  <Characters>5995</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Crawford</dc:creator>
  <cp:keywords/>
  <dc:description/>
  <cp:lastModifiedBy>Michael Crawford</cp:lastModifiedBy>
  <cp:revision>20</cp:revision>
  <dcterms:created xsi:type="dcterms:W3CDTF">2022-04-04T13:27:00Z</dcterms:created>
  <dcterms:modified xsi:type="dcterms:W3CDTF">2022-04-18T12:41:00Z</dcterms:modified>
</cp:coreProperties>
</file>